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Rickard Kathleen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329"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08/01/2022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56,432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0.6725</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2,404,792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08/02/2022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28,752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0.7031</w:t>
            </w:r>
            <w:r>
              <w:rPr>
                <w:rFonts w:ascii="Arial" w:cs="Arial" w:eastAsia="Arial" w:hAnsi="Arial"/>
                <w:sz w:val="22"/>
                <w:szCs w:val="22"/>
                <w:color w:val="008000"/>
                <w:w w:val="93"/>
                <w:vertAlign w:val="superscript"/>
              </w:rPr>
              <w:t>(5)</w:t>
            </w:r>
          </w:p>
        </w:tc>
        <w:tc>
          <w:tcPr>
            <w:tcW w:w="1140" w:type="dxa"/>
            <w:vAlign w:val="bottom"/>
            <w:tcBorders>
              <w:bottom w:val="single" w:sz="8" w:color="2C2C2C"/>
            </w:tcBorders>
          </w:tcPr>
          <w:p>
            <w:pPr>
              <w:jc w:val="center"/>
              <w:ind w:right="74"/>
              <w:spacing w:after="0"/>
              <w:rPr>
                <w:sz w:val="20"/>
                <w:szCs w:val="20"/>
                <w:color w:val="auto"/>
              </w:rPr>
            </w:pPr>
            <w:r>
              <w:rPr>
                <w:rFonts w:ascii="Arial" w:cs="Arial" w:eastAsia="Arial" w:hAnsi="Arial"/>
                <w:sz w:val="17"/>
                <w:szCs w:val="17"/>
                <w:color w:val="0000FF"/>
              </w:rPr>
              <w:t>2,376,040</w:t>
            </w:r>
            <w:r>
              <w:rPr>
                <w:rFonts w:ascii="Arial" w:cs="Arial" w:eastAsia="Arial" w:hAnsi="Arial"/>
                <w:sz w:val="22"/>
                <w:szCs w:val="22"/>
                <w:color w:val="008000"/>
                <w:vertAlign w:val="superscript"/>
              </w:rPr>
              <w:t>(6)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July 29, 2022 divided by eight (8).</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the Form 4 were effected pursuant to a Rule 10b5-1 instruction solely with the intent to cover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1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$0.6913 to $0.7225.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1,533,576 Ordinary Shares underlying Restricted Share Units, each of which represents a contingent right to receive one (1) Ordinary Share of the Issuer (which are represented by 191,697 ADSs); and (ii) 842,464 Ordinary Shares underlying 105,308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Claire Poll, Attorney-in-</w:t>
            </w:r>
          </w:p>
        </w:tc>
        <w:tc>
          <w:tcPr>
            <w:tcW w:w="1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08/03/2022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2022-08-03T15:17:31Z</dcterms:created>
  <dcterms:modified xsi:type="dcterms:W3CDTF">2022-08-03T15:17:31Z</dcterms:modified>
</cp:coreProperties>
</file>