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Hahn Mark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12/20/2022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2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12/20/2022</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600,000</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2080" w:type="dxa"/>
            <w:vAlign w:val="bottom"/>
            <w:tcBorders>
              <w:bottom w:val="single" w:sz="8" w:color="2C2C2C"/>
            </w:tcBorders>
            <w:gridSpan w:val="5"/>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2.1151</w:t>
            </w:r>
            <w:r>
              <w:rPr>
                <w:rFonts w:ascii="Times New Roman" w:cs="Times New Roman" w:eastAsia="Times New Roman" w:hAnsi="Times New Roman"/>
                <w:sz w:val="22"/>
                <w:szCs w:val="22"/>
                <w:color w:val="008000"/>
                <w:vertAlign w:val="superscript"/>
              </w:rPr>
              <w:t>(3)</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0000FF"/>
              </w:rPr>
              <w:t>16,845,480</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the Form 4 were effected pursuant to a Rule 10b5-1 trading plan adopted by the Reporting Person on March 25, 2022.</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weighted average sale price of the ADSs divided by eight (8). These shares were sold in multiple transactions at prices ranging from $2.0638 to $2.185,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9,413,016 Ordinary Shares underlying Restricted Share Units, each of which represents a contingent right to receive one (1) Ordinary Share of the Issuer (which are represented by 1,176,627 ADSs); and (ii) 7,432,464 Ordinary Shares underlying 929,058 ADSs.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Claire Poll,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12/21/2022</w:t>
            </w:r>
          </w:p>
        </w:tc>
        <w:tc>
          <w:tcPr>
            <w:tcW w:w="0" w:type="dxa"/>
            <w:vAlign w:val="bottom"/>
          </w:tcPr>
          <w:p>
            <w:pPr>
              <w:spacing w:after="0"/>
              <w:rPr>
                <w:sz w:val="1"/>
                <w:szCs w:val="1"/>
                <w:color w:val="auto"/>
              </w:rPr>
            </w:pPr>
          </w:p>
        </w:tc>
      </w:tr>
      <w:tr>
        <w:trPr>
          <w:trHeight w:val="87"/>
        </w:trPr>
        <w:tc>
          <w:tcPr>
            <w:tcW w:w="13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Mark Hahn</w:t>
            </w:r>
          </w:p>
        </w:tc>
        <w:tc>
          <w:tcPr>
            <w:tcW w:w="72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60" w:type="dxa"/>
            <w:vAlign w:val="bottom"/>
            <w:tcBorders>
              <w:bottom w:val="single" w:sz="8" w:color="auto"/>
            </w:tcBorders>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08502"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2022-12-21T15:08:29Z</dcterms:created>
  <dcterms:modified xsi:type="dcterms:W3CDTF">2022-12-21T15:08:29Z</dcterms:modified>
</cp:coreProperties>
</file>