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Access Industries Holdings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Verona Pharma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VRNA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10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08/15/2022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12"/>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2820" w:type="dxa"/>
            <w:vAlign w:val="bottom"/>
            <w:gridSpan w:val="8"/>
            <w:vMerge w:val="restart"/>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20" w:type="dxa"/>
            <w:vAlign w:val="bottom"/>
            <w:gridSpan w:val="8"/>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3"/>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08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380" w:type="dxa"/>
            <w:vAlign w:val="bottom"/>
            <w:tcBorders>
              <w:bottom w:val="single" w:sz="8" w:color="2C2C2C"/>
            </w:tcBorders>
            <w:gridSpan w:val="3"/>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AI</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08/15/2022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4,800,000</w:t>
            </w:r>
          </w:p>
        </w:tc>
        <w:tc>
          <w:tcPr>
            <w:tcW w:w="4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tcPr>
          <w:p>
            <w:pPr>
              <w:ind w:left="1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1.3125</w:t>
            </w:r>
            <w:r>
              <w:rPr>
                <w:rFonts w:ascii="Times New Roman" w:cs="Times New Roman" w:eastAsia="Times New Roman" w:hAnsi="Times New Roman"/>
                <w:sz w:val="22"/>
                <w:szCs w:val="22"/>
                <w:color w:val="008000"/>
                <w:w w:val="92"/>
                <w:vertAlign w:val="superscript"/>
              </w:rPr>
              <w:t>(2)</w:t>
            </w:r>
          </w:p>
        </w:tc>
        <w:tc>
          <w:tcPr>
            <w:tcW w:w="150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55,911,648</w:t>
            </w:r>
          </w:p>
        </w:tc>
        <w:tc>
          <w:tcPr>
            <w:tcW w:w="34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2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Biotechnology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4"/>
          </w:tcPr>
          <w:p>
            <w:pPr>
              <w:spacing w:after="0"/>
              <w:rPr>
                <w:sz w:val="8"/>
                <w:szCs w:val="8"/>
                <w:color w:val="auto"/>
              </w:rPr>
            </w:pPr>
          </w:p>
        </w:tc>
        <w:tc>
          <w:tcPr>
            <w:tcW w:w="2260" w:type="dxa"/>
            <w:vAlign w:val="bottom"/>
            <w:tcBorders>
              <w:bottom w:val="single" w:sz="8" w:color="2C2C2C"/>
            </w:tcBorders>
            <w:gridSpan w:val="6"/>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340" w:type="dxa"/>
            <w:vAlign w:val="bottom"/>
            <w:gridSpan w:val="19"/>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gridSpan w:val="5"/>
          </w:tcPr>
          <w:p>
            <w:pPr>
              <w:ind w:left="4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5"/>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Expiration</w:t>
            </w:r>
          </w:p>
        </w:tc>
        <w:tc>
          <w:tcPr>
            <w:tcW w:w="8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w w:val="95"/>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Access Industries Holdings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4"/>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AI Biotechnology LLC</w:t>
              </w:r>
            </w:hyperlink>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ACCESS INDUSTRIES MANAGEMENT,</w:t>
        </w:r>
      </w:hyperlink>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Blavatnik Len</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ACCESS INDUSTRIES,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40 WEST 57TH STREET, 28TH FLOOR</w:t>
            </w: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3050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5054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ordinary shares of the Issuer.</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purchase price of the ADSs divided by eight.</w:t>
      </w:r>
    </w:p>
    <w:p>
      <w:pPr>
        <w:spacing w:after="0" w:line="5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are held directly by AI Biotechnology LLC ("AIB") and may be deemed to be beneficially owned by Access Industries Holdings LLC ("AIH"), Access Industries Management, LLC ("AIM") and Len Blavatnik because Len Blavatnik controls AIM and controls a majority of the outstanding voting interests in AIH, AIM controls AIH, and AIH controls all of the outstanding voting interests in AIB. Each of the reporting persons (other than AIB)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Access Industries Holdings</w:t>
      </w:r>
      <w:r>
        <w:rPr>
          <w:sz w:val="20"/>
          <w:szCs w:val="20"/>
          <w:color w:val="auto"/>
        </w:rPr>
        <w:tab/>
      </w: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ectPr>
          <w:pgSz w:w="11900" w:h="16838" w:orient="portrait"/>
          <w:cols w:equalWidth="0" w:num="1">
            <w:col w:w="10900"/>
          </w:cols>
          <w:pgMar w:left="480" w:top="125" w:right="519" w:bottom="144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6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82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2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2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6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8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20"/>
            <w:col w:w="2140"/>
          </w:cols>
          <w:pgMar w:left="480" w:top="125"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1391297" TargetMode="External"/><Relationship Id="rId13" Type="http://schemas.openxmlformats.org/officeDocument/2006/relationships/hyperlink" Target="http://www.sec.gov/cgi-bin/browse-edgar?action=getcompany&amp;CIK=0001657312" TargetMode="External"/><Relationship Id="rId14" Type="http://schemas.openxmlformats.org/officeDocument/2006/relationships/hyperlink" Target="http://www.sec.gov/cgi-bin/browse-edgar?action=getcompany&amp;CIK=0001942670" TargetMode="External"/><Relationship Id="rId16" Type="http://schemas.openxmlformats.org/officeDocument/2006/relationships/hyperlink" Target="http://www.sec.gov/cgi-bin/browse-edgar?action=getcompany&amp;CIK=0001508226" TargetMode="External"/><Relationship Id="rId17"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2022-08-17T15:05:16Z</dcterms:created>
  <dcterms:modified xsi:type="dcterms:W3CDTF">2022-08-17T15:05:16Z</dcterms:modified>
</cp:coreProperties>
</file>