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7047230" cy="4333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333875"/>
                    </a:xfrm>
                    <a:prstGeom prst="rect">
                      <a:avLst/>
                    </a:prstGeom>
                    <a:noFill/>
                  </pic:spPr>
                </pic:pic>
              </a:graphicData>
            </a:graphic>
          </wp:anchor>
        </w:drawing>
      </w:r>
    </w:p>
    <w:p>
      <w:pPr>
        <w:spacing w:after="0" w:line="121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Deschamps Lisa</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Verona Pharma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04/25/2025</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660"/>
        <w:spacing w:after="0" w:line="25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0" w:lineRule="exact"/>
        <w:rPr>
          <w:sz w:val="24"/>
          <w:szCs w:val="24"/>
          <w:color w:val="auto"/>
        </w:rPr>
      </w:pPr>
    </w:p>
    <w:p>
      <w:pPr>
        <w:sectPr>
          <w:pgSz w:w="11900" w:h="16838" w:orient="portrait"/>
          <w:cols w:equalWidth="0" w:num="3">
            <w:col w:w="3180" w:space="720"/>
            <w:col w:w="3100" w:space="720"/>
            <w:col w:w="3360"/>
          </w:cols>
          <w:pgMar w:left="460" w:top="216" w:right="359" w:bottom="1440"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SE1 2RE</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96,000</w:t>
            </w:r>
            <w:r>
              <w:rPr>
                <w:rFonts w:ascii="Times New Roman" w:cs="Times New Roman" w:eastAsia="Times New Roman" w:hAnsi="Times New Roman"/>
                <w:sz w:val="21"/>
                <w:szCs w:val="21"/>
                <w:color w:val="008000"/>
                <w:vertAlign w:val="superscript"/>
              </w:rPr>
              <w:t>(1)</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96,000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04/25/2025</w:t>
            </w:r>
          </w:p>
        </w:tc>
        <w:tc>
          <w:tcPr>
            <w:tcW w:w="108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96,000</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0" w:lineRule="exact"/>
        <w:rPr>
          <w:sz w:val="24"/>
          <w:szCs w:val="24"/>
          <w:color w:val="auto"/>
        </w:rPr>
      </w:pPr>
    </w:p>
    <w:p>
      <w:pPr>
        <w:ind w:left="40" w:right="40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Share Units ("RSUs") covering American Depositary Shares ("ADSs"). Each RSU represents a contingent right to receive one (1) ADS of the Issuer. Each ADS represents eight (8) Ordinary Shares of the Issuer. The RSUs have no expiration date.</w:t>
      </w:r>
    </w:p>
    <w:p>
      <w:pPr>
        <w:spacing w:after="0" w:line="19" w:lineRule="exact"/>
        <w:rPr>
          <w:rFonts w:ascii="Times New Roman" w:cs="Times New Roman" w:eastAsia="Times New Roman" w:hAnsi="Times New Roman"/>
          <w:sz w:val="13"/>
          <w:szCs w:val="13"/>
          <w:color w:val="008000"/>
        </w:rPr>
      </w:pPr>
    </w:p>
    <w:p>
      <w:pPr>
        <w:ind w:left="40" w:right="320" w:firstLine="1"/>
        <w:spacing w:after="0" w:line="246"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as to 25% of the total shares on each of August 1, 2025, November 1, 2025, February 1, 2026 and May 1, 2026 subject to the Reporting Person's continued service to the Issuer on each vesting date.</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Andrew Fisher, Attorney-in- </w:t>
      </w:r>
      <w:r>
        <w:rPr>
          <w:rFonts w:ascii="Times New Roman" w:cs="Times New Roman" w:eastAsia="Times New Roman" w:hAnsi="Times New Roman"/>
          <w:sz w:val="31"/>
          <w:szCs w:val="31"/>
          <w:color w:val="0000FF"/>
          <w:vertAlign w:val="subscript"/>
        </w:rPr>
        <w:t>04/29/2025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31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Lisa Deschamps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-21590</wp:posOffset>
            </wp:positionV>
            <wp:extent cx="10280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8065"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0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47538"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2025-04-29T16:14:56Z</dcterms:created>
  <dcterms:modified xsi:type="dcterms:W3CDTF">2025-04-29T16:14:56Z</dcterms:modified>
</cp:coreProperties>
</file>