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ZACCARDELLI DAVID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00" w:type="dxa"/>
            <w:vAlign w:val="bottom"/>
            <w:gridSpan w:val="7"/>
            <w:vMerge w:val="continue"/>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LONDON</w:t>
            </w:r>
          </w:p>
        </w:tc>
        <w:tc>
          <w:tcPr>
            <w:tcW w:w="280" w:type="dxa"/>
            <w:vAlign w:val="bottom"/>
          </w:tcPr>
          <w:p>
            <w:pPr>
              <w:ind w:left="40"/>
              <w:spacing w:after="0"/>
              <w:rPr>
                <w:sz w:val="20"/>
                <w:szCs w:val="20"/>
                <w:color w:val="auto"/>
              </w:rPr>
            </w:pPr>
            <w:r>
              <w:rPr>
                <w:rFonts w:ascii="Arial" w:cs="Arial" w:eastAsia="Arial" w:hAnsi="Arial"/>
                <w:sz w:val="17"/>
                <w:szCs w:val="17"/>
                <w:color w:val="0000FF"/>
              </w:rPr>
              <w:t>X0</w:t>
            </w:r>
          </w:p>
        </w:tc>
        <w:tc>
          <w:tcPr>
            <w:tcW w:w="840" w:type="dxa"/>
            <w:vAlign w:val="bottom"/>
          </w:tcPr>
          <w:p>
            <w:pPr>
              <w:spacing w:after="0"/>
              <w:rPr>
                <w:sz w:val="21"/>
                <w:szCs w:val="21"/>
                <w:color w:val="auto"/>
              </w:rPr>
            </w:pPr>
          </w:p>
        </w:tc>
        <w:tc>
          <w:tcPr>
            <w:tcW w:w="1400" w:type="dxa"/>
            <w:vAlign w:val="bottom"/>
            <w:gridSpan w:val="3"/>
          </w:tcPr>
          <w:p>
            <w:pPr>
              <w:ind w:left="140"/>
              <w:spacing w:after="0"/>
              <w:rPr>
                <w:sz w:val="20"/>
                <w:szCs w:val="20"/>
                <w:color w:val="auto"/>
              </w:rPr>
            </w:pPr>
            <w:r>
              <w:rPr>
                <w:rFonts w:ascii="Arial" w:cs="Arial" w:eastAsia="Arial" w:hAnsi="Arial"/>
                <w:sz w:val="17"/>
                <w:szCs w:val="17"/>
                <w:color w:val="0000FF"/>
              </w:rPr>
              <w:t>SE1 2RE</w:t>
            </w: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9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Arial" w:cs="Arial" w:eastAsia="Arial" w:hAnsi="Arial"/>
                <w:sz w:val="17"/>
                <w:szCs w:val="17"/>
                <w:color w:val="0000FF"/>
              </w:rPr>
              <w:t>02/01/2022</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334,448</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0.7475</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17,179,800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Arial" w:cs="Arial" w:eastAsia="Arial" w:hAnsi="Arial"/>
                <w:sz w:val="17"/>
                <w:szCs w:val="17"/>
                <w:color w:val="0000FF"/>
              </w:rPr>
              <w:t>02/01/2022</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(3)</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288,648</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0.7763</w:t>
            </w:r>
            <w:r>
              <w:rPr>
                <w:rFonts w:ascii="Arial" w:cs="Arial" w:eastAsia="Arial" w:hAnsi="Arial"/>
                <w:sz w:val="22"/>
                <w:szCs w:val="22"/>
                <w:color w:val="008000"/>
                <w:w w:val="93"/>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16,891,152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Arial" w:cs="Arial" w:eastAsia="Arial" w:hAnsi="Arial"/>
                <w:sz w:val="17"/>
                <w:szCs w:val="17"/>
                <w:color w:val="0000FF"/>
              </w:rPr>
              <w:t>02/03/2022</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(5)</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52,056</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0.7256</w:t>
            </w:r>
            <w:r>
              <w:rPr>
                <w:rFonts w:ascii="Arial" w:cs="Arial" w:eastAsia="Arial" w:hAnsi="Arial"/>
                <w:sz w:val="22"/>
                <w:szCs w:val="22"/>
                <w:color w:val="008000"/>
                <w:w w:val="93"/>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16,839,096</w:t>
            </w:r>
            <w:r>
              <w:rPr>
                <w:rFonts w:ascii="Arial" w:cs="Arial" w:eastAsia="Arial" w:hAnsi="Arial"/>
                <w:sz w:val="22"/>
                <w:szCs w:val="22"/>
                <w:color w:val="008000"/>
                <w:w w:val="89"/>
                <w:vertAlign w:val="superscript"/>
              </w:rPr>
              <w:t>(7)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3"/>
                <w:szCs w:val="13"/>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the closing price of the Issuer's ADSs on the Nasdaq Stock Market LLC on January 28, 2022 divided by eight (8).</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the closing price of the Issuer's ADSs on the Nasdaq Stock Market LLC on January 31, 2022 divided by eight (8).</w:t>
      </w:r>
    </w:p>
    <w:p>
      <w:pPr>
        <w:spacing w:after="0" w:line="50" w:lineRule="exact"/>
        <w:rPr>
          <w:rFonts w:ascii="Arial" w:cs="Arial" w:eastAsia="Arial" w:hAnsi="Arial"/>
          <w:sz w:val="13"/>
          <w:szCs w:val="13"/>
          <w:color w:val="008000"/>
        </w:rPr>
      </w:pPr>
    </w:p>
    <w:p>
      <w:pPr>
        <w:ind w:left="40" w:right="6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the Form 4 was effected pursuant to a Rule 10b5-1 instruction solely with the intent to cover withholding taxes in connection with the vesting of certain previously reported Restricted Share Units.</w:t>
      </w:r>
    </w:p>
    <w:p>
      <w:pPr>
        <w:spacing w:after="0" w:line="15"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$0.7150 to $0.7413. The Reporting Person undertakes to provide upon request to the SEC staff, the Issuer, or any shareholder of the Issuer, full information regarding the number of securities sold at each separate price within the range set forth in this footnote 5.</w:t>
      </w:r>
    </w:p>
    <w:p>
      <w:pPr>
        <w:spacing w:after="0" w:line="25" w:lineRule="exact"/>
        <w:rPr>
          <w:rFonts w:ascii="Arial" w:cs="Arial" w:eastAsia="Arial" w:hAnsi="Arial"/>
          <w:sz w:val="13"/>
          <w:szCs w:val="13"/>
          <w:color w:val="008000"/>
        </w:rPr>
      </w:pPr>
    </w:p>
    <w:p>
      <w:pPr>
        <w:ind w:left="40" w:right="5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9,581,792 Ordinary Shares underlying Restricted Share Units, each of which represents a contingent right to receive one (1) Ordinary Share of the Issuer (which are represented by 1,197,724 ADSs); and (ii) 7,257,304 Ordinary Shares underlying 907,163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02/03/2022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David Zaccardelli</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4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2022-02-03T16:58:27Z</dcterms:created>
  <dcterms:modified xsi:type="dcterms:W3CDTF">2022-02-03T16:58:27Z</dcterms:modified>
</cp:coreProperties>
</file>