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8"/>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178040" cy="114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260350</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25" w:lineRule="exact"/>
        <w:rPr>
          <w:sz w:val="24"/>
          <w:szCs w:val="24"/>
          <w:color w:val="auto"/>
        </w:rPr>
      </w:pPr>
    </w:p>
    <w:p>
      <w:pPr>
        <w:jc w:val="center"/>
        <w:ind w:right="-1128"/>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spacing w:after="0" w:line="3" w:lineRule="exact"/>
        <w:rPr>
          <w:sz w:val="24"/>
          <w:szCs w:val="24"/>
          <w:color w:val="auto"/>
        </w:rPr>
      </w:pPr>
    </w:p>
    <w:p>
      <w:pPr>
        <w:jc w:val="center"/>
        <w:ind w:right="-1128"/>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166" w:lineRule="exact"/>
        <w:rPr>
          <w:sz w:val="24"/>
          <w:szCs w:val="24"/>
          <w:color w:val="auto"/>
        </w:rPr>
      </w:pPr>
    </w:p>
    <w:p>
      <w:pPr>
        <w:ind w:left="4848"/>
        <w:spacing w:after="0"/>
        <w:rPr>
          <w:sz w:val="20"/>
          <w:szCs w:val="20"/>
          <w:color w:val="auto"/>
        </w:rPr>
      </w:pPr>
      <w:r>
        <w:rPr>
          <w:rFonts w:ascii="Times New Roman" w:cs="Times New Roman" w:eastAsia="Times New Roman" w:hAnsi="Times New Roman"/>
          <w:sz w:val="22"/>
          <w:szCs w:val="22"/>
          <w:b w:val="1"/>
          <w:bCs w:val="1"/>
          <w:color w:val="auto"/>
        </w:rPr>
        <w:t>SCHEDULE 14A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2691765</wp:posOffset>
            </wp:positionH>
            <wp:positionV relativeFrom="paragraph">
              <wp:posOffset>104775</wp:posOffset>
            </wp:positionV>
            <wp:extent cx="179451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pacing w:after="0" w:line="289" w:lineRule="exact"/>
        <w:rPr>
          <w:sz w:val="24"/>
          <w:szCs w:val="24"/>
          <w:color w:val="auto"/>
        </w:rPr>
      </w:pPr>
    </w:p>
    <w:p>
      <w:pPr>
        <w:jc w:val="center"/>
        <w:ind w:right="-1128"/>
        <w:spacing w:after="0"/>
        <w:rPr>
          <w:sz w:val="20"/>
          <w:szCs w:val="20"/>
          <w:color w:val="auto"/>
        </w:rPr>
      </w:pPr>
      <w:r>
        <w:rPr>
          <w:rFonts w:ascii="Times New Roman" w:cs="Times New Roman" w:eastAsia="Times New Roman" w:hAnsi="Times New Roman"/>
          <w:sz w:val="17"/>
          <w:szCs w:val="17"/>
          <w:b w:val="1"/>
          <w:bCs w:val="1"/>
          <w:color w:val="auto"/>
        </w:rPr>
        <w:t>(RULE 14a-101)</w:t>
      </w:r>
    </w:p>
    <w:p>
      <w:pPr>
        <w:spacing w:after="0" w:line="25" w:lineRule="exact"/>
        <w:rPr>
          <w:sz w:val="24"/>
          <w:szCs w:val="24"/>
          <w:color w:val="auto"/>
        </w:rPr>
      </w:pPr>
    </w:p>
    <w:p>
      <w:pPr>
        <w:jc w:val="center"/>
        <w:ind w:right="-1128"/>
        <w:spacing w:after="0"/>
        <w:rPr>
          <w:sz w:val="20"/>
          <w:szCs w:val="20"/>
          <w:color w:val="auto"/>
        </w:rPr>
      </w:pPr>
      <w:r>
        <w:rPr>
          <w:rFonts w:ascii="Times New Roman" w:cs="Times New Roman" w:eastAsia="Times New Roman" w:hAnsi="Times New Roman"/>
          <w:sz w:val="16"/>
          <w:szCs w:val="16"/>
          <w:b w:val="1"/>
          <w:bCs w:val="1"/>
          <w:color w:val="auto"/>
        </w:rPr>
        <w:t>INFORMATION REQUIRED IN PROXY STATEMENT</w:t>
      </w:r>
    </w:p>
    <w:p>
      <w:pPr>
        <w:spacing w:after="0" w:line="14" w:lineRule="exact"/>
        <w:rPr>
          <w:sz w:val="24"/>
          <w:szCs w:val="24"/>
          <w:color w:val="auto"/>
        </w:rPr>
      </w:pPr>
    </w:p>
    <w:p>
      <w:pPr>
        <w:jc w:val="center"/>
        <w:ind w:right="-1128"/>
        <w:spacing w:after="0"/>
        <w:rPr>
          <w:sz w:val="20"/>
          <w:szCs w:val="20"/>
          <w:color w:val="auto"/>
        </w:rPr>
      </w:pPr>
      <w:r>
        <w:rPr>
          <w:rFonts w:ascii="Times New Roman" w:cs="Times New Roman" w:eastAsia="Times New Roman" w:hAnsi="Times New Roman"/>
          <w:sz w:val="17"/>
          <w:szCs w:val="17"/>
          <w:b w:val="1"/>
          <w:bCs w:val="1"/>
          <w:color w:val="auto"/>
        </w:rPr>
        <w:t>SCHEDULE 14A INFORMATION</w:t>
      </w:r>
    </w:p>
    <w:p>
      <w:pPr>
        <w:spacing w:after="0" w:line="132" w:lineRule="exact"/>
        <w:rPr>
          <w:sz w:val="24"/>
          <w:szCs w:val="24"/>
          <w:color w:val="auto"/>
        </w:rPr>
      </w:pPr>
    </w:p>
    <w:p>
      <w:pPr>
        <w:jc w:val="center"/>
        <w:ind w:right="-1128"/>
        <w:spacing w:after="0"/>
        <w:rPr>
          <w:sz w:val="20"/>
          <w:szCs w:val="20"/>
          <w:color w:val="auto"/>
        </w:rPr>
      </w:pPr>
      <w:r>
        <w:rPr>
          <w:rFonts w:ascii="Times New Roman" w:cs="Times New Roman" w:eastAsia="Times New Roman" w:hAnsi="Times New Roman"/>
          <w:sz w:val="12"/>
          <w:szCs w:val="12"/>
          <w:color w:val="auto"/>
        </w:rPr>
        <w:t>Proxy Statement Pursuant to Section 14(a) of the</w:t>
      </w:r>
    </w:p>
    <w:p>
      <w:pPr>
        <w:spacing w:after="0" w:line="17" w:lineRule="exact"/>
        <w:rPr>
          <w:sz w:val="24"/>
          <w:szCs w:val="24"/>
          <w:color w:val="auto"/>
        </w:rPr>
      </w:pPr>
    </w:p>
    <w:p>
      <w:pPr>
        <w:jc w:val="center"/>
        <w:ind w:right="-1128"/>
        <w:spacing w:after="0"/>
        <w:rPr>
          <w:sz w:val="20"/>
          <w:szCs w:val="20"/>
          <w:color w:val="auto"/>
        </w:rPr>
      </w:pPr>
      <w:r>
        <w:rPr>
          <w:rFonts w:ascii="Times New Roman" w:cs="Times New Roman" w:eastAsia="Times New Roman" w:hAnsi="Times New Roman"/>
          <w:sz w:val="12"/>
          <w:szCs w:val="12"/>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2691765</wp:posOffset>
            </wp:positionH>
            <wp:positionV relativeFrom="paragraph">
              <wp:posOffset>95250</wp:posOffset>
            </wp:positionV>
            <wp:extent cx="179451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pacing w:after="0" w:line="262" w:lineRule="exact"/>
        <w:rPr>
          <w:sz w:val="24"/>
          <w:szCs w:val="24"/>
          <w:color w:val="auto"/>
        </w:rPr>
      </w:pPr>
    </w:p>
    <w:p>
      <w:pPr>
        <w:ind w:left="8"/>
        <w:spacing w:after="0" w:line="138" w:lineRule="exact"/>
        <w:rPr>
          <w:sz w:val="20"/>
          <w:szCs w:val="20"/>
          <w:color w:val="auto"/>
        </w:rPr>
      </w:pPr>
      <w:r>
        <w:rPr>
          <w:rFonts w:ascii="Times New Roman" w:cs="Times New Roman" w:eastAsia="Times New Roman" w:hAnsi="Times New Roman"/>
          <w:sz w:val="12"/>
          <w:szCs w:val="12"/>
          <w:color w:val="auto"/>
        </w:rPr>
        <w:t xml:space="preserve">Filed by the Registrant </w:t>
      </w:r>
      <w:r>
        <w:rPr>
          <w:rFonts w:ascii="MS PGothic" w:cs="MS PGothic" w:eastAsia="MS PGothic" w:hAnsi="MS PGothic"/>
          <w:sz w:val="12"/>
          <w:szCs w:val="12"/>
          <w:color w:val="auto"/>
        </w:rPr>
        <w:t>☒</w:t>
      </w:r>
    </w:p>
    <w:p>
      <w:pPr>
        <w:spacing w:after="0" w:line="150" w:lineRule="exact"/>
        <w:rPr>
          <w:sz w:val="24"/>
          <w:szCs w:val="24"/>
          <w:color w:val="auto"/>
        </w:rPr>
      </w:pPr>
    </w:p>
    <w:p>
      <w:pPr>
        <w:ind w:left="8"/>
        <w:spacing w:after="0" w:line="138" w:lineRule="exact"/>
        <w:rPr>
          <w:sz w:val="20"/>
          <w:szCs w:val="20"/>
          <w:color w:val="auto"/>
        </w:rPr>
      </w:pPr>
      <w:r>
        <w:rPr>
          <w:rFonts w:ascii="Times New Roman" w:cs="Times New Roman" w:eastAsia="Times New Roman" w:hAnsi="Times New Roman"/>
          <w:sz w:val="12"/>
          <w:szCs w:val="12"/>
          <w:color w:val="auto"/>
        </w:rPr>
        <w:t xml:space="preserve">Filed by a Party other than the Registrant </w:t>
      </w:r>
      <w:r>
        <w:rPr>
          <w:rFonts w:ascii="MS PGothic" w:cs="MS PGothic" w:eastAsia="MS PGothic" w:hAnsi="MS PGothic"/>
          <w:sz w:val="12"/>
          <w:szCs w:val="12"/>
          <w:color w:val="auto"/>
        </w:rPr>
        <w:t>☐</w:t>
      </w:r>
    </w:p>
    <w:p>
      <w:pPr>
        <w:spacing w:after="0" w:line="178" w:lineRule="exact"/>
        <w:rPr>
          <w:sz w:val="24"/>
          <w:szCs w:val="24"/>
          <w:color w:val="auto"/>
        </w:rPr>
      </w:pPr>
    </w:p>
    <w:p>
      <w:pPr>
        <w:ind w:left="8"/>
        <w:spacing w:after="0"/>
        <w:rPr>
          <w:sz w:val="20"/>
          <w:szCs w:val="20"/>
          <w:color w:val="auto"/>
        </w:rPr>
      </w:pPr>
      <w:r>
        <w:rPr>
          <w:rFonts w:ascii="Times New Roman" w:cs="Times New Roman" w:eastAsia="Times New Roman" w:hAnsi="Times New Roman"/>
          <w:sz w:val="12"/>
          <w:szCs w:val="12"/>
          <w:color w:val="auto"/>
        </w:rPr>
        <w:t>Check the appropriate box:</w:t>
      </w:r>
    </w:p>
    <w:p>
      <w:pPr>
        <w:spacing w:after="0" w:line="150" w:lineRule="exact"/>
        <w:rPr>
          <w:sz w:val="24"/>
          <w:szCs w:val="24"/>
          <w:color w:val="auto"/>
        </w:rPr>
      </w:pPr>
    </w:p>
    <w:p>
      <w:pPr>
        <w:ind w:left="568" w:hanging="568"/>
        <w:spacing w:after="0"/>
        <w:tabs>
          <w:tab w:leader="none" w:pos="56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Preliminary Proxy Statement</w:t>
      </w:r>
    </w:p>
    <w:p>
      <w:pPr>
        <w:spacing w:after="0" w:line="150" w:lineRule="exact"/>
        <w:rPr>
          <w:rFonts w:ascii="MS PGothic" w:cs="MS PGothic" w:eastAsia="MS PGothic" w:hAnsi="MS PGothic"/>
          <w:sz w:val="12"/>
          <w:szCs w:val="12"/>
          <w:color w:val="auto"/>
        </w:rPr>
      </w:pPr>
    </w:p>
    <w:p>
      <w:pPr>
        <w:ind w:left="568" w:hanging="568"/>
        <w:spacing w:after="0"/>
        <w:tabs>
          <w:tab w:leader="none" w:pos="56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Confidential, for Use of the Commission Only (as permitted by Rule 14a-6(e)(2))</w:t>
      </w:r>
    </w:p>
    <w:p>
      <w:pPr>
        <w:spacing w:after="0" w:line="150" w:lineRule="exact"/>
        <w:rPr>
          <w:rFonts w:ascii="MS PGothic" w:cs="MS PGothic" w:eastAsia="MS PGothic" w:hAnsi="MS PGothic"/>
          <w:sz w:val="12"/>
          <w:szCs w:val="12"/>
          <w:color w:val="auto"/>
        </w:rPr>
      </w:pPr>
    </w:p>
    <w:p>
      <w:pPr>
        <w:ind w:left="568" w:hanging="568"/>
        <w:spacing w:after="0"/>
        <w:tabs>
          <w:tab w:leader="none" w:pos="56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Definitive Proxy Statement</w:t>
      </w:r>
    </w:p>
    <w:p>
      <w:pPr>
        <w:spacing w:after="0" w:line="150" w:lineRule="exact"/>
        <w:rPr>
          <w:rFonts w:ascii="MS PGothic" w:cs="MS PGothic" w:eastAsia="MS PGothic" w:hAnsi="MS PGothic"/>
          <w:sz w:val="12"/>
          <w:szCs w:val="12"/>
          <w:color w:val="auto"/>
        </w:rPr>
      </w:pPr>
    </w:p>
    <w:p>
      <w:pPr>
        <w:ind w:left="568" w:hanging="568"/>
        <w:spacing w:after="0"/>
        <w:tabs>
          <w:tab w:leader="none" w:pos="56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Definitive Additional Materials</w:t>
      </w:r>
    </w:p>
    <w:p>
      <w:pPr>
        <w:spacing w:after="0" w:line="150" w:lineRule="exact"/>
        <w:rPr>
          <w:sz w:val="24"/>
          <w:szCs w:val="24"/>
          <w:color w:val="auto"/>
        </w:rPr>
      </w:pPr>
    </w:p>
    <w:p>
      <w:pPr>
        <w:ind w:left="568" w:hanging="568"/>
        <w:spacing w:after="0"/>
        <w:tabs>
          <w:tab w:leader="none" w:pos="568" w:val="left"/>
        </w:tabs>
        <w:numPr>
          <w:ilvl w:val="0"/>
          <w:numId w:val="2"/>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§240.14a-12</w:t>
      </w:r>
    </w:p>
    <w:p>
      <w:pPr>
        <w:spacing w:after="0" w:line="142" w:lineRule="exact"/>
        <w:rPr>
          <w:sz w:val="24"/>
          <w:szCs w:val="24"/>
          <w:color w:val="auto"/>
        </w:rPr>
      </w:pPr>
    </w:p>
    <w:p>
      <w:pPr>
        <w:jc w:val="center"/>
        <w:ind w:right="-1128"/>
        <w:spacing w:after="0"/>
        <w:rPr>
          <w:sz w:val="20"/>
          <w:szCs w:val="20"/>
          <w:color w:val="auto"/>
        </w:rPr>
      </w:pPr>
      <w:r>
        <w:rPr>
          <w:rFonts w:ascii="Times New Roman" w:cs="Times New Roman" w:eastAsia="Times New Roman" w:hAnsi="Times New Roman"/>
          <w:sz w:val="17"/>
          <w:szCs w:val="17"/>
          <w:b w:val="1"/>
          <w:bCs w:val="1"/>
          <w:color w:val="auto"/>
        </w:rPr>
        <w:t>VERONA PHARMA PLC</w:t>
      </w:r>
    </w:p>
    <w:p>
      <w:pPr>
        <w:spacing w:after="0" w:line="22" w:lineRule="exact"/>
        <w:rPr>
          <w:sz w:val="24"/>
          <w:szCs w:val="24"/>
          <w:color w:val="auto"/>
        </w:rPr>
      </w:pPr>
    </w:p>
    <w:p>
      <w:pPr>
        <w:jc w:val="center"/>
        <w:ind w:right="-1128"/>
        <w:spacing w:after="0"/>
        <w:rPr>
          <w:sz w:val="20"/>
          <w:szCs w:val="20"/>
          <w:color w:val="auto"/>
        </w:rPr>
      </w:pPr>
      <w:r>
        <w:rPr>
          <w:rFonts w:ascii="Times New Roman" w:cs="Times New Roman" w:eastAsia="Times New Roman" w:hAnsi="Times New Roman"/>
          <w:sz w:val="12"/>
          <w:szCs w:val="12"/>
          <w:color w:val="auto"/>
        </w:rPr>
        <w:t>(Name of Registrant as Specified In Its Charter)</w:t>
      </w:r>
    </w:p>
    <w:p>
      <w:pPr>
        <w:spacing w:after="0" w:line="138" w:lineRule="exact"/>
        <w:rPr>
          <w:sz w:val="24"/>
          <w:szCs w:val="24"/>
          <w:color w:val="auto"/>
        </w:rPr>
      </w:pPr>
    </w:p>
    <w:p>
      <w:pPr>
        <w:ind w:left="3928"/>
        <w:spacing w:after="0"/>
        <w:rPr>
          <w:sz w:val="20"/>
          <w:szCs w:val="20"/>
          <w:color w:val="auto"/>
        </w:rPr>
      </w:pPr>
      <w:r>
        <w:rPr>
          <w:rFonts w:ascii="Times New Roman" w:cs="Times New Roman" w:eastAsia="Times New Roman" w:hAnsi="Times New Roman"/>
          <w:sz w:val="12"/>
          <w:szCs w:val="12"/>
          <w:color w:val="auto"/>
        </w:rPr>
        <w:t>(Name of Person(s) Filing Proxy Statement, if other than the Registrant)</w:t>
      </w:r>
    </w:p>
    <w:p>
      <w:pPr>
        <w:spacing w:after="0" w:line="150" w:lineRule="exact"/>
        <w:rPr>
          <w:sz w:val="24"/>
          <w:szCs w:val="24"/>
          <w:color w:val="auto"/>
        </w:rPr>
      </w:pPr>
    </w:p>
    <w:p>
      <w:pPr>
        <w:ind w:left="8"/>
        <w:spacing w:after="0"/>
        <w:rPr>
          <w:sz w:val="20"/>
          <w:szCs w:val="20"/>
          <w:color w:val="auto"/>
        </w:rPr>
      </w:pPr>
      <w:r>
        <w:rPr>
          <w:rFonts w:ascii="Times New Roman" w:cs="Times New Roman" w:eastAsia="Times New Roman" w:hAnsi="Times New Roman"/>
          <w:sz w:val="12"/>
          <w:szCs w:val="12"/>
          <w:color w:val="auto"/>
        </w:rPr>
        <w:t>Payment of Filing Fee (Check the appropriate box):</w:t>
      </w:r>
    </w:p>
    <w:p>
      <w:pPr>
        <w:spacing w:after="0" w:line="150" w:lineRule="exact"/>
        <w:rPr>
          <w:sz w:val="24"/>
          <w:szCs w:val="24"/>
          <w:color w:val="auto"/>
        </w:rPr>
      </w:pPr>
    </w:p>
    <w:p>
      <w:pPr>
        <w:ind w:left="568" w:hanging="568"/>
        <w:spacing w:after="0"/>
        <w:tabs>
          <w:tab w:leader="none" w:pos="568" w:val="left"/>
        </w:tabs>
        <w:numPr>
          <w:ilvl w:val="0"/>
          <w:numId w:val="3"/>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No fee required.</w:t>
      </w:r>
    </w:p>
    <w:p>
      <w:pPr>
        <w:spacing w:after="0" w:line="150" w:lineRule="exact"/>
        <w:rPr>
          <w:sz w:val="24"/>
          <w:szCs w:val="24"/>
          <w:color w:val="auto"/>
        </w:rPr>
      </w:pPr>
    </w:p>
    <w:p>
      <w:pPr>
        <w:ind w:left="568" w:hanging="568"/>
        <w:spacing w:after="0"/>
        <w:tabs>
          <w:tab w:leader="none" w:pos="568" w:val="left"/>
        </w:tabs>
        <w:numPr>
          <w:ilvl w:val="0"/>
          <w:numId w:val="4"/>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Fee paid previously with preliminary materials.</w:t>
      </w:r>
    </w:p>
    <w:p>
      <w:pPr>
        <w:spacing w:after="0" w:line="150" w:lineRule="exact"/>
        <w:rPr>
          <w:rFonts w:ascii="MS PGothic" w:cs="MS PGothic" w:eastAsia="MS PGothic" w:hAnsi="MS PGothic"/>
          <w:sz w:val="12"/>
          <w:szCs w:val="12"/>
          <w:color w:val="auto"/>
        </w:rPr>
      </w:pPr>
    </w:p>
    <w:p>
      <w:pPr>
        <w:ind w:left="568" w:hanging="568"/>
        <w:spacing w:after="0"/>
        <w:tabs>
          <w:tab w:leader="none" w:pos="568" w:val="left"/>
        </w:tabs>
        <w:numPr>
          <w:ilvl w:val="0"/>
          <w:numId w:val="4"/>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102235</wp:posOffset>
            </wp:positionV>
            <wp:extent cx="717804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119380</wp:posOffset>
            </wp:positionV>
            <wp:extent cx="7178040" cy="114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416560</wp:posOffset>
            </wp:positionV>
            <wp:extent cx="717804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167"/>
          </w:cols>
          <w:pgMar w:left="292" w:top="562" w:right="1440" w:bottom="1440" w:gutter="0" w:footer="0" w:header="0"/>
        </w:sectPr>
      </w:pPr>
    </w:p>
    <w:bookmarkStart w:id="1" w:name="page2"/>
    <w:bookmarkEnd w:id="1"/>
    <w:p>
      <w:pPr>
        <w:spacing w:after="0" w:line="283" w:lineRule="auto"/>
        <w:rPr>
          <w:sz w:val="20"/>
          <w:szCs w:val="20"/>
          <w:color w:val="auto"/>
        </w:rPr>
      </w:pPr>
      <w:r>
        <w:rPr>
          <w:rFonts w:ascii="Times New Roman" w:cs="Times New Roman" w:eastAsia="Times New Roman" w:hAnsi="Times New Roman"/>
          <w:sz w:val="12"/>
          <w:szCs w:val="12"/>
          <w:i w:val="1"/>
          <w:iCs w:val="1"/>
          <w:color w:val="auto"/>
        </w:rPr>
        <w:t>This filing contains a message from Ostra Jewell, Senior Vice President, Human Resources of Verona Pharma plc (“Verona”), delivered via email on September 10, 2025 (the “Employee Email”). The Employee Email also contains an accompanying presentation, which is attached below.</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To: </w:t>
      </w:r>
      <w:r>
        <w:rPr>
          <w:rFonts w:ascii="Times New Roman" w:cs="Times New Roman" w:eastAsia="Times New Roman" w:hAnsi="Times New Roman"/>
          <w:sz w:val="12"/>
          <w:szCs w:val="12"/>
          <w:color w:val="auto"/>
        </w:rPr>
        <w:t>Verona Pharma employees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From: </w:t>
      </w:r>
      <w:r>
        <w:rPr>
          <w:rFonts w:ascii="Times New Roman" w:cs="Times New Roman" w:eastAsia="Times New Roman" w:hAnsi="Times New Roman"/>
          <w:sz w:val="12"/>
          <w:szCs w:val="12"/>
          <w:color w:val="auto"/>
        </w:rPr>
        <w:t>Verona SVP, HR, Ostra Jewell</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Date: </w:t>
      </w:r>
      <w:r>
        <w:rPr>
          <w:rFonts w:ascii="Times New Roman" w:cs="Times New Roman" w:eastAsia="Times New Roman" w:hAnsi="Times New Roman"/>
          <w:sz w:val="12"/>
          <w:szCs w:val="12"/>
          <w:color w:val="auto"/>
        </w:rPr>
        <w:t>September 10, 2025</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Subject: </w:t>
      </w:r>
      <w:r>
        <w:rPr>
          <w:rFonts w:ascii="Times New Roman" w:cs="Times New Roman" w:eastAsia="Times New Roman" w:hAnsi="Times New Roman"/>
          <w:sz w:val="12"/>
          <w:szCs w:val="12"/>
          <w:color w:val="auto"/>
        </w:rPr>
        <w:t>Recap from Verona Employee Town Hall with Merck</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Team Verona,</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Thank you to all who joined us for the </w:t>
      </w:r>
      <w:r>
        <w:rPr>
          <w:rFonts w:ascii="Times New Roman" w:cs="Times New Roman" w:eastAsia="Times New Roman" w:hAnsi="Times New Roman"/>
          <w:sz w:val="12"/>
          <w:szCs w:val="12"/>
          <w:b w:val="1"/>
          <w:bCs w:val="1"/>
          <w:color w:val="auto"/>
        </w:rPr>
        <w:t>Verona Employee Town Hall with Merck</w:t>
      </w:r>
      <w:r>
        <w:rPr>
          <w:rFonts w:ascii="Times New Roman" w:cs="Times New Roman" w:eastAsia="Times New Roman" w:hAnsi="Times New Roman"/>
          <w:sz w:val="12"/>
          <w:szCs w:val="12"/>
          <w:color w:val="auto"/>
        </w:rPr>
        <w:t xml:space="preserve"> last week! I hope you found it valuable and informative as we continue our integration planning.</w:t>
      </w:r>
    </w:p>
    <w:p>
      <w:pPr>
        <w:spacing w:after="0" w:line="154" w:lineRule="exact"/>
        <w:rPr>
          <w:sz w:val="20"/>
          <w:szCs w:val="20"/>
          <w:color w:val="auto"/>
        </w:rPr>
      </w:pPr>
    </w:p>
    <w:p>
      <w:pPr>
        <w:ind w:right="80"/>
        <w:spacing w:after="0" w:line="279" w:lineRule="auto"/>
        <w:rPr>
          <w:sz w:val="20"/>
          <w:szCs w:val="20"/>
          <w:color w:val="auto"/>
        </w:rPr>
      </w:pPr>
      <w:r>
        <w:rPr>
          <w:rFonts w:ascii="Times New Roman" w:cs="Times New Roman" w:eastAsia="Times New Roman" w:hAnsi="Times New Roman"/>
          <w:sz w:val="12"/>
          <w:szCs w:val="12"/>
          <w:color w:val="auto"/>
        </w:rPr>
        <w:t>During the meeting, Merck’s leaders provided updates on retention agreements and the integration timeline, and I shared more information on severance. If you were unable to attend or should you want a recap, below is a summary of key takeaways and attached are the slides.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Key Takeaways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Overall Tone: </w:t>
      </w:r>
      <w:r>
        <w:rPr>
          <w:rFonts w:ascii="Times New Roman" w:cs="Times New Roman" w:eastAsia="Times New Roman" w:hAnsi="Times New Roman"/>
          <w:sz w:val="12"/>
          <w:szCs w:val="12"/>
          <w:color w:val="auto"/>
        </w:rPr>
        <w:t>Merck values Verona’s culture and expertise, wants to minimize business disruption, and offers expanded resources and career opportunities.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Retention Agreements</w:t>
      </w:r>
    </w:p>
    <w:p>
      <w:pPr>
        <w:spacing w:after="0" w:line="154" w:lineRule="exact"/>
        <w:rPr>
          <w:sz w:val="20"/>
          <w:szCs w:val="20"/>
          <w:color w:val="auto"/>
        </w:rPr>
      </w:pPr>
    </w:p>
    <w:p>
      <w:pPr>
        <w:ind w:left="1100" w:hanging="550"/>
        <w:spacing w:after="0"/>
        <w:tabs>
          <w:tab w:leader="none" w:pos="110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employees (with the exception of select executives) were offered a retention agreement on August 29. Your retention acceptance is due back to me no later than September 19.</w:t>
      </w:r>
    </w:p>
    <w:p>
      <w:pPr>
        <w:spacing w:after="0" w:line="16" w:lineRule="exact"/>
        <w:rPr>
          <w:rFonts w:ascii="Times New Roman" w:cs="Times New Roman" w:eastAsia="Times New Roman" w:hAnsi="Times New Roman"/>
          <w:sz w:val="12"/>
          <w:szCs w:val="12"/>
          <w:color w:val="auto"/>
        </w:rPr>
      </w:pPr>
    </w:p>
    <w:p>
      <w:pPr>
        <w:ind w:left="1100" w:hanging="550"/>
        <w:spacing w:after="0"/>
        <w:tabs>
          <w:tab w:leader="none" w:pos="110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Signing preserves eligibility for retention bonuses; not signing does not change employment but forfeits the retention benefit.</w:t>
      </w:r>
    </w:p>
    <w:p>
      <w:pPr>
        <w:spacing w:after="0" w:line="6" w:lineRule="exact"/>
        <w:rPr>
          <w:rFonts w:ascii="Times New Roman" w:cs="Times New Roman" w:eastAsia="Times New Roman" w:hAnsi="Times New Roman"/>
          <w:sz w:val="12"/>
          <w:szCs w:val="12"/>
          <w:color w:val="auto"/>
        </w:rPr>
      </w:pPr>
    </w:p>
    <w:p>
      <w:pPr>
        <w:ind w:left="1100" w:hanging="550"/>
        <w:spacing w:after="0"/>
        <w:tabs>
          <w:tab w:leader="none" w:pos="110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Retention periods define the timeframe Merck needs employees during integration; accepting a permanent Merck role during retention does not forfeit the retention payment.</w:t>
      </w:r>
    </w:p>
    <w:p>
      <w:pPr>
        <w:spacing w:after="0" w:line="6" w:lineRule="exact"/>
        <w:rPr>
          <w:rFonts w:ascii="Times New Roman" w:cs="Times New Roman" w:eastAsia="Times New Roman" w:hAnsi="Times New Roman"/>
          <w:sz w:val="12"/>
          <w:szCs w:val="12"/>
          <w:color w:val="auto"/>
        </w:rPr>
      </w:pPr>
    </w:p>
    <w:p>
      <w:pPr>
        <w:ind w:left="1100" w:hanging="550"/>
        <w:spacing w:after="0"/>
        <w:tabs>
          <w:tab w:leader="none" w:pos="110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Timing of retention periods can be adjusted by mutual agreement.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Severance</w:t>
      </w:r>
    </w:p>
    <w:p>
      <w:pPr>
        <w:spacing w:after="0" w:line="154" w:lineRule="exact"/>
        <w:rPr>
          <w:sz w:val="20"/>
          <w:szCs w:val="20"/>
          <w:color w:val="auto"/>
        </w:rPr>
      </w:pPr>
    </w:p>
    <w:p>
      <w:pPr>
        <w:ind w:left="1100" w:hanging="550"/>
        <w:spacing w:after="0"/>
        <w:tabs>
          <w:tab w:leader="none" w:pos="1100" w:val="left"/>
        </w:tabs>
        <w:numPr>
          <w:ilvl w:val="0"/>
          <w:numId w:val="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All employees are eligible for a change-in-control severance package as long as you complete knowledge transfer and you incur a qualifying termination of employment (and aren’t terminated for cause or resign).</w:t>
      </w:r>
    </w:p>
    <w:p>
      <w:pPr>
        <w:spacing w:after="0" w:line="28" w:lineRule="exact"/>
        <w:rPr>
          <w:rFonts w:ascii="Times New Roman" w:cs="Times New Roman" w:eastAsia="Times New Roman" w:hAnsi="Times New Roman"/>
          <w:sz w:val="11"/>
          <w:szCs w:val="11"/>
          <w:color w:val="auto"/>
        </w:rPr>
      </w:pPr>
    </w:p>
    <w:p>
      <w:pPr>
        <w:ind w:left="1100" w:hanging="550"/>
        <w:spacing w:after="0"/>
        <w:tabs>
          <w:tab w:leader="none" w:pos="110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offered a full-time Merck role and you decline it, you remain eligible for severance at the end of your retention.</w:t>
      </w:r>
    </w:p>
    <w:p>
      <w:pPr>
        <w:spacing w:after="0" w:line="6" w:lineRule="exact"/>
        <w:rPr>
          <w:rFonts w:ascii="Times New Roman" w:cs="Times New Roman" w:eastAsia="Times New Roman" w:hAnsi="Times New Roman"/>
          <w:sz w:val="12"/>
          <w:szCs w:val="12"/>
          <w:color w:val="auto"/>
        </w:rPr>
      </w:pPr>
    </w:p>
    <w:p>
      <w:pPr>
        <w:ind w:left="1100" w:hanging="550"/>
        <w:spacing w:after="0"/>
        <w:tabs>
          <w:tab w:leader="none" w:pos="110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Minimum severance increased to six months (previously three months for senior manager and below; directors had six months).</w:t>
      </w:r>
    </w:p>
    <w:p>
      <w:pPr>
        <w:spacing w:after="0" w:line="6" w:lineRule="exact"/>
        <w:rPr>
          <w:rFonts w:ascii="Times New Roman" w:cs="Times New Roman" w:eastAsia="Times New Roman" w:hAnsi="Times New Roman"/>
          <w:sz w:val="12"/>
          <w:szCs w:val="12"/>
          <w:color w:val="auto"/>
        </w:rPr>
      </w:pPr>
    </w:p>
    <w:p>
      <w:pPr>
        <w:ind w:left="1100" w:hanging="550"/>
        <w:spacing w:after="0"/>
        <w:tabs>
          <w:tab w:leader="none" w:pos="110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See slide 11 for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289560</wp:posOffset>
            </wp:positionV>
            <wp:extent cx="717804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80"/>
          </w:cols>
          <w:pgMar w:left="300" w:top="649" w:right="3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2"/>
          <w:szCs w:val="12"/>
          <w:b w:val="1"/>
          <w:bCs w:val="1"/>
          <w:color w:val="auto"/>
        </w:rPr>
        <w:t>Integration Timeline</w:t>
      </w:r>
    </w:p>
    <w:p>
      <w:pPr>
        <w:spacing w:after="0" w:line="154" w:lineRule="exact"/>
        <w:rPr>
          <w:sz w:val="20"/>
          <w:szCs w:val="20"/>
          <w:color w:val="auto"/>
        </w:rPr>
      </w:pPr>
    </w:p>
    <w:p>
      <w:pPr>
        <w:ind w:left="860" w:hanging="436"/>
        <w:spacing w:after="0"/>
        <w:tabs>
          <w:tab w:leader="none" w:pos="86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are currently in the pre-closing quiet period, so certain activities and communications are limited by regulations until close.</w:t>
      </w:r>
    </w:p>
    <w:p>
      <w:pPr>
        <w:spacing w:after="0" w:line="16" w:lineRule="exact"/>
        <w:rPr>
          <w:rFonts w:ascii="Times New Roman" w:cs="Times New Roman" w:eastAsia="Times New Roman" w:hAnsi="Times New Roman"/>
          <w:sz w:val="12"/>
          <w:szCs w:val="12"/>
          <w:color w:val="auto"/>
        </w:rPr>
      </w:pPr>
    </w:p>
    <w:p>
      <w:pPr>
        <w:ind w:left="860" w:hanging="436"/>
        <w:spacing w:after="0"/>
        <w:tabs>
          <w:tab w:leader="none" w:pos="86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Close is the completion of the deal, when Verona Pharma becomes a wholly owned subsidiary of Merck; Day One is typically the first business day after close.</w:t>
      </w:r>
    </w:p>
    <w:p>
      <w:pPr>
        <w:spacing w:after="0" w:line="6" w:lineRule="exact"/>
        <w:rPr>
          <w:rFonts w:ascii="Times New Roman" w:cs="Times New Roman" w:eastAsia="Times New Roman" w:hAnsi="Times New Roman"/>
          <w:sz w:val="12"/>
          <w:szCs w:val="12"/>
          <w:color w:val="auto"/>
        </w:rPr>
      </w:pPr>
    </w:p>
    <w:p>
      <w:pPr>
        <w:ind w:left="1500" w:hanging="428"/>
        <w:spacing w:after="0"/>
        <w:tabs>
          <w:tab w:leader="none" w:pos="1500" w:val="left"/>
        </w:tabs>
        <w:numPr>
          <w:ilvl w:val="1"/>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Minimal business disruption is expected on Day One. Primary goals are business continuity and maintaining commercial/pipeline momentum.</w:t>
      </w:r>
    </w:p>
    <w:p>
      <w:pPr>
        <w:spacing w:after="0" w:line="6" w:lineRule="exact"/>
        <w:rPr>
          <w:rFonts w:ascii="Times New Roman" w:cs="Times New Roman" w:eastAsia="Times New Roman" w:hAnsi="Times New Roman"/>
          <w:sz w:val="12"/>
          <w:szCs w:val="12"/>
          <w:color w:val="auto"/>
        </w:rPr>
      </w:pPr>
    </w:p>
    <w:p>
      <w:pPr>
        <w:ind w:left="860" w:right="220" w:hanging="436"/>
        <w:spacing w:after="0" w:line="260" w:lineRule="auto"/>
        <w:tabs>
          <w:tab w:leader="none" w:pos="86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preliminary date for many integration milestones is April 1, 2026 (specifically, transition to Merck payroll, benefits, financial and HR systems, and distribution of Merck laptops). Merck is still developing the integration plan so this date is not yet final.</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Next Steps &amp; Support</w:t>
      </w:r>
    </w:p>
    <w:p>
      <w:pPr>
        <w:spacing w:after="0" w:line="154" w:lineRule="exact"/>
        <w:rPr>
          <w:sz w:val="20"/>
          <w:szCs w:val="20"/>
          <w:color w:val="auto"/>
        </w:rPr>
      </w:pPr>
    </w:p>
    <w:p>
      <w:pPr>
        <w:ind w:left="860" w:hanging="436"/>
        <w:spacing w:after="0"/>
        <w:tabs>
          <w:tab w:leader="none" w:pos="86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Review and sign your retention agreement and send to me by the September 19 deadline.</w:t>
      </w:r>
    </w:p>
    <w:p>
      <w:pPr>
        <w:spacing w:after="0" w:line="16" w:lineRule="exact"/>
        <w:rPr>
          <w:rFonts w:ascii="Times New Roman" w:cs="Times New Roman" w:eastAsia="Times New Roman" w:hAnsi="Times New Roman"/>
          <w:sz w:val="12"/>
          <w:szCs w:val="12"/>
          <w:color w:val="auto"/>
        </w:rPr>
      </w:pPr>
    </w:p>
    <w:p>
      <w:pPr>
        <w:ind w:left="860" w:hanging="436"/>
        <w:spacing w:after="0"/>
        <w:tabs>
          <w:tab w:leader="none" w:pos="86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Complete the short “Day-in-the-Life” tool (for those who have been asked to) and return to me no later than September 19.</w:t>
      </w:r>
    </w:p>
    <w:p>
      <w:pPr>
        <w:spacing w:after="0" w:line="6" w:lineRule="exact"/>
        <w:rPr>
          <w:rFonts w:ascii="Times New Roman" w:cs="Times New Roman" w:eastAsia="Times New Roman" w:hAnsi="Times New Roman"/>
          <w:sz w:val="12"/>
          <w:szCs w:val="12"/>
          <w:color w:val="auto"/>
        </w:rPr>
      </w:pPr>
    </w:p>
    <w:p>
      <w:pPr>
        <w:ind w:left="860" w:hanging="436"/>
        <w:spacing w:after="0"/>
        <w:tabs>
          <w:tab w:leader="none" w:pos="86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Verona leadership remains the primary point of contact during the pre-closing quiet period; Merck integration team will regularly check in.</w:t>
      </w:r>
    </w:p>
    <w:p>
      <w:pPr>
        <w:spacing w:after="0" w:line="6" w:lineRule="exact"/>
        <w:rPr>
          <w:rFonts w:ascii="Times New Roman" w:cs="Times New Roman" w:eastAsia="Times New Roman" w:hAnsi="Times New Roman"/>
          <w:sz w:val="12"/>
          <w:szCs w:val="12"/>
          <w:color w:val="auto"/>
        </w:rPr>
      </w:pPr>
    </w:p>
    <w:p>
      <w:pPr>
        <w:ind w:left="860" w:hanging="436"/>
        <w:spacing w:after="0"/>
        <w:tabs>
          <w:tab w:leader="none" w:pos="86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Employee Resource Guide, which was first provided with your retention agreements, will continue to be updated with FAQs and answers.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Thanks as always for your engagement, and please continue to reach out to me with any questions.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Ostra</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Additional Information and Where to Find it</w:t>
      </w:r>
    </w:p>
    <w:p>
      <w:pPr>
        <w:spacing w:after="0" w:line="15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2"/>
          <w:szCs w:val="12"/>
          <w:color w:val="auto"/>
        </w:rPr>
        <w:t xml:space="preserve">In connection with the proposed transaction between Verona Pharma and Merck, Verona Pharma has filed with the Securities and Exchange Commission (“SEC”) a proxy statement on Schedule 14A. Additionally, Verona Pharma may file other relevant materials with the SEC in connection with the proposed transaction. Investors and securityholders of Verona Pharma are urged to read the proxy statement (which includes an explanatory statement in respect of the Scheme of Arrangement of Verona Pharma, in accordance with the requirements of the U.K. Companies Act 2006) and any other relevant materials filed or that will be filed with the SEC, as well as any amendments or supplements to these materials and documents incorporated by reference therein, carefully and in their entirety when they become available because they contain or will contain important information about the proposed transaction and related matters. The definitive version of the proxy statement has been mailed or otherwise made available to Verona Pharma’s securityholders. Investors and securityholders may obtain a copy of the proxy statement as well as other filings containing information about the proposed transaction that are filed by Verona Pharma or Merck with the SEC, free of charge on EDGAR at </w:t>
      </w:r>
      <w:r>
        <w:rPr>
          <w:rFonts w:ascii="Times New Roman" w:cs="Times New Roman" w:eastAsia="Times New Roman" w:hAnsi="Times New Roman"/>
          <w:sz w:val="12"/>
          <w:szCs w:val="12"/>
          <w:u w:val="single" w:color="auto"/>
          <w:color w:val="auto"/>
        </w:rPr>
        <w:t>www.sec.gov</w:t>
      </w:r>
      <w:r>
        <w:rPr>
          <w:rFonts w:ascii="Times New Roman" w:cs="Times New Roman" w:eastAsia="Times New Roman" w:hAnsi="Times New Roman"/>
          <w:sz w:val="12"/>
          <w:szCs w:val="12"/>
          <w:color w:val="auto"/>
        </w:rPr>
        <w:t xml:space="preserve">, on the investor relations page of Verona Pharma’s website at www.veronapharma.com/investors, by contacting Verona Pharma’s investor relations department at </w:t>
      </w:r>
      <w:r>
        <w:rPr>
          <w:rFonts w:ascii="Times New Roman" w:cs="Times New Roman" w:eastAsia="Times New Roman" w:hAnsi="Times New Roman"/>
          <w:sz w:val="12"/>
          <w:szCs w:val="12"/>
          <w:u w:val="single" w:color="auto"/>
          <w:color w:val="auto"/>
        </w:rPr>
        <w:t>IR@veronapharma.com</w:t>
      </w:r>
      <w:r>
        <w:rPr>
          <w:rFonts w:ascii="Times New Roman" w:cs="Times New Roman" w:eastAsia="Times New Roman" w:hAnsi="Times New Roman"/>
          <w:sz w:val="12"/>
          <w:szCs w:val="12"/>
          <w:color w:val="auto"/>
        </w:rPr>
        <w:t xml:space="preserve">, or on Merck’s website at </w:t>
      </w:r>
      <w:r>
        <w:rPr>
          <w:rFonts w:ascii="Times New Roman" w:cs="Times New Roman" w:eastAsia="Times New Roman" w:hAnsi="Times New Roman"/>
          <w:sz w:val="12"/>
          <w:szCs w:val="12"/>
          <w:u w:val="single" w:color="auto"/>
          <w:color w:val="auto"/>
        </w:rPr>
        <w:t>www.merck.com</w:t>
      </w:r>
      <w:r>
        <w:rPr>
          <w:rFonts w:ascii="Times New Roman" w:cs="Times New Roman" w:eastAsia="Times New Roman" w:hAnsi="Times New Roman"/>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281305</wp:posOffset>
            </wp:positionV>
            <wp:extent cx="717804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60"/>
          </w:cols>
          <w:pgMar w:left="300" w:top="64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2"/>
          <w:szCs w:val="12"/>
          <w:b w:val="1"/>
          <w:bCs w:val="1"/>
          <w:color w:val="auto"/>
        </w:rPr>
        <w:t>Participants in the Solicitation</w:t>
      </w:r>
    </w:p>
    <w:p>
      <w:pPr>
        <w:spacing w:after="0" w:line="15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2"/>
          <w:szCs w:val="12"/>
          <w:color w:val="auto"/>
        </w:rPr>
        <w:t>Verona Pharma, Merck and certain of their directors and executive officers may be deemed to be participants in the solicitation of proxies from the shareholders of Verona Pharma in connection with the proposed transaction. Information about Verona Pharma’s directors and executive officers, including a description of their direct interests, by security holdings or otherwise, is included in the proxy statement. You may also find additional information about Verona Pharma’s directors and executive officers in Verona Pharma’s proxy statement for its 2025 Annual General Meeting filed on March 18, 2025 and Verona Pharma’s other filings with the SEC available at the SEC’s Internet site (</w:t>
      </w:r>
      <w:r>
        <w:rPr>
          <w:rFonts w:ascii="Times New Roman" w:cs="Times New Roman" w:eastAsia="Times New Roman" w:hAnsi="Times New Roman"/>
          <w:sz w:val="12"/>
          <w:szCs w:val="12"/>
          <w:u w:val="single" w:color="auto"/>
          <w:color w:val="auto"/>
        </w:rPr>
        <w:t>www.sec.gov</w:t>
      </w:r>
      <w:r>
        <w:rPr>
          <w:rFonts w:ascii="Times New Roman" w:cs="Times New Roman" w:eastAsia="Times New Roman" w:hAnsi="Times New Roman"/>
          <w:sz w:val="12"/>
          <w:szCs w:val="12"/>
          <w:color w:val="auto"/>
        </w:rPr>
        <w:t>), including any statements of beneficial ownership on Form 3 or Form 4 filed with the SEC after such proxy statement. Information about Merck and its directors and executive officers can be found in Merck’s proxy statement filed on April 9, 2025 and Merck’s other filings with the SEC available at the SEC’s Internet site (</w:t>
      </w:r>
      <w:r>
        <w:rPr>
          <w:rFonts w:ascii="Times New Roman" w:cs="Times New Roman" w:eastAsia="Times New Roman" w:hAnsi="Times New Roman"/>
          <w:sz w:val="12"/>
          <w:szCs w:val="12"/>
          <w:u w:val="single" w:color="auto"/>
          <w:color w:val="auto"/>
        </w:rPr>
        <w:t>www.sec.gov</w:t>
      </w:r>
      <w:r>
        <w:rPr>
          <w:rFonts w:ascii="Times New Roman" w:cs="Times New Roman" w:eastAsia="Times New Roman" w:hAnsi="Times New Roman"/>
          <w:sz w:val="12"/>
          <w:szCs w:val="12"/>
          <w:color w:val="auto"/>
        </w:rPr>
        <w:t>), including any statements of beneficial ownership on Form 3 or Form 4 filed with the SEC after such proxy statement. Verona Pharma shareholders may obtain additional information regarding the direct and indirect interests of the participants in the solicitation of proxies in connection with the proposed transaction, including the interests of Verona Pharma directors and executive officers in the proposed transaction, which may be different than those of Verona Pharma shareholders generally, by reading the proxy statement and any other relevant documents that are filed or will be filed with the SEC relating to the proposed transaction. You may obtain free copies of these document using the sources indicated above.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Forward-Looking Statements</w:t>
      </w:r>
    </w:p>
    <w:p>
      <w:pPr>
        <w:spacing w:after="0" w:line="15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2"/>
          <w:szCs w:val="12"/>
          <w:color w:val="auto"/>
        </w:rPr>
        <w:t>This communication includes “forward-looking statements” within the meaning of the safe harbor provisions of the U.S. Private Securities Litigation Reform Act of 1995, including with respect to the proposed acquisition of Verona Pharma, and readers are cautioned not to place undue reliance on such statements. Such forward-looking statements include, but are not limited to, the ability of Merck and Verona Pharma to complete the transactions contemplated by the transaction agreement, including statements about the transaction contemplated thereby, statements about the expected timetable for completing the transaction, Verona Pharma’s beliefs and expectations and statements about the benefits sought to be achieved in the proposed acquisition, the potential effects of the acquisition on Verona Pharma, as well as the expected benefits and success of Verona Pharma’s products and product candidates. These statements are based upon the current beliefs and expectations of Verona Pharma’s management and are subject to significant risks and uncertainties. There can be no guarantees that the conditions to the closing of the proposed transaction will be satisfied on the expected timetable or at all, or that any pipeline candidates will receive the necessary regulatory approvals or that they will prove to be commercially successful. If underlying assumptions prove inaccurate or risks or uncertainties materialize, actual results may differ materially from those set forth in the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281305</wp:posOffset>
            </wp:positionV>
            <wp:extent cx="7178040"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40"/>
          </w:cols>
          <w:pgMar w:left="300" w:top="647" w:right="359" w:bottom="1440" w:gutter="0" w:footer="0" w:header="0"/>
        </w:sectPr>
      </w:pPr>
    </w:p>
    <w:bookmarkStart w:id="4" w:name="page5"/>
    <w:bookmarkEnd w:id="4"/>
    <w:p>
      <w:pPr>
        <w:spacing w:after="0" w:line="256" w:lineRule="auto"/>
        <w:rPr>
          <w:sz w:val="20"/>
          <w:szCs w:val="20"/>
          <w:color w:val="auto"/>
        </w:rPr>
      </w:pPr>
      <w:r>
        <w:rPr>
          <w:rFonts w:ascii="Times New Roman" w:cs="Times New Roman" w:eastAsia="Times New Roman" w:hAnsi="Times New Roman"/>
          <w:sz w:val="12"/>
          <w:szCs w:val="12"/>
          <w:color w:val="auto"/>
        </w:rPr>
        <w:t>Risks and uncertainties include, but are not limited to, uncertainties as to the timing of the proposed transaction; the risk that competing offers or acquisition proposals will be made; the possibility that various conditions to the consummation of the proposed transaction contained in the transaction agreement may not be satisfied or waived (including, but not limited to, the failure to obtain the approval of the proposed transaction by Verona Pharma shareholders and the failure to obtain the sanction of the High Court of Justice of England and Wales); the effects of disruption from the transactions contemplated by the transaction agreement and the impact of the announcement and pendency of the transactions on Verona Pharma’s business; the risk that shareholder litigation in connection with the transaction may result in significant costs of defense, indemnification and liability; Verona Pharma’s dependence on the successful commercialization of Ohtuvayre and the uncertain market acceptance of Ohtuvayre as a treatment for COPD; and risks related to pharmaceutical product development, including Verona Pharma’s ongoing development of ensifentrine and any other product candidates and combinations, and the uncertainty of clinical success.</w:t>
      </w:r>
    </w:p>
    <w:p>
      <w:pPr>
        <w:spacing w:after="0" w:line="125" w:lineRule="exact"/>
        <w:rPr>
          <w:sz w:val="20"/>
          <w:szCs w:val="20"/>
          <w:color w:val="auto"/>
        </w:rPr>
      </w:pPr>
    </w:p>
    <w:p>
      <w:pPr>
        <w:ind w:right="20"/>
        <w:spacing w:after="0" w:line="327" w:lineRule="auto"/>
        <w:rPr>
          <w:sz w:val="20"/>
          <w:szCs w:val="20"/>
          <w:color w:val="auto"/>
        </w:rPr>
      </w:pPr>
      <w:r>
        <w:rPr>
          <w:rFonts w:ascii="Times New Roman" w:cs="Times New Roman" w:eastAsia="Times New Roman" w:hAnsi="Times New Roman"/>
          <w:sz w:val="11"/>
          <w:szCs w:val="11"/>
          <w:color w:val="auto"/>
        </w:rPr>
        <w:t>Verona Pharma undertakes no obligation to publicly update any forward-looking statement, whether as a result of new information, future events or otherwise, except to the extent required by law. Additional factors that could cause results to differ materially from those described in the forward-looking statements can be found in Verona Pharma’s Annual Report on Form 10-K for the year ended December 31, 2024 and Verona Pharma’s other filings with the SEC.</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The following is the presentation accompanying the communication to employees on September 10,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297815</wp:posOffset>
            </wp:positionV>
            <wp:extent cx="7178040"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60"/>
          </w:cols>
          <w:pgMar w:left="300" w:top="651" w:right="339" w:bottom="1440"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328930</wp:posOffset>
            </wp:positionV>
            <wp:extent cx="7172960" cy="45262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lvl w:ilvl="1">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2025-09-10T16:13:18Z</dcterms:created>
  <dcterms:modified xsi:type="dcterms:W3CDTF">2025-09-10T16:13:18Z</dcterms:modified>
</cp:coreProperties>
</file>