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6-K</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3"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For the month of June 2018</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97" w:right="1440"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On June 26, 2018, Verona Pharma plc (the “Company”) announced the outcome of resolutions proposed at the General Meeting (the "Results").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announcing the Results is furnished herewith as Exhibit 1 to this Report on Form 6-K.</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statements under "Information Contained in this Report on Form 6-K" in this Report on Form 6-K is hereby incorporated by reference into the Company's Registration Statement on Form F-3 (333-225107).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Exhibit</w:t>
      </w:r>
    </w:p>
    <w:p>
      <w:pPr>
        <w:ind w:left="1760"/>
        <w:spacing w:after="0"/>
        <w:tabs>
          <w:tab w:leader="none" w:pos="6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23495</wp:posOffset>
            </wp:positionV>
            <wp:extent cx="5900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232" w:lineRule="exact"/>
        <w:rPr>
          <w:sz w:val="20"/>
          <w:szCs w:val="20"/>
          <w:color w:val="auto"/>
        </w:rPr>
      </w:pPr>
    </w:p>
    <w:p>
      <w:pPr>
        <w:ind w:left="1100"/>
        <w:spacing w:after="0"/>
        <w:tabs>
          <w:tab w:leader="none" w:pos="2940" w:val="left"/>
        </w:tabs>
        <w:rPr>
          <w:sz w:val="20"/>
          <w:szCs w:val="20"/>
          <w:color w:val="auto"/>
        </w:rPr>
      </w:pPr>
      <w:r>
        <w:rPr>
          <w:rFonts w:ascii="Arial" w:cs="Arial" w:eastAsia="Arial" w:hAnsi="Arial"/>
          <w:sz w:val="18"/>
          <w:szCs w:val="18"/>
          <w:u w:val="single" w:color="auto"/>
          <w:color w:val="0000EE"/>
        </w:rPr>
        <w:t>1</w:t>
      </w:r>
      <w:r>
        <w:rPr>
          <w:sz w:val="20"/>
          <w:szCs w:val="20"/>
          <w:color w:val="auto"/>
        </w:rPr>
        <w:tab/>
      </w:r>
      <w:r>
        <w:rPr>
          <w:rFonts w:ascii="Arial" w:cs="Arial" w:eastAsia="Arial" w:hAnsi="Arial"/>
          <w:sz w:val="18"/>
          <w:szCs w:val="18"/>
          <w:color w:val="auto"/>
        </w:rPr>
        <w:t>Result of General Meeting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100" w:type="dxa"/>
        <w:tblCellMar>
          <w:top w:w="0" w:type="dxa"/>
          <w:left w:w="0" w:type="dxa"/>
          <w:bottom w:w="0" w:type="dxa"/>
          <w:right w:w="0" w:type="dxa"/>
        </w:tblCellMar>
      </w:tblPr>
      <w:tr>
        <w:trPr>
          <w:trHeight w:val="239"/>
        </w:trPr>
        <w:tc>
          <w:tcPr>
            <w:tcW w:w="2280" w:type="dxa"/>
            <w:vAlign w:val="bottom"/>
          </w:tcPr>
          <w:p>
            <w:pPr>
              <w:spacing w:after="0"/>
              <w:rPr>
                <w:sz w:val="20"/>
                <w:szCs w:val="20"/>
                <w:color w:val="auto"/>
              </w:rPr>
            </w:pPr>
          </w:p>
        </w:tc>
        <w:tc>
          <w:tcPr>
            <w:tcW w:w="2980" w:type="dxa"/>
            <w:vAlign w:val="bottom"/>
            <w:gridSpan w:val="2"/>
          </w:tcPr>
          <w:p>
            <w:pPr>
              <w:ind w:left="660"/>
              <w:spacing w:after="0"/>
              <w:rPr>
                <w:sz w:val="20"/>
                <w:szCs w:val="20"/>
                <w:color w:val="auto"/>
              </w:rPr>
            </w:pPr>
            <w:r>
              <w:rPr>
                <w:rFonts w:ascii="Arial" w:cs="Arial" w:eastAsia="Arial" w:hAnsi="Arial"/>
                <w:sz w:val="18"/>
                <w:szCs w:val="18"/>
                <w:b w:val="1"/>
                <w:bCs w:val="1"/>
                <w:color w:val="auto"/>
              </w:rPr>
              <w:t>VERONA PHARMA PLC</w:t>
            </w:r>
          </w:p>
        </w:tc>
        <w:tc>
          <w:tcPr>
            <w:tcW w:w="4000" w:type="dxa"/>
            <w:vAlign w:val="bottom"/>
          </w:tcPr>
          <w:p>
            <w:pPr>
              <w:spacing w:after="0"/>
              <w:rPr>
                <w:sz w:val="20"/>
                <w:szCs w:val="20"/>
                <w:color w:val="auto"/>
              </w:rPr>
            </w:pPr>
          </w:p>
        </w:tc>
      </w:tr>
      <w:tr>
        <w:trPr>
          <w:trHeight w:val="547"/>
        </w:trPr>
        <w:tc>
          <w:tcPr>
            <w:tcW w:w="2280" w:type="dxa"/>
            <w:vAlign w:val="bottom"/>
          </w:tcPr>
          <w:p>
            <w:pPr>
              <w:spacing w:after="0"/>
              <w:rPr>
                <w:sz w:val="20"/>
                <w:szCs w:val="20"/>
                <w:color w:val="auto"/>
              </w:rPr>
            </w:pPr>
            <w:r>
              <w:rPr>
                <w:rFonts w:ascii="Arial" w:cs="Arial" w:eastAsia="Arial" w:hAnsi="Arial"/>
                <w:sz w:val="18"/>
                <w:szCs w:val="18"/>
                <w:color w:val="auto"/>
              </w:rPr>
              <w:t>Date: June 28, 2018</w:t>
            </w:r>
          </w:p>
        </w:tc>
        <w:tc>
          <w:tcPr>
            <w:tcW w:w="1860" w:type="dxa"/>
            <w:vAlign w:val="bottom"/>
          </w:tcPr>
          <w:p>
            <w:pPr>
              <w:ind w:left="12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Jan-Anders Karlsson</w:t>
            </w:r>
          </w:p>
        </w:tc>
      </w:tr>
      <w:tr>
        <w:trPr>
          <w:trHeight w:val="243"/>
        </w:trPr>
        <w:tc>
          <w:tcPr>
            <w:tcW w:w="2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320"/>
              <w:spacing w:after="0"/>
              <w:rPr>
                <w:sz w:val="20"/>
                <w:szCs w:val="20"/>
                <w:color w:val="auto"/>
              </w:rPr>
            </w:pPr>
            <w:r>
              <w:rPr>
                <w:rFonts w:ascii="Arial" w:cs="Arial" w:eastAsia="Arial" w:hAnsi="Arial"/>
                <w:sz w:val="18"/>
                <w:szCs w:val="18"/>
                <w:color w:val="auto"/>
              </w:rPr>
              <w:t>Jan-Anders Karlsson, Ph.D.</w:t>
            </w:r>
          </w:p>
        </w:tc>
      </w:tr>
      <w:tr>
        <w:trPr>
          <w:trHeight w:val="270"/>
        </w:trPr>
        <w:tc>
          <w:tcPr>
            <w:tcW w:w="22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3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60"/>
          </w:cols>
          <w:pgMar w:left="240" w:top="576"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1482725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763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Result of General Meeting of Shareholders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26 June 2018, London - Verona Pharma plc (AIM: VRP.L), a clinical-stage biopharmaceutical company focused on developing and commercializing innovative therapeutics for the treatment of respiratory diseases, announces that all resolutions proposed at the General Meeting held today were duly passed on a poll, the results of which are set out below.</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Resolution</w:t>
            </w:r>
          </w:p>
        </w:tc>
        <w:tc>
          <w:tcPr>
            <w:tcW w:w="1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Votes for</w:t>
            </w:r>
          </w:p>
        </w:tc>
        <w:tc>
          <w:tcPr>
            <w:tcW w:w="18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 of votes cast</w:t>
            </w:r>
          </w:p>
        </w:tc>
        <w:tc>
          <w:tcPr>
            <w:tcW w:w="1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Votes against</w:t>
            </w:r>
          </w:p>
        </w:tc>
        <w:tc>
          <w:tcPr>
            <w:tcW w:w="1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 of votes cast</w:t>
            </w:r>
          </w:p>
        </w:tc>
        <w:tc>
          <w:tcPr>
            <w:tcW w:w="1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Votes total</w:t>
            </w:r>
          </w:p>
        </w:tc>
      </w:tr>
      <w:tr>
        <w:trPr>
          <w:trHeight w:val="237"/>
        </w:trPr>
        <w:tc>
          <w:tcPr>
            <w:tcW w:w="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Authority to allot shares</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86,113,803</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94.70%</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4,820,196</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5.30%</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90,933,999</w:t>
            </w:r>
          </w:p>
        </w:tc>
      </w:tr>
      <w:tr>
        <w:trPr>
          <w:trHeight w:val="198"/>
        </w:trPr>
        <w:tc>
          <w:tcPr>
            <w:tcW w:w="2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Disapplication of pre-</w:t>
            </w:r>
          </w:p>
        </w:tc>
        <w:tc>
          <w:tcPr>
            <w:tcW w:w="182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r>
      <w:tr>
        <w:trPr>
          <w:trHeight w:val="228"/>
        </w:trPr>
        <w:tc>
          <w:tcPr>
            <w:tcW w:w="23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emption rights</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86,117,638</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94.66%</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4,860,361</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5.34%</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90,977,999</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End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24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RPL554, is a first-in-class, inhaled, dual inhibitor of the enzymes phosphodiesterase 3 and 4 that acts as both a bronchodilator and an anti-inflammatory agent in a single compound. In clinical trials, treatment with RPL554 has shown clinically meaningful and statistically significant improvements in lung function and clinical symptoms as compared to placebo, and has shown statistically significant improvements in lung function when administered in addition to frequently used short- and long-acting bronchodilators as compared to such bronchodilators administered as a single agent. Verona Pharma is developing RPL554 for the treatment of chronic obstructive pulmonary disease (COPD), cystic fibrosis (CF), and potentially asthma.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80" w:type="dxa"/>
            <w:vAlign w:val="bottom"/>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94"/>
        </w:trPr>
        <w:tc>
          <w:tcPr>
            <w:tcW w:w="5080" w:type="dxa"/>
            <w:vAlign w:val="bottom"/>
          </w:tcPr>
          <w:p>
            <w:pPr>
              <w:ind w:left="40"/>
              <w:spacing w:after="0"/>
              <w:rPr>
                <w:sz w:val="20"/>
                <w:szCs w:val="20"/>
                <w:color w:val="auto"/>
              </w:rPr>
            </w:pPr>
            <w:r>
              <w:rPr>
                <w:rFonts w:ascii="Arial" w:cs="Arial" w:eastAsia="Arial" w:hAnsi="Arial"/>
                <w:sz w:val="18"/>
                <w:szCs w:val="18"/>
                <w:color w:val="auto"/>
              </w:rPr>
              <w:t>Verona Pharma plc</w:t>
            </w:r>
          </w:p>
        </w:tc>
        <w:tc>
          <w:tcPr>
            <w:tcW w:w="1660" w:type="dxa"/>
            <w:vAlign w:val="bottom"/>
          </w:tcPr>
          <w:p>
            <w:pPr>
              <w:ind w:left="1000"/>
              <w:spacing w:after="0"/>
              <w:rPr>
                <w:sz w:val="20"/>
                <w:szCs w:val="20"/>
                <w:color w:val="auto"/>
              </w:rPr>
            </w:pPr>
            <w:r>
              <w:rPr>
                <w:rFonts w:ascii="Arial" w:cs="Arial" w:eastAsia="Arial" w:hAnsi="Arial"/>
                <w:sz w:val="18"/>
                <w:szCs w:val="18"/>
                <w:color w:val="auto"/>
                <w:w w:val="97"/>
              </w:rPr>
              <w:t>Tel: +44</w:t>
            </w:r>
          </w:p>
        </w:tc>
        <w:tc>
          <w:tcPr>
            <w:tcW w:w="1400" w:type="dxa"/>
            <w:vAlign w:val="bottom"/>
          </w:tcPr>
          <w:p>
            <w:pPr>
              <w:ind w:left="40"/>
              <w:spacing w:after="0"/>
              <w:rPr>
                <w:sz w:val="20"/>
                <w:szCs w:val="20"/>
                <w:color w:val="auto"/>
              </w:rPr>
            </w:pPr>
            <w:r>
              <w:rPr>
                <w:rFonts w:ascii="Arial" w:cs="Arial" w:eastAsia="Arial" w:hAnsi="Arial"/>
                <w:sz w:val="18"/>
                <w:szCs w:val="18"/>
                <w:color w:val="auto"/>
              </w:rPr>
              <w:t>(0)20 3283 4200</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Jan-Anders Karlsson, Chief Executive Officer</w:t>
            </w:r>
          </w:p>
        </w:tc>
        <w:tc>
          <w:tcPr>
            <w:tcW w:w="3060" w:type="dxa"/>
            <w:vAlign w:val="bottom"/>
            <w:gridSpan w:val="2"/>
          </w:tcPr>
          <w:p>
            <w:pPr>
              <w:ind w:left="1000"/>
              <w:spacing w:after="0"/>
              <w:rPr>
                <w:sz w:val="20"/>
                <w:szCs w:val="20"/>
                <w:color w:val="auto"/>
              </w:rPr>
            </w:pPr>
            <w:r>
              <w:rPr>
                <w:rFonts w:ascii="Arial" w:cs="Arial" w:eastAsia="Arial" w:hAnsi="Arial"/>
                <w:sz w:val="18"/>
                <w:szCs w:val="18"/>
                <w:color w:val="auto"/>
              </w:rPr>
              <w:t>info@veronapharma.com</w:t>
            </w:r>
          </w:p>
        </w:tc>
      </w:tr>
      <w:tr>
        <w:trPr>
          <w:trHeight w:val="242"/>
        </w:trPr>
        <w:tc>
          <w:tcPr>
            <w:tcW w:w="5080" w:type="dxa"/>
            <w:vAlign w:val="bottom"/>
          </w:tcPr>
          <w:p>
            <w:pPr>
              <w:ind w:left="40"/>
              <w:spacing w:after="0"/>
              <w:rPr>
                <w:sz w:val="20"/>
                <w:szCs w:val="20"/>
                <w:color w:val="auto"/>
              </w:rPr>
            </w:pPr>
            <w:r>
              <w:rPr>
                <w:rFonts w:ascii="Arial" w:cs="Arial" w:eastAsia="Arial" w:hAnsi="Arial"/>
                <w:sz w:val="18"/>
                <w:szCs w:val="18"/>
                <w:color w:val="auto"/>
              </w:rPr>
              <w:t>Stifel Nicolaus Europe Limited (Nominated Adviser</w:t>
            </w:r>
          </w:p>
        </w:tc>
        <w:tc>
          <w:tcPr>
            <w:tcW w:w="16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7"/>
        </w:trPr>
        <w:tc>
          <w:tcPr>
            <w:tcW w:w="5080" w:type="dxa"/>
            <w:vAlign w:val="bottom"/>
          </w:tcPr>
          <w:p>
            <w:pPr>
              <w:ind w:left="40"/>
              <w:spacing w:after="0"/>
              <w:rPr>
                <w:sz w:val="20"/>
                <w:szCs w:val="20"/>
                <w:color w:val="auto"/>
              </w:rPr>
            </w:pPr>
            <w:r>
              <w:rPr>
                <w:rFonts w:ascii="Arial" w:cs="Arial" w:eastAsia="Arial" w:hAnsi="Arial"/>
                <w:sz w:val="18"/>
                <w:szCs w:val="18"/>
                <w:color w:val="auto"/>
              </w:rPr>
              <w:t>and UK Broker)</w:t>
            </w:r>
          </w:p>
        </w:tc>
        <w:tc>
          <w:tcPr>
            <w:tcW w:w="1660" w:type="dxa"/>
            <w:vAlign w:val="bottom"/>
          </w:tcPr>
          <w:p>
            <w:pPr>
              <w:ind w:left="1000"/>
              <w:spacing w:after="0"/>
              <w:rPr>
                <w:sz w:val="20"/>
                <w:szCs w:val="20"/>
                <w:color w:val="auto"/>
              </w:rPr>
            </w:pPr>
            <w:r>
              <w:rPr>
                <w:rFonts w:ascii="Arial" w:cs="Arial" w:eastAsia="Arial" w:hAnsi="Arial"/>
                <w:sz w:val="18"/>
                <w:szCs w:val="18"/>
                <w:color w:val="auto"/>
                <w:w w:val="97"/>
              </w:rPr>
              <w:t>Tel: +44</w:t>
            </w:r>
          </w:p>
        </w:tc>
        <w:tc>
          <w:tcPr>
            <w:tcW w:w="1400" w:type="dxa"/>
            <w:vAlign w:val="bottom"/>
          </w:tcPr>
          <w:p>
            <w:pPr>
              <w:ind w:left="40"/>
              <w:spacing w:after="0"/>
              <w:rPr>
                <w:sz w:val="20"/>
                <w:szCs w:val="20"/>
                <w:color w:val="auto"/>
              </w:rPr>
            </w:pPr>
            <w:r>
              <w:rPr>
                <w:rFonts w:ascii="Arial" w:cs="Arial" w:eastAsia="Arial" w:hAnsi="Arial"/>
                <w:sz w:val="18"/>
                <w:szCs w:val="18"/>
                <w:color w:val="auto"/>
                <w:w w:val="97"/>
              </w:rPr>
              <w:t>(0) 20 7710 7600</w:t>
            </w:r>
          </w:p>
        </w:tc>
      </w:tr>
    </w:tbl>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Stewart Wallace / Jonathan Senior / Ben Maddison</w:t>
      </w:r>
    </w:p>
    <w:sectPr>
      <w:pgSz w:w="11900" w:h="16838" w:orient="portrait"/>
      <w:cols w:equalWidth="0" w:num="1">
        <w:col w:w="11440"/>
      </w:cols>
      <w:pgMar w:left="240" w:top="14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2019-12-08T14:31:49Z</dcterms:created>
  <dcterms:modified xsi:type="dcterms:W3CDTF">2019-12-08T14:31:49Z</dcterms:modified>
</cp:coreProperties>
</file>