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American Depositary Shares, each representing eight Ordinary Shares</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Peter Haahr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Novo Holdings A/S</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Tuborg Havnevej 19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Hellerup, Denmark DK-2900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+45 3527 6592</w:t>
      </w:r>
    </w:p>
    <w:p>
      <w:pPr>
        <w:spacing w:after="0" w:line="200" w:lineRule="exact"/>
        <w:rPr>
          <w:sz w:val="24"/>
          <w:szCs w:val="24"/>
          <w:color w:val="auto"/>
        </w:rPr>
      </w:pPr>
    </w:p>
    <w:p>
      <w:pPr>
        <w:spacing w:after="0" w:line="22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 Shayne Kennedy, Esq.</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Latham &amp; Watkins LLP</w:t>
      </w:r>
    </w:p>
    <w:p>
      <w:pPr>
        <w:spacing w:after="0" w:line="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650 Town Center Drive, 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Costa Mesa, CA 92626</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Telephone: (714) 540-1235</w:t>
      </w:r>
    </w:p>
    <w:p>
      <w:pPr>
        <w:jc w:val="center"/>
        <w:ind w:right="-63"/>
        <w:spacing w:after="0" w:line="224" w:lineRule="auto"/>
        <w:rPr>
          <w:sz w:val="20"/>
          <w:szCs w:val="20"/>
          <w:color w:val="auto"/>
        </w:rPr>
      </w:pPr>
      <w:r>
        <w:rPr>
          <w:rFonts w:ascii="Arial" w:cs="Arial" w:eastAsia="Arial" w:hAnsi="Arial"/>
          <w:sz w:val="14"/>
          <w:szCs w:val="14"/>
          <w:b w:val="1"/>
          <w:bCs w:val="1"/>
          <w:color w:val="auto"/>
        </w:rPr>
        <w:t>(Name, Address and Telephone Number of Person</w:t>
      </w:r>
    </w:p>
    <w:p>
      <w:pPr>
        <w:spacing w:after="0" w:line="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22,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subject of this Schedule 13D, and is filing this statement because of Rule 13d-1(e), 13d-1(f) or 13d-1(g),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5" w:lineRule="exact"/>
        <w:rPr>
          <w:sz w:val="24"/>
          <w:szCs w:val="24"/>
          <w:color w:val="auto"/>
        </w:rPr>
      </w:pPr>
    </w:p>
    <w:p>
      <w:pPr>
        <w:ind w:left="4" w:right="60" w:firstLine="44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925050106</w:t>
      </w:r>
    </w:p>
    <w:p>
      <w:pPr>
        <w:spacing w:after="0" w:line="14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974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974715"/>
                    </a:xfrm>
                    <a:prstGeom prst="rect">
                      <a:avLst/>
                    </a:prstGeom>
                    <a:noFill/>
                  </pic:spPr>
                </pic:pic>
              </a:graphicData>
            </a:graphic>
          </wp:anchor>
        </w:drawing>
      </w:r>
    </w:p>
    <w:p>
      <w:pPr>
        <w:spacing w:after="0" w:line="232" w:lineRule="exact"/>
        <w:rPr>
          <w:sz w:val="20"/>
          <w:szCs w:val="20"/>
          <w:color w:val="auto"/>
        </w:rPr>
      </w:pPr>
    </w:p>
    <w:p>
      <w:pPr>
        <w:ind w:left="1244"/>
        <w:spacing w:after="0"/>
        <w:rPr>
          <w:sz w:val="20"/>
          <w:szCs w:val="20"/>
          <w:color w:val="auto"/>
        </w:rPr>
      </w:pPr>
      <w:r>
        <w:rPr>
          <w:rFonts w:ascii="Arial" w:cs="Arial" w:eastAsia="Arial" w:hAnsi="Arial"/>
          <w:sz w:val="18"/>
          <w:szCs w:val="18"/>
          <w:color w:val="auto"/>
        </w:rPr>
        <w:t>Novo Holdings A/S</w:t>
      </w:r>
    </w:p>
    <w:p>
      <w:pPr>
        <w:spacing w:after="0" w:line="36" w:lineRule="exact"/>
        <w:rPr>
          <w:sz w:val="20"/>
          <w:szCs w:val="20"/>
          <w:color w:val="auto"/>
        </w:rPr>
      </w:pPr>
    </w:p>
    <w:p>
      <w:pPr>
        <w:ind w:left="524" w:hanging="277"/>
        <w:spacing w:after="0"/>
        <w:tabs>
          <w:tab w:leader="none" w:pos="5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23" w:lineRule="exact"/>
        <w:rPr>
          <w:rFonts w:ascii="Arial" w:cs="Arial" w:eastAsia="Arial" w:hAnsi="Arial"/>
          <w:sz w:val="18"/>
          <w:szCs w:val="18"/>
          <w:color w:val="auto"/>
        </w:rPr>
      </w:pPr>
    </w:p>
    <w:p>
      <w:pPr>
        <w:ind w:left="1544" w:hanging="298"/>
        <w:spacing w:after="0" w:line="207" w:lineRule="exact"/>
        <w:tabs>
          <w:tab w:leader="none" w:pos="1544"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544" w:hanging="298"/>
        <w:spacing w:after="0" w:line="207" w:lineRule="exact"/>
        <w:tabs>
          <w:tab w:leader="none" w:pos="1544"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3" w:lineRule="exact"/>
        <w:rPr>
          <w:rFonts w:ascii="Arial" w:cs="Arial" w:eastAsia="Arial" w:hAnsi="Arial"/>
          <w:sz w:val="18"/>
          <w:szCs w:val="18"/>
          <w:color w:val="auto"/>
        </w:rPr>
      </w:pPr>
    </w:p>
    <w:p>
      <w:pPr>
        <w:ind w:left="524" w:hanging="277"/>
        <w:spacing w:after="0"/>
        <w:tabs>
          <w:tab w:leader="none" w:pos="5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1244"/>
        <w:spacing w:after="0"/>
        <w:rPr>
          <w:sz w:val="20"/>
          <w:szCs w:val="20"/>
          <w:color w:val="auto"/>
        </w:rPr>
      </w:pPr>
      <w:r>
        <w:rPr>
          <w:rFonts w:ascii="Arial" w:cs="Arial" w:eastAsia="Arial" w:hAnsi="Arial"/>
          <w:sz w:val="18"/>
          <w:szCs w:val="18"/>
          <w:color w:val="auto"/>
        </w:rPr>
        <w:t>WC</w:t>
      </w:r>
    </w:p>
    <w:p>
      <w:pPr>
        <w:spacing w:after="0" w:line="23" w:lineRule="exact"/>
        <w:rPr>
          <w:sz w:val="20"/>
          <w:szCs w:val="20"/>
          <w:color w:val="auto"/>
        </w:rPr>
      </w:pPr>
    </w:p>
    <w:p>
      <w:pPr>
        <w:ind w:left="524" w:hanging="277"/>
        <w:spacing w:after="0" w:line="184" w:lineRule="exact"/>
        <w:tabs>
          <w:tab w:leader="none" w:pos="5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314" w:lineRule="exact"/>
        <w:rPr>
          <w:rFonts w:ascii="Arial" w:cs="Arial" w:eastAsia="Arial" w:hAnsi="Arial"/>
          <w:sz w:val="16"/>
          <w:szCs w:val="16"/>
          <w:color w:val="auto"/>
        </w:rPr>
      </w:pPr>
    </w:p>
    <w:p>
      <w:pPr>
        <w:ind w:left="524" w:hanging="277"/>
        <w:spacing w:after="0"/>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1244"/>
        <w:spacing w:after="0"/>
        <w:rPr>
          <w:sz w:val="20"/>
          <w:szCs w:val="20"/>
          <w:color w:val="auto"/>
        </w:rPr>
      </w:pPr>
      <w:r>
        <w:rPr>
          <w:rFonts w:ascii="Arial" w:cs="Arial" w:eastAsia="Arial" w:hAnsi="Arial"/>
          <w:sz w:val="18"/>
          <w:szCs w:val="18"/>
          <w:color w:val="auto"/>
        </w:rPr>
        <w:t>Denmark</w:t>
      </w:r>
    </w:p>
    <w:p>
      <w:pPr>
        <w:sectPr>
          <w:pgSz w:w="11900" w:h="16838" w:orient="portrait"/>
          <w:cols w:equalWidth="0" w:num="1">
            <w:col w:w="10744"/>
          </w:cols>
          <w:pgMar w:left="436" w:top="274" w:right="7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42" w:hanging="352"/>
        <w:spacing w:after="0"/>
        <w:tabs>
          <w:tab w:leader="none" w:pos="44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 xml:space="preserve">23,048,499 </w:t>
      </w:r>
      <w:r>
        <w:rPr>
          <w:rFonts w:ascii="Arial" w:cs="Arial" w:eastAsia="Arial" w:hAnsi="Arial"/>
          <w:sz w:val="15"/>
          <w:szCs w:val="15"/>
          <w:color w:val="auto"/>
        </w:rPr>
        <w:t>(1)</w:t>
      </w:r>
    </w:p>
    <w:p>
      <w:pPr>
        <w:spacing w:after="0" w:line="36" w:lineRule="exact"/>
        <w:rPr>
          <w:sz w:val="20"/>
          <w:szCs w:val="20"/>
          <w:color w:val="auto"/>
        </w:rPr>
      </w:pPr>
    </w:p>
    <w:p>
      <w:pPr>
        <w:ind w:left="442" w:hanging="352"/>
        <w:spacing w:after="0"/>
        <w:tabs>
          <w:tab w:leader="none" w:pos="442"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52"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42" w:hanging="352"/>
        <w:spacing w:after="0"/>
        <w:tabs>
          <w:tab w:leader="none" w:pos="442"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52"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 xml:space="preserve">23,048,499 </w:t>
      </w:r>
      <w:r>
        <w:rPr>
          <w:rFonts w:ascii="Arial" w:cs="Arial" w:eastAsia="Arial" w:hAnsi="Arial"/>
          <w:sz w:val="15"/>
          <w:szCs w:val="15"/>
          <w:color w:val="auto"/>
        </w:rPr>
        <w:t>(1)</w:t>
      </w:r>
    </w:p>
    <w:p>
      <w:pPr>
        <w:spacing w:after="0" w:line="36" w:lineRule="exact"/>
        <w:rPr>
          <w:sz w:val="20"/>
          <w:szCs w:val="20"/>
          <w:color w:val="auto"/>
        </w:rPr>
      </w:pPr>
    </w:p>
    <w:p>
      <w:pPr>
        <w:ind w:left="1162" w:right="7120" w:hanging="1162"/>
        <w:spacing w:after="0" w:line="406" w:lineRule="auto"/>
        <w:tabs>
          <w:tab w:leader="none" w:pos="44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 w:lineRule="exact"/>
        <w:rPr>
          <w:sz w:val="20"/>
          <w:szCs w:val="20"/>
          <w:color w:val="auto"/>
        </w:rPr>
      </w:pPr>
    </w:p>
    <w:p>
      <w:pPr>
        <w:sectPr>
          <w:pgSz w:w="11900" w:h="16838" w:orient="portrait"/>
          <w:cols w:equalWidth="0" w:num="2">
            <w:col w:w="1104" w:space="178"/>
            <w:col w:w="9462"/>
          </w:cols>
          <w:pgMar w:left="436" w:top="274" w:right="719" w:bottom="1440" w:gutter="0" w:footer="0" w:header="0"/>
          <w:type w:val="continuous"/>
        </w:sectPr>
      </w:pPr>
    </w:p>
    <w:p>
      <w:pPr>
        <w:ind w:left="164"/>
        <w:spacing w:after="0"/>
        <w:tabs>
          <w:tab w:leader="none" w:pos="5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252" w:lineRule="exact"/>
        <w:rPr>
          <w:sz w:val="20"/>
          <w:szCs w:val="20"/>
          <w:color w:val="auto"/>
        </w:rPr>
      </w:pPr>
    </w:p>
    <w:p>
      <w:pPr>
        <w:ind w:left="1244"/>
        <w:spacing w:after="0"/>
        <w:rPr>
          <w:sz w:val="20"/>
          <w:szCs w:val="20"/>
          <w:color w:val="auto"/>
        </w:rPr>
      </w:pPr>
      <w:r>
        <w:rPr>
          <w:rFonts w:ascii="Arial" w:cs="Arial" w:eastAsia="Arial" w:hAnsi="Arial"/>
          <w:sz w:val="18"/>
          <w:szCs w:val="18"/>
          <w:color w:val="auto"/>
        </w:rPr>
        <w:t xml:space="preserve">23,048,499 </w:t>
      </w:r>
      <w:r>
        <w:rPr>
          <w:rFonts w:ascii="Arial" w:cs="Arial" w:eastAsia="Arial" w:hAnsi="Arial"/>
          <w:sz w:val="15"/>
          <w:szCs w:val="15"/>
          <w:color w:val="auto"/>
        </w:rPr>
        <w:t>(1)</w:t>
      </w:r>
    </w:p>
    <w:p>
      <w:pPr>
        <w:spacing w:after="0" w:line="23" w:lineRule="exact"/>
        <w:rPr>
          <w:sz w:val="20"/>
          <w:szCs w:val="20"/>
          <w:color w:val="auto"/>
        </w:rPr>
      </w:pPr>
    </w:p>
    <w:p>
      <w:pPr>
        <w:ind w:left="524" w:hanging="367"/>
        <w:spacing w:after="0" w:line="207" w:lineRule="exact"/>
        <w:tabs>
          <w:tab w:leader="none" w:pos="5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91" w:lineRule="exact"/>
        <w:rPr>
          <w:rFonts w:ascii="Arial" w:cs="Arial" w:eastAsia="Arial" w:hAnsi="Arial"/>
          <w:sz w:val="18"/>
          <w:szCs w:val="18"/>
          <w:color w:val="auto"/>
        </w:rPr>
      </w:pPr>
    </w:p>
    <w:p>
      <w:pPr>
        <w:ind w:left="524" w:hanging="367"/>
        <w:spacing w:after="0"/>
        <w:tabs>
          <w:tab w:leader="none" w:pos="524"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52" w:lineRule="exact"/>
        <w:rPr>
          <w:sz w:val="20"/>
          <w:szCs w:val="20"/>
          <w:color w:val="auto"/>
        </w:rPr>
      </w:pPr>
    </w:p>
    <w:p>
      <w:pPr>
        <w:ind w:left="1244"/>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5"/>
          <w:szCs w:val="15"/>
          <w:color w:val="auto"/>
        </w:rPr>
        <w:t>(2)</w:t>
      </w:r>
    </w:p>
    <w:p>
      <w:pPr>
        <w:spacing w:after="0" w:line="36" w:lineRule="exact"/>
        <w:rPr>
          <w:sz w:val="20"/>
          <w:szCs w:val="20"/>
          <w:color w:val="auto"/>
        </w:rPr>
      </w:pPr>
    </w:p>
    <w:p>
      <w:pPr>
        <w:ind w:left="524" w:hanging="367"/>
        <w:spacing w:after="0"/>
        <w:tabs>
          <w:tab w:leader="none" w:pos="524"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(a) 6,464,065 ordinary shares, (b) 1,851,851 American Depository Shares (ADSs) that each represent 8 ordinary shares, totaling 14,814,800 ordinary shares, and (c) vested warrants to purchase 1,769,626 ordinary shares (or 221,203 ADSs, at the election of Novo Holdings A/S).</w:t>
      </w:r>
    </w:p>
    <w:p>
      <w:pPr>
        <w:spacing w:after="0" w:line="89"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414,278,294 ordinary shares (assuming conversion of ADSs to ordinary shares) as reported by the Issuer in its press release dated July 22, 2020 and Novo’s vested warrants to purchase 1,769,626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-816610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4"/>
          </w:cols>
          <w:pgMar w:left="436" w:top="274" w:right="7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This amendment (“Amendment No. 1”), amends the Schedule 13D originally filed with the Securities and Exchange Commission (“SEC”) on April 2, 2019 (the “Schedule”), to report certain transactions in the Issuer’s securities and the resulting reduction in beneficial ownership. All capitalized terms contained herein but not otherwise defined shall have the meanings ascribed to such terms in the Schedule.</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 the Schedule is amended and replaced in its entirety as follows:</w:t>
      </w:r>
    </w:p>
    <w:p>
      <w:pPr>
        <w:spacing w:after="0" w:line="135" w:lineRule="exact"/>
        <w:rPr>
          <w:sz w:val="20"/>
          <w:szCs w:val="20"/>
          <w:color w:val="auto"/>
        </w:rPr>
      </w:pPr>
    </w:p>
    <w:p>
      <w:pPr>
        <w:ind w:left="1420" w:hanging="439"/>
        <w:spacing w:after="0" w:line="275"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Novo Holdings A/S is a Danish limited liability company that is wholly owned by Novo Nordisk Fonden (the “Foundation”), a Danish commercial foundation. Novo Holdings A/S is the holding company in the group of Novo companies (currently comprised of Novo Nordisk A/S and Novozymes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68" w:lineRule="exact"/>
        <w:rPr>
          <w:rFonts w:ascii="Arial" w:cs="Arial" w:eastAsia="Arial" w:hAnsi="Arial"/>
          <w:sz w:val="17"/>
          <w:szCs w:val="17"/>
          <w:color w:val="auto"/>
        </w:rPr>
      </w:pPr>
    </w:p>
    <w:p>
      <w:pPr>
        <w:ind w:left="1420" w:right="320"/>
        <w:spacing w:after="0" w:line="277" w:lineRule="auto"/>
        <w:rPr>
          <w:rFonts w:ascii="Arial" w:cs="Arial" w:eastAsia="Arial" w:hAnsi="Arial"/>
          <w:sz w:val="17"/>
          <w:szCs w:val="17"/>
          <w:color w:val="auto"/>
        </w:rPr>
      </w:pPr>
      <w:r>
        <w:rPr>
          <w:rFonts w:ascii="Arial" w:cs="Arial" w:eastAsia="Arial" w:hAnsi="Arial"/>
          <w:sz w:val="18"/>
          <w:szCs w:val="18"/>
          <w:color w:val="auto"/>
        </w:rPr>
        <w:t>The name of each director and executive officer of both Novo Holdings A/S and the Foundation is set forth on Schedule I to this Schedule 13D.</w:t>
      </w:r>
    </w:p>
    <w:p>
      <w:pPr>
        <w:spacing w:after="0" w:line="75" w:lineRule="exact"/>
        <w:rPr>
          <w:rFonts w:ascii="Arial" w:cs="Arial" w:eastAsia="Arial" w:hAnsi="Arial"/>
          <w:sz w:val="17"/>
          <w:szCs w:val="17"/>
          <w:color w:val="auto"/>
        </w:rPr>
      </w:pPr>
    </w:p>
    <w:p>
      <w:pPr>
        <w:ind w:left="1420" w:hanging="439"/>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both Novo Holdings A/S and the Foundation is Tuborg Havnevej 19, 2900 Hellerup, Denmark.</w:t>
      </w:r>
    </w:p>
    <w:p>
      <w:pPr>
        <w:spacing w:after="0" w:line="117" w:lineRule="exact"/>
        <w:rPr>
          <w:rFonts w:ascii="Arial" w:cs="Arial" w:eastAsia="Arial" w:hAnsi="Arial"/>
          <w:sz w:val="18"/>
          <w:szCs w:val="18"/>
          <w:color w:val="auto"/>
        </w:rPr>
      </w:pPr>
    </w:p>
    <w:p>
      <w:pPr>
        <w:ind w:left="1420" w:right="120"/>
        <w:spacing w:after="0" w:line="277" w:lineRule="auto"/>
        <w:rPr>
          <w:rFonts w:ascii="Arial" w:cs="Arial" w:eastAsia="Arial" w:hAnsi="Arial"/>
          <w:sz w:val="18"/>
          <w:szCs w:val="18"/>
          <w:color w:val="auto"/>
        </w:rPr>
      </w:pPr>
      <w:r>
        <w:rPr>
          <w:rFonts w:ascii="Arial" w:cs="Arial" w:eastAsia="Arial" w:hAnsi="Arial"/>
          <w:sz w:val="18"/>
          <w:szCs w:val="18"/>
          <w:color w:val="auto"/>
        </w:rPr>
        <w:t>The residence or business address of each director and executive officer of both Novo Holdings A/S and the Foundation is set forth on Schedule I to this Schedule 13D.</w:t>
      </w:r>
    </w:p>
    <w:p>
      <w:pPr>
        <w:spacing w:after="0" w:line="75" w:lineRule="exact"/>
        <w:rPr>
          <w:rFonts w:ascii="Arial" w:cs="Arial" w:eastAsia="Arial" w:hAnsi="Arial"/>
          <w:sz w:val="18"/>
          <w:szCs w:val="18"/>
          <w:color w:val="auto"/>
        </w:rPr>
      </w:pPr>
    </w:p>
    <w:p>
      <w:pPr>
        <w:ind w:left="1420" w:right="140" w:hanging="439"/>
        <w:spacing w:after="0" w:line="342"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Novo Holdings A/S, a holding company that is responsible for managing the Foundation’s assets, provides seed and venture capital to development stage companies and invests in well-established companies within the life science and biotechnology sector.</w:t>
      </w:r>
    </w:p>
    <w:p>
      <w:pPr>
        <w:spacing w:after="0" w:line="15" w:lineRule="exact"/>
        <w:rPr>
          <w:rFonts w:ascii="Arial" w:cs="Arial" w:eastAsia="Arial" w:hAnsi="Arial"/>
          <w:sz w:val="16"/>
          <w:szCs w:val="16"/>
          <w:color w:val="auto"/>
        </w:rPr>
      </w:pPr>
    </w:p>
    <w:p>
      <w:pPr>
        <w:ind w:left="1420" w:right="240"/>
        <w:spacing w:after="0" w:line="263" w:lineRule="auto"/>
        <w:rPr>
          <w:rFonts w:ascii="Arial" w:cs="Arial" w:eastAsia="Arial" w:hAnsi="Arial"/>
          <w:sz w:val="16"/>
          <w:szCs w:val="16"/>
          <w:color w:val="auto"/>
        </w:rPr>
      </w:pPr>
      <w:r>
        <w:rPr>
          <w:rFonts w:ascii="Arial" w:cs="Arial" w:eastAsia="Arial" w:hAnsi="Arial"/>
          <w:sz w:val="18"/>
          <w:szCs w:val="18"/>
          <w:color w:val="auto"/>
        </w:rPr>
        <w:t>The Foundation is a Danish self-governing and profit-making foundation, whose objectives are to provide a stable basis for commercial and research activities undertaken by the group of Novo companies and to support scientific, humanitarian and social purposes through grants.</w:t>
      </w:r>
    </w:p>
    <w:p>
      <w:pPr>
        <w:spacing w:after="0" w:line="89" w:lineRule="exact"/>
        <w:rPr>
          <w:rFonts w:ascii="Arial" w:cs="Arial" w:eastAsia="Arial" w:hAnsi="Arial"/>
          <w:sz w:val="16"/>
          <w:szCs w:val="16"/>
          <w:color w:val="auto"/>
        </w:rPr>
      </w:pPr>
    </w:p>
    <w:p>
      <w:pPr>
        <w:ind w:left="1420" w:right="260" w:hanging="439"/>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the last five years, neither Novo Holdings A/S, the Foundation, nor any person named in Schedule I has been convicted in any criminal proceedings.</w:t>
      </w:r>
    </w:p>
    <w:p>
      <w:pPr>
        <w:spacing w:after="0" w:line="75" w:lineRule="exact"/>
        <w:rPr>
          <w:rFonts w:ascii="Arial" w:cs="Arial" w:eastAsia="Arial" w:hAnsi="Arial"/>
          <w:sz w:val="18"/>
          <w:szCs w:val="18"/>
          <w:color w:val="auto"/>
        </w:rPr>
      </w:pPr>
    </w:p>
    <w:p>
      <w:pPr>
        <w:ind w:left="1420" w:right="320" w:hanging="439"/>
        <w:spacing w:after="0" w:line="259"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the last five years, neither Novo Holdings A/S, the Foundation, nor any person named in Schedule 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July 22, 2020, the Issuer’s private placement financing closed and Novo Holdings A/S acquired 1,111,111 ADSs, representing 8,888,888 ordinary shares, at a price per ADS of $4.50 per ADS, in the private placement financing. The purchase price for these securities was paid by Novo Holdings A/S from its working capital.</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of the Schedule is amended and replaced in its entirety as follows:</w:t>
      </w:r>
    </w:p>
    <w:p>
      <w:pPr>
        <w:spacing w:after="0" w:line="121" w:lineRule="exact"/>
        <w:rPr>
          <w:sz w:val="20"/>
          <w:szCs w:val="20"/>
          <w:color w:val="auto"/>
        </w:rPr>
      </w:pPr>
    </w:p>
    <w:p>
      <w:pPr>
        <w:ind w:firstLine="987"/>
        <w:spacing w:after="0" w:line="263" w:lineRule="auto"/>
        <w:tabs>
          <w:tab w:leader="none" w:pos="1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Novo Holdings A/S beneficially owns 23,048,499 ordinary shares (the “Novo Shares”) representing approximately 5.5% of the Issuer’s outstanding ordinary shares, based upon 414,278,294 ordinary shares (assuming conversion of ADSs to ordinary shares) as reported by the Issuer in its press release dated July 22, 2020 and Novo’s vested warrants to purchase 1,769,626 ordinary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right="260" w:firstLine="987"/>
        <w:spacing w:after="0" w:line="296" w:lineRule="auto"/>
        <w:tabs>
          <w:tab w:leader="none" w:pos="1246"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Novo Holdings A/S is a Danish limited liability company wholly owned by the Novo Nordisk Foundation. Novo Holdings A/S, through its Board of Directors (the “Novo Board”), has the sole power to vote and dispose of the Novo Shares. The Novo Board may exercise voting and dispositive control over the Novo Shares with approval by a majority of the Novo Board. As such, no individual member of the Novo Board is deemed to hold any beneficial ownership or reportable pecuniary interest in the Novo Shares. Except as described above regarding the Novo Board, neither the Foundation nor any person listed on Schedule I has the power to direct the vote as to, or the disposition of, the Novo Shares.</w:t>
      </w:r>
    </w:p>
    <w:p>
      <w:pPr>
        <w:spacing w:after="0" w:line="161" w:lineRule="exact"/>
        <w:rPr>
          <w:rFonts w:ascii="Arial" w:cs="Arial" w:eastAsia="Arial" w:hAnsi="Arial"/>
          <w:sz w:val="16"/>
          <w:szCs w:val="16"/>
          <w:color w:val="auto"/>
        </w:rPr>
      </w:pPr>
    </w:p>
    <w:p>
      <w:pPr>
        <w:ind w:firstLine="987"/>
        <w:spacing w:after="0" w:line="342" w:lineRule="auto"/>
        <w:tabs>
          <w:tab w:leader="none" w:pos="12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described herein, Novo Holdings A/S has not effected any transactions in the Issuer’s Common Stock within the past 60 days and neither the Foundation nor any person listed on Schedule I has effected any transactions in the Issuer’s Common Stock within the past 60 days.</w:t>
      </w:r>
    </w:p>
    <w:p>
      <w:pPr>
        <w:spacing w:after="0" w:line="123"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Novo Holdings A/S does not know of any other person having the right to receive or the power to direct the receipt of dividends from, or the proceeds from the sale of, the Novo Shares.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the private placement financing, the Issuer entered into a Registration Rights Agreement dated July 16, 2020 with the purchasers of securities in the private placement financing, including Novo Holdings A/S, pursuant to which the Issuer agreed to file with the SEC within 30 days following the private placement financing a registration statement covering the resale of the securities purchased in the private placement financing. The description of the Registration Rights Agreement in this Item 6 is a summary only and is qualified in its entirety by the actual terms of such agreement, which are incorporated herein by reference. See Item 7 “Material to be Filed as Exhibits.”</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 Agreement dated July 16, 2020</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Dated: July 24, 2020</w:t>
      </w:r>
      <w:r>
        <w:rPr>
          <w:sz w:val="20"/>
          <w:szCs w:val="20"/>
          <w:color w:val="auto"/>
        </w:rPr>
        <w:tab/>
      </w:r>
      <w:r>
        <w:rPr>
          <w:rFonts w:ascii="Arial" w:cs="Arial" w:eastAsia="Arial" w:hAnsi="Arial"/>
          <w:sz w:val="16"/>
          <w:szCs w:val="16"/>
          <w:color w:val="auto"/>
        </w:rPr>
        <w:t>Novo Holdings A/S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Peter Haahr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14605</wp:posOffset>
            </wp:positionV>
            <wp:extent cx="3806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By:Peter Haahr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Its:Chief Financial Officer</w:t>
      </w:r>
    </w:p>
    <w:p>
      <w:pPr>
        <w:sectPr>
          <w:pgSz w:w="11900" w:h="16838" w:orient="portrait"/>
          <w:cols w:equalWidth="0" w:num="1">
            <w:col w:w="10880"/>
          </w:cols>
          <w:pgMar w:left="440" w:top="270" w:right="5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each director and executive officer of both Novo Holdings A/S and the Novo Nordisk Foundation is set forth below.</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Novo Holdings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394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39433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Name, Title</w:t>
            </w:r>
          </w:p>
        </w:tc>
        <w:tc>
          <w:tcPr>
            <w:tcW w:w="276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Address</w:t>
            </w:r>
          </w:p>
        </w:tc>
        <w:tc>
          <w:tcPr>
            <w:tcW w:w="27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Principal Occupation</w:t>
            </w:r>
          </w:p>
        </w:tc>
        <w:tc>
          <w:tcPr>
            <w:tcW w:w="26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rPr>
              <w:t>Citizenship</w:t>
            </w: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Lars Rebien Sørensen,</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9"/>
              </w:rPr>
              <w:t>Christianholms Tværvej 27, 2930</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Professional Board Director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Chairman of the Board</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Klampenborg</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Steen Riisgaard,</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Hestetangsvej 155,</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Professional Board Director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Vice Chairman of the Board</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3520 Farum,</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Jean-Luc Butel,</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235 Arcadia Road, #03-04, 28984</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Global Healthcare Advisor,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Singapore</w:t>
            </w:r>
          </w:p>
        </w:tc>
      </w:tr>
      <w:tr>
        <w:trPr>
          <w:trHeight w:val="230"/>
        </w:trPr>
        <w:tc>
          <w:tcPr>
            <w:tcW w:w="2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President, K8 Global Pte Ltd.</w:t>
            </w: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Jeppe Christiansen,</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Løngangstræde 21 A, 5.,</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Chief Executive Officer,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1468 København K ,</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Fondsmaeglerselskabet Maj Invest</w:t>
            </w: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w:t>
            </w: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Francis Michael Cyprian Cuss,</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111 Rippling Brook Way,</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Former Executive Vice President</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United Kingdom</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Bernardsville,</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Chief Scientific Officer of</w:t>
            </w:r>
          </w:p>
        </w:tc>
        <w:tc>
          <w:tcPr>
            <w:tcW w:w="26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NJ 07924</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Bristol-Myers Squibb</w:t>
            </w: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USA</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Viviane Monges,</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Chemin de Craivavers 32, 1012</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Professional Board Director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France</w:t>
            </w:r>
          </w:p>
        </w:tc>
      </w:tr>
      <w:tr>
        <w:trPr>
          <w:trHeight w:val="230"/>
        </w:trPr>
        <w:tc>
          <w:tcPr>
            <w:tcW w:w="2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Lausanne, Switzerland</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Poul Carsten Stendevad,</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3220 Idaho Ave NW</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Senior Fellow,</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Washington, DC 20016</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Bridgewater Associates</w:t>
            </w: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USA</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Kasim Kutay,</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Bredgade 63, 3.tv.</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Chief Executive Officer of Novo</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United Kingdom</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Chief Executive Officer of Holdings</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1260 København K</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Holdings A/S</w:t>
            </w: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A/S</w:t>
            </w: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Peter Haahr,</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Ordrup Have 21</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Chief Financial Officer of Novo</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Chief Financial Officer of Novo</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2900 Charlottenlund</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Holdings A/S</w:t>
            </w: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Holdings A/S</w:t>
            </w: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bl>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Novo Nordisk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1577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157734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Name, Title</w:t>
            </w:r>
          </w:p>
        </w:tc>
        <w:tc>
          <w:tcPr>
            <w:tcW w:w="276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Address</w:t>
            </w:r>
          </w:p>
        </w:tc>
        <w:tc>
          <w:tcPr>
            <w:tcW w:w="27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Principal Occupation</w:t>
            </w:r>
          </w:p>
        </w:tc>
        <w:tc>
          <w:tcPr>
            <w:tcW w:w="26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rPr>
              <w:t>Citizenship</w:t>
            </w: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Lars Rebien Sørensen,</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Christianholms Tværvej 27</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Professional Board Director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Chairman of the Board</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2930 Klampenborg</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Marianne Philip,</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Annasvej 28</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Attorney</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Vice Chairman of the Board</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2900 Hellerup</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Steen Riisgaard,</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Hestetangsvej 155</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Professional Board Director</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3520 Farum</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Novo Nordisk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3583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3583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0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Name, Title</w:t>
            </w:r>
          </w:p>
        </w:tc>
        <w:tc>
          <w:tcPr>
            <w:tcW w:w="276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Address</w:t>
            </w:r>
          </w:p>
        </w:tc>
        <w:tc>
          <w:tcPr>
            <w:tcW w:w="27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Principal Occupation</w:t>
            </w:r>
          </w:p>
        </w:tc>
        <w:tc>
          <w:tcPr>
            <w:tcW w:w="26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rPr>
              <w:t>Citizenship</w:t>
            </w: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Birgitte Nauntofte,</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Engbakkevej 24</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Chief Executive Officer, Novo</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Chief Executive Officer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2920 Charlottenlund</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Nordisk Foundation</w:t>
            </w: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Niels Peder Nielsen,</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Winthersvej 10, 3480 Fredensborg</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Deputy CEO, Novo Nordisk</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37"/>
        </w:trPr>
        <w:tc>
          <w:tcPr>
            <w:tcW w:w="2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Deputy CEO</w:t>
            </w: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Foundation</w:t>
            </w: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Anne Marie Kverneland,</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Nybrovej 216</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Laboratory technician, Novo</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2800 Kgs. Lyngby</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Nordisk A/S</w:t>
            </w: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Lars Bo Køppler,</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Anemonevej 7</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Technician, Novozymes A/S</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3550 Slangerup</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Lars Fugger,</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72 Staunton Road, Headington</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4"/>
              </w:rPr>
              <w:t>Professor, John Radcliffe Hospital,</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OX3 7TP</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University of Oxford, Oxford, Great</w:t>
            </w:r>
          </w:p>
        </w:tc>
        <w:tc>
          <w:tcPr>
            <w:tcW w:w="2620" w:type="dxa"/>
            <w:vAlign w:val="bottom"/>
          </w:tcPr>
          <w:p>
            <w:pPr>
              <w:spacing w:after="0"/>
              <w:rPr>
                <w:sz w:val="18"/>
                <w:szCs w:val="18"/>
                <w:color w:val="auto"/>
              </w:rPr>
            </w:pPr>
          </w:p>
        </w:tc>
      </w:tr>
      <w:tr>
        <w:trPr>
          <w:trHeight w:val="230"/>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Great Britain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Britain</w:t>
            </w:r>
          </w:p>
        </w:tc>
        <w:tc>
          <w:tcPr>
            <w:tcW w:w="2620" w:type="dxa"/>
            <w:vAlign w:val="bottom"/>
            <w:tcBorders>
              <w:bottom w:val="single" w:sz="8" w:color="auto"/>
            </w:tcBorders>
          </w:tcPr>
          <w:p>
            <w:pPr>
              <w:spacing w:after="0"/>
              <w:rPr>
                <w:sz w:val="20"/>
                <w:szCs w:val="20"/>
                <w:color w:val="auto"/>
              </w:rPr>
            </w:pPr>
          </w:p>
        </w:tc>
      </w:tr>
      <w:tr>
        <w:trPr>
          <w:trHeight w:val="195"/>
        </w:trPr>
        <w:tc>
          <w:tcPr>
            <w:tcW w:w="29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Lars Henrik Munch,</w:t>
            </w:r>
          </w:p>
        </w:tc>
        <w:tc>
          <w:tcPr>
            <w:tcW w:w="27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Galionsvej 46</w:t>
            </w:r>
          </w:p>
        </w:tc>
        <w:tc>
          <w:tcPr>
            <w:tcW w:w="2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Professional Board Director</w:t>
            </w:r>
          </w:p>
        </w:tc>
        <w:tc>
          <w:tcPr>
            <w:tcW w:w="2620" w:type="dxa"/>
            <w:vAlign w:val="bottom"/>
          </w:tcPr>
          <w:p>
            <w:pPr>
              <w:ind w:left="80"/>
              <w:spacing w:after="0" w:line="195"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1437 København K</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Mads Boritz Grøn,</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Horsevænget 4</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Senior Lead Auditor</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3400 Hillerød</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2"/>
        </w:trPr>
        <w:tc>
          <w:tcPr>
            <w:tcW w:w="2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Liselotte Højgaard,</w:t>
            </w:r>
          </w:p>
        </w:tc>
        <w:tc>
          <w:tcPr>
            <w:tcW w:w="27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Grønningen 21</w:t>
            </w:r>
          </w:p>
        </w:tc>
        <w:tc>
          <w:tcPr>
            <w:tcW w:w="2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Professor</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Denmark</w:t>
            </w:r>
          </w:p>
        </w:tc>
      </w:tr>
      <w:tr>
        <w:trPr>
          <w:trHeight w:val="216"/>
        </w:trPr>
        <w:tc>
          <w:tcPr>
            <w:tcW w:w="2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1270 København K</w:t>
            </w:r>
          </w:p>
        </w:tc>
        <w:tc>
          <w:tcPr>
            <w:tcW w:w="274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237"/>
        </w:trPr>
        <w:tc>
          <w:tcPr>
            <w:tcW w:w="29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2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83"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Registration Rights Agreement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July 16, 2020 by and among Verona Pharma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“Investors” named in that certain Securities Purchase Agreement by and among the Company and the Investors, dated as of July 16, 2020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Capitalized terms used herein have the respective meanings ascribed thereto in the Purchase Agreement unless otherwise defined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as follows:</w:t>
      </w:r>
    </w:p>
    <w:p>
      <w:pPr>
        <w:spacing w:after="0" w:line="117" w:lineRule="exact"/>
        <w:rPr>
          <w:sz w:val="20"/>
          <w:szCs w:val="20"/>
          <w:color w:val="auto"/>
        </w:rPr>
      </w:pPr>
    </w:p>
    <w:p>
      <w:pPr>
        <w:ind w:left="440" w:right="3540" w:hanging="4"/>
        <w:spacing w:after="0" w:line="500"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Definitions. As used in this Agreement, the following terms shall have the following meanings: “</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first paragraph.</w:t>
      </w:r>
    </w:p>
    <w:p>
      <w:pPr>
        <w:spacing w:after="0" w:line="1" w:lineRule="exact"/>
        <w:rPr>
          <w:rFonts w:ascii="Arial" w:cs="Arial" w:eastAsia="Arial" w:hAnsi="Arial"/>
          <w:sz w:val="18"/>
          <w:szCs w:val="18"/>
          <w:color w:val="auto"/>
        </w:rPr>
      </w:pPr>
    </w:p>
    <w:p>
      <w:pPr>
        <w:ind w:left="440" w:right="612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Allowed Delay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 “</w:t>
      </w:r>
      <w:r>
        <w:rPr>
          <w:rFonts w:ascii="Arial" w:cs="Arial" w:eastAsia="Arial" w:hAnsi="Arial"/>
          <w:sz w:val="16"/>
          <w:szCs w:val="16"/>
          <w:u w:val="single" w:color="auto"/>
          <w:color w:val="auto"/>
        </w:rPr>
        <w:t>Blackout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 “</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first paragraph.</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 Back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Failure</w:t>
      </w:r>
      <w:r>
        <w:rPr>
          <w:rFonts w:ascii="Arial" w:cs="Arial" w:eastAsia="Arial" w:hAnsi="Arial"/>
          <w:sz w:val="18"/>
          <w:szCs w:val="18"/>
          <w:color w:val="auto"/>
        </w:rPr>
        <w:t>” has the meaning set forth in Section 2.4(b).</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Investors identified in the Purchase Agreement and any Affiliate or permitted transferee of any Investor who is a subsequent holder of Registrable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w:t>
      </w:r>
      <w:r>
        <w:rPr>
          <w:rFonts w:ascii="Arial" w:cs="Arial" w:eastAsia="Arial" w:hAnsi="Arial"/>
          <w:sz w:val="17"/>
          <w:szCs w:val="17"/>
          <w:u w:val="single" w:color="auto"/>
          <w:color w:val="auto"/>
        </w:rPr>
        <w:t>registered</w:t>
      </w:r>
      <w:r>
        <w:rPr>
          <w:rFonts w:ascii="Arial" w:cs="Arial" w:eastAsia="Arial" w:hAnsi="Arial"/>
          <w:sz w:val="17"/>
          <w:szCs w:val="17"/>
          <w:color w:val="auto"/>
        </w:rPr>
        <w:t>” and “</w:t>
      </w:r>
      <w:r>
        <w:rPr>
          <w:rFonts w:ascii="Arial" w:cs="Arial" w:eastAsia="Arial" w:hAnsi="Arial"/>
          <w:sz w:val="17"/>
          <w:szCs w:val="17"/>
          <w:u w:val="single" w:color="auto"/>
          <w:color w:val="auto"/>
        </w:rPr>
        <w:t>registration</w:t>
      </w:r>
      <w:r>
        <w:rPr>
          <w:rFonts w:ascii="Arial" w:cs="Arial" w:eastAsia="Arial" w:hAnsi="Arial"/>
          <w:sz w:val="17"/>
          <w:szCs w:val="17"/>
          <w:color w:val="auto"/>
        </w:rPr>
        <w:t>” refer to a registration made by preparing and filing a Registration Statement or similar document in compliance with the 1933 Act, and the declaration or ordering of effectiveness of such Registration Statement or document.</w:t>
      </w:r>
    </w:p>
    <w:p>
      <w:pPr>
        <w:sectPr>
          <w:pgSz w:w="11900" w:h="16838" w:orient="portrait"/>
          <w:cols w:equalWidth="0" w:num="1">
            <w:col w:w="11020"/>
          </w:cols>
          <w:pgMar w:left="440" w:top="121" w:right="439" w:bottom="1440" w:gutter="0" w:footer="0" w:header="0"/>
        </w:sectPr>
      </w:pPr>
    </w:p>
    <w:bookmarkStart w:id="8" w:name="page9"/>
    <w:bookmarkEnd w:id="8"/>
    <w:p>
      <w:pPr>
        <w:ind w:left="4" w:right="1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Private Placement Shares and the Redesignated Shares and (ii) any other Ordinary Shares issued as a dividend or other distribution with respect to, in exchange for or in replacement of the Private Placement Shares and Redesignated Shares; provided, however, that any such Registrable Securities shall cease to be Registrable Securities (and the Company shall not be required to maintain the effectiveness of any, or file another, Registration Statement hereunder with respect thereto) with respect to a particular holder upon the first to occur of</w:t>
      </w:r>
    </w:p>
    <w:p>
      <w:pPr>
        <w:spacing w:after="0" w:line="1" w:lineRule="exact"/>
        <w:rPr>
          <w:sz w:val="20"/>
          <w:szCs w:val="20"/>
          <w:color w:val="auto"/>
        </w:rPr>
      </w:pPr>
    </w:p>
    <w:p>
      <w:pPr>
        <w:ind w:left="4" w:right="80" w:hanging="4"/>
        <w:spacing w:after="0" w:line="252" w:lineRule="auto"/>
        <w:tabs>
          <w:tab w:leader="none" w:pos="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Registration Statement with respect to the sale of such Registrable Securities being declared effective by the SEC under the 1933 Act and such Registrable Securities having been disposed of or transferred by the holder thereof in accordance with such effective Registration Statement, (B) such Registrable Securities having been previously sold or transferred by the holder in accordance with Rule 144 (or another exemption from the registration requirements of the 1933 Act but excluding transfers to Affiliates ), (C) such Registrable Securities becoming eligible for resale by the holder without volume or manner-of-sale restrictions and without current public information requirements pursuant to Rule 144 and (D) the fifth anniversary of the Closing Date.</w:t>
      </w:r>
    </w:p>
    <w:p>
      <w:pPr>
        <w:spacing w:after="0" w:line="194" w:lineRule="exact"/>
        <w:rPr>
          <w:sz w:val="20"/>
          <w:szCs w:val="20"/>
          <w:color w:val="auto"/>
        </w:rPr>
      </w:pPr>
    </w:p>
    <w:p>
      <w:pPr>
        <w:ind w:left="4" w:right="3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Restrictions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Selling Securityholder Questionnaire</w:t>
      </w:r>
      <w:r>
        <w:rPr>
          <w:rFonts w:ascii="Arial" w:cs="Arial" w:eastAsia="Arial" w:hAnsi="Arial"/>
          <w:sz w:val="17"/>
          <w:szCs w:val="17"/>
          <w:color w:val="auto"/>
        </w:rPr>
        <w:t xml:space="preserve">” means the Selling Securityholder Questionnaire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 Registration.</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117" w:lineRule="exact"/>
        <w:rPr>
          <w:sz w:val="20"/>
          <w:szCs w:val="20"/>
          <w:color w:val="auto"/>
        </w:rPr>
      </w:pPr>
    </w:p>
    <w:p>
      <w:pPr>
        <w:ind w:left="984" w:firstLine="408"/>
        <w:spacing w:after="0" w:line="254" w:lineRule="auto"/>
        <w:tabs>
          <w:tab w:leader="none" w:pos="16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later than thirty (30) calendar days following the Closing Date (the “</w:t>
      </w:r>
      <w:r>
        <w:rPr>
          <w:rFonts w:ascii="Arial" w:cs="Arial" w:eastAsia="Arial" w:hAnsi="Arial"/>
          <w:sz w:val="18"/>
          <w:szCs w:val="18"/>
          <w:u w:val="single" w:color="auto"/>
          <w:color w:val="auto"/>
        </w:rPr>
        <w:t>Filing Deadline</w:t>
      </w:r>
      <w:r>
        <w:rPr>
          <w:rFonts w:ascii="Arial" w:cs="Arial" w:eastAsia="Arial" w:hAnsi="Arial"/>
          <w:sz w:val="18"/>
          <w:szCs w:val="18"/>
          <w:color w:val="auto"/>
        </w:rPr>
        <w:t>”), the Company shall prepare and file with the SEC one Registration Statement covering the resale of all of the Registrable Securities. Subject to any SEC comments, such Registration Statement shall include the plan of distribution substantially in form and substance as set forth in Part III of each Investor’s Selling Securityholder Questionnaire. Such Registration Statement also shall cover, to the extent allowable under the 1933 Act and the rules promulgated thereunder (including Rule 416), such indeterminate number of additional Ordinary Shares resulting from share splits or sub-divisions, share dividends or similar transactions with respect to the Private Placement Shares and Redesignated Shares. Such Registration Statement (and each amendment or supplement thereto) shall be provided to the Investors prior to its filing or other submission.</w:t>
      </w:r>
    </w:p>
    <w:p>
      <w:pPr>
        <w:spacing w:after="0" w:line="83" w:lineRule="exact"/>
        <w:rPr>
          <w:rFonts w:ascii="Arial" w:cs="Arial" w:eastAsia="Arial" w:hAnsi="Arial"/>
          <w:sz w:val="18"/>
          <w:szCs w:val="18"/>
          <w:color w:val="auto"/>
        </w:rPr>
      </w:pPr>
    </w:p>
    <w:p>
      <w:pPr>
        <w:ind w:left="984" w:right="100" w:firstLine="408"/>
        <w:spacing w:after="0" w:line="291" w:lineRule="auto"/>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shall use its reasonable best efforts to register the Registrable Securities on Form F-3 or S-3, as the case may be, following the date such form is available for use by the Company for all of the Registrable Securities, provided that if at such time the Registration Statement is on Form F-1 or Form S-1, as the case may be, the Company shall maintain the effectiveness of the Registration Statement then in effect until such time as a Registration Statement on Form F-3 or S-3, as applicable, covering the Registrable Securities has been declared effective by the SEC. In the event the Company is eligible to file a Registration Statement on Form F-3 or S-3 at a time when Registrable Securities are covered under a Registration Statement on Form F-1 or S-1, the Company shall use its reasonable best efforts to file such Registration Statement on Form F-3 or S-3 to cover such Registrable Securities as promptly as possible.</w:t>
      </w:r>
    </w:p>
    <w:p>
      <w:pPr>
        <w:sectPr>
          <w:pgSz w:w="11900" w:h="16838" w:orient="portrait"/>
          <w:cols w:equalWidth="0" w:num="1">
            <w:col w:w="11004"/>
          </w:cols>
          <w:pgMar w:left="436" w:top="274" w:right="459" w:bottom="1440" w:gutter="0" w:footer="0" w:header="0"/>
        </w:sectPr>
      </w:pPr>
    </w:p>
    <w:bookmarkStart w:id="9" w:name="page10"/>
    <w:bookmarkEnd w:id="9"/>
    <w:p>
      <w:pPr>
        <w:ind w:right="40" w:firstLine="42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for the one legal counsel selected by the Investors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Company shall not be responsible for legal fees incurred by holders of Registrable Securities in connection with the performance of its rights and obligations under the Transaction Documents. The Company shall pay all expenses of the Depositary in connection with issuance of the Private Placement ADSs.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sz w:val="20"/>
          <w:szCs w:val="20"/>
          <w:color w:val="auto"/>
        </w:rPr>
      </w:pPr>
    </w:p>
    <w:p>
      <w:pPr>
        <w:ind w:left="540" w:right="80" w:firstLine="408"/>
        <w:spacing w:after="0" w:line="287" w:lineRule="auto"/>
        <w:tabs>
          <w:tab w:leader="none" w:pos="118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shall use reasonable best efforts to have each Registration Statement declared effective as soon as practicable following notification by the SEC to the Company that it has completed its review of (or will not be reviewing) such Registration Statement. The Company shall notify the Investors by facsimile or e-mail as promptly as practicable, and in any event, within twenty-four</w:t>
      </w:r>
    </w:p>
    <w:p>
      <w:pPr>
        <w:spacing w:after="0" w:line="2" w:lineRule="exact"/>
        <w:rPr>
          <w:rFonts w:ascii="Arial" w:cs="Arial" w:eastAsia="Arial" w:hAnsi="Arial"/>
          <w:sz w:val="16"/>
          <w:szCs w:val="16"/>
          <w:color w:val="auto"/>
        </w:rPr>
      </w:pPr>
    </w:p>
    <w:p>
      <w:pPr>
        <w:ind w:left="540" w:right="380" w:firstLine="7"/>
        <w:spacing w:after="0" w:line="290" w:lineRule="auto"/>
        <w:tabs>
          <w:tab w:leader="none" w:pos="8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hours, after the Registration Statement is declared effective or is supplemented and shall provide the Investors with copies of any related Prospectus to be used in connection with the sale or other disposition of the securities covered thereby.</w:t>
      </w:r>
    </w:p>
    <w:p>
      <w:pPr>
        <w:spacing w:after="0" w:line="53" w:lineRule="exact"/>
        <w:rPr>
          <w:rFonts w:ascii="Arial" w:cs="Arial" w:eastAsia="Arial" w:hAnsi="Arial"/>
          <w:sz w:val="17"/>
          <w:szCs w:val="17"/>
          <w:color w:val="auto"/>
        </w:rPr>
      </w:pPr>
    </w:p>
    <w:p>
      <w:pPr>
        <w:ind w:left="540" w:firstLine="408"/>
        <w:spacing w:after="0" w:line="285" w:lineRule="auto"/>
        <w:tabs>
          <w:tab w:leader="none" w:pos="1196"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nonpublic information in the Registration Statement concerning the Company, the disclosure of which at the time is not, in the good faith opinion of the Company, in the best interests of the Company or (Y) the Company determines in good faith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no event shall holders of Registrable Securities be suspended from selling Registrable Securities pursuant to the Registration Statement for a period that exceeds 30 consecutive calendar days or 60 total calendar days in any 360-day period (any such suspension contemplated by this </w:t>
      </w:r>
      <w:r>
        <w:rPr>
          <w:rFonts w:ascii="Arial" w:cs="Arial" w:eastAsia="Arial" w:hAnsi="Arial"/>
          <w:sz w:val="16"/>
          <w:szCs w:val="16"/>
          <w:u w:val="single" w:color="auto"/>
          <w:color w:val="auto"/>
        </w:rPr>
        <w:t>Section 2.3(b)</w:t>
      </w:r>
      <w:r>
        <w:rPr>
          <w:rFonts w:ascii="Arial" w:cs="Arial" w:eastAsia="Arial" w:hAnsi="Arial"/>
          <w:sz w:val="16"/>
          <w:szCs w:val="16"/>
          <w:color w:val="auto"/>
        </w:rPr>
        <w:t>, an “</w:t>
      </w:r>
      <w:r>
        <w:rPr>
          <w:rFonts w:ascii="Arial" w:cs="Arial" w:eastAsia="Arial" w:hAnsi="Arial"/>
          <w:sz w:val="16"/>
          <w:szCs w:val="16"/>
          <w:u w:val="single" w:color="auto"/>
          <w:color w:val="auto"/>
        </w:rPr>
        <w:t>Allowed</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Delay</w:t>
      </w:r>
      <w:r>
        <w:rPr>
          <w:rFonts w:ascii="Arial" w:cs="Arial" w:eastAsia="Arial" w:hAnsi="Arial"/>
          <w:sz w:val="16"/>
          <w:szCs w:val="16"/>
          <w:color w:val="auto"/>
        </w:rPr>
        <w:t>”); provided, further,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such Registration Statement until the end of the Allowed Delay and (c) use reasonable best efforts to terminate an Allowed Delay as promptly as practicable.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ectPr>
          <w:pgSz w:w="11900" w:h="16838" w:orient="portrait"/>
          <w:cols w:equalWidth="0" w:num="1">
            <w:col w:w="10560"/>
          </w:cols>
          <w:pgMar w:left="88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2.4. </w:t>
      </w:r>
      <w:r>
        <w:rPr>
          <w:rFonts w:ascii="Arial" w:cs="Arial" w:eastAsia="Arial" w:hAnsi="Arial"/>
          <w:sz w:val="18"/>
          <w:szCs w:val="18"/>
          <w:u w:val="single" w:color="auto"/>
          <w:color w:val="auto"/>
        </w:rPr>
        <w:t>Effect of Failure to File and Obtain and Maintain Effectiveness of Registration Statement</w:t>
      </w:r>
      <w:r>
        <w:rPr>
          <w:rFonts w:ascii="Arial" w:cs="Arial" w:eastAsia="Arial" w:hAnsi="Arial"/>
          <w:sz w:val="18"/>
          <w:szCs w:val="18"/>
          <w:color w:val="auto"/>
        </w:rPr>
        <w:t>.</w:t>
      </w:r>
    </w:p>
    <w:p>
      <w:pPr>
        <w:spacing w:after="0" w:line="117" w:lineRule="exact"/>
        <w:rPr>
          <w:sz w:val="20"/>
          <w:szCs w:val="20"/>
          <w:color w:val="auto"/>
        </w:rPr>
      </w:pPr>
    </w:p>
    <w:p>
      <w:pPr>
        <w:ind w:left="120" w:firstLine="408"/>
        <w:spacing w:after="0" w:line="284" w:lineRule="auto"/>
        <w:tabs>
          <w:tab w:leader="none" w:pos="765"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a Registration Statement covering the Registrable Securities is not filed with the SEC on or prior to the third Business Day following the Filing Deadline (a “</w:t>
      </w:r>
      <w:r>
        <w:rPr>
          <w:rFonts w:ascii="Arial" w:cs="Arial" w:eastAsia="Arial" w:hAnsi="Arial"/>
          <w:sz w:val="16"/>
          <w:szCs w:val="16"/>
          <w:u w:val="single" w:color="auto"/>
          <w:color w:val="auto"/>
        </w:rPr>
        <w:t>Filing Failure</w:t>
      </w:r>
      <w:r>
        <w:rPr>
          <w:rFonts w:ascii="Arial" w:cs="Arial" w:eastAsia="Arial" w:hAnsi="Arial"/>
          <w:sz w:val="16"/>
          <w:szCs w:val="16"/>
          <w:color w:val="auto"/>
        </w:rPr>
        <w:t>”), the Company will make pro rata payments to each Investor, as liquidated damages and not as a penalty, in an amount equal to 1.5% of the aggregate amount paid pursuant to the Purchase Agreement by such Investor for such Registrable Securities then held by such Investor on the initial day of a Filing Failure and every thirtieth (30</w:t>
      </w:r>
      <w:r>
        <w:rPr>
          <w:rFonts w:ascii="Arial" w:cs="Arial" w:eastAsia="Arial" w:hAnsi="Arial"/>
          <w:sz w:val="13"/>
          <w:szCs w:val="13"/>
          <w:color w:val="auto"/>
        </w:rPr>
        <w:t>th</w:t>
      </w:r>
      <w:r>
        <w:rPr>
          <w:rFonts w:ascii="Arial" w:cs="Arial" w:eastAsia="Arial" w:hAnsi="Arial"/>
          <w:sz w:val="16"/>
          <w:szCs w:val="16"/>
          <w:color w:val="auto"/>
        </w:rPr>
        <w:t>) day thereafter (pro-rated for periods less than thirty (30) days). Such payments shall constitute the Investors’ exclusive monetary remedy for such events, but shall not affect the right of the Investors to seek injunctive relief. Such payments shall be made to each Investor in cash no later than ten</w:t>
      </w:r>
    </w:p>
    <w:p>
      <w:pPr>
        <w:spacing w:after="0" w:line="4" w:lineRule="exact"/>
        <w:rPr>
          <w:rFonts w:ascii="Arial" w:cs="Arial" w:eastAsia="Arial" w:hAnsi="Arial"/>
          <w:sz w:val="16"/>
          <w:szCs w:val="16"/>
          <w:color w:val="auto"/>
        </w:rPr>
      </w:pPr>
    </w:p>
    <w:p>
      <w:pPr>
        <w:ind w:left="120" w:right="240" w:firstLine="7"/>
        <w:spacing w:after="0" w:line="273" w:lineRule="auto"/>
        <w:tabs>
          <w:tab w:leader="none" w:pos="4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Days after the end of each 30-day period (the “</w:t>
      </w:r>
      <w:r>
        <w:rPr>
          <w:rFonts w:ascii="Arial" w:cs="Arial" w:eastAsia="Arial" w:hAnsi="Arial"/>
          <w:sz w:val="17"/>
          <w:szCs w:val="17"/>
          <w:u w:val="single" w:color="auto"/>
          <w:color w:val="auto"/>
        </w:rPr>
        <w:t>Payment Date</w:t>
      </w:r>
      <w:r>
        <w:rPr>
          <w:rFonts w:ascii="Arial" w:cs="Arial" w:eastAsia="Arial" w:hAnsi="Arial"/>
          <w:sz w:val="17"/>
          <w:szCs w:val="17"/>
          <w:color w:val="auto"/>
        </w:rPr>
        <w:t xml:space="preserve">”). Interest shall accrue at the rate of 1.5% per month on any such liquidated damages payments that shall not be paid by the Payment Date until such amount is paid in full. Notwithstanding the foregoing, the Company will not be liable for any liquidated damages under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with respect to any Redesignated Shares prior to the Redesignation of the Non-Voting Ordinary Shares to such Redesignated Shares.</w:t>
      </w:r>
    </w:p>
    <w:p>
      <w:pPr>
        <w:spacing w:after="0" w:line="68" w:lineRule="exact"/>
        <w:rPr>
          <w:rFonts w:ascii="Arial" w:cs="Arial" w:eastAsia="Arial" w:hAnsi="Arial"/>
          <w:sz w:val="17"/>
          <w:szCs w:val="17"/>
          <w:color w:val="auto"/>
        </w:rPr>
      </w:pPr>
    </w:p>
    <w:p>
      <w:pPr>
        <w:ind w:left="120" w:firstLine="408"/>
        <w:spacing w:after="0" w:line="284" w:lineRule="auto"/>
        <w:tabs>
          <w:tab w:leader="none" w:pos="776"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2.5</w:t>
      </w:r>
      <w:r>
        <w:rPr>
          <w:rFonts w:ascii="Arial" w:cs="Arial" w:eastAsia="Arial" w:hAnsi="Arial"/>
          <w:sz w:val="16"/>
          <w:szCs w:val="16"/>
          <w:color w:val="auto"/>
        </w:rPr>
        <w:t>, if (A) a Registration Statement covering the Registrable Securities is not declared effective by the SEC (an “</w:t>
      </w:r>
      <w:r>
        <w:rPr>
          <w:rFonts w:ascii="Arial" w:cs="Arial" w:eastAsia="Arial" w:hAnsi="Arial"/>
          <w:sz w:val="16"/>
          <w:szCs w:val="16"/>
          <w:u w:val="single" w:color="auto"/>
          <w:color w:val="auto"/>
        </w:rPr>
        <w:t>Effectiveness Failure</w:t>
      </w:r>
      <w:r>
        <w:rPr>
          <w:rFonts w:ascii="Arial" w:cs="Arial" w:eastAsia="Arial" w:hAnsi="Arial"/>
          <w:sz w:val="16"/>
          <w:szCs w:val="16"/>
          <w:color w:val="auto"/>
        </w:rPr>
        <w:t>”) prior to the earlier of (i) five (5) Business Days after the SEC informs the Company that no review of such Registration Statement will be made or that the SEC has no further comments on such Registration Statement and (ii) the 90th day after the Closing Date (or the 120th day if the SEC reviews such Registration Statement)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or, if the Registration Statement is on Form F-1 or S-1, for a period of twenty (20) days following the date on which the Company files a post-effective amendment to incorporate the Company’s Annual Report on Form 20-F or Form 10-K, as the case may be (a “</w:t>
      </w:r>
      <w:r>
        <w:rPr>
          <w:rFonts w:ascii="Arial" w:cs="Arial" w:eastAsia="Arial" w:hAnsi="Arial"/>
          <w:sz w:val="16"/>
          <w:szCs w:val="16"/>
          <w:u w:val="single" w:color="auto"/>
          <w:color w:val="auto"/>
        </w:rPr>
        <w:t>Maintenance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Failure</w:t>
      </w:r>
      <w:r>
        <w:rPr>
          <w:rFonts w:ascii="Arial" w:cs="Arial" w:eastAsia="Arial" w:hAnsi="Arial"/>
          <w:sz w:val="16"/>
          <w:szCs w:val="16"/>
          <w:color w:val="auto"/>
        </w:rPr>
        <w:t>”), then the Company will make pro rata payments to each Investor then holding Registrable Securities, as liquidated damages and not as a penalty, in an amount equal to 1.5% of the aggregate amount paid pursuant to the Purchase Agreement by such Investor for such Registrable Securities then held by such Investor on each of the following dates: (i) the initial day of an Effectiveness Failure and on every thirtieth (30</w:t>
      </w:r>
      <w:r>
        <w:rPr>
          <w:rFonts w:ascii="Arial" w:cs="Arial" w:eastAsia="Arial" w:hAnsi="Arial"/>
          <w:sz w:val="13"/>
          <w:szCs w:val="13"/>
          <w:color w:val="auto"/>
        </w:rPr>
        <w:t>th</w:t>
      </w:r>
      <w:r>
        <w:rPr>
          <w:rFonts w:ascii="Arial" w:cs="Arial" w:eastAsia="Arial" w:hAnsi="Arial"/>
          <w:sz w:val="16"/>
          <w:szCs w:val="16"/>
          <w:color w:val="auto"/>
        </w:rPr>
        <w:t>) day thereafter (pro-rated for periods less than thirty (30) days) and (ii) the initial day of a Maintenance Failure and every thirtieth day thereafter (pro-rated for periods less than thirty (30) days) (the “</w:t>
      </w:r>
      <w:r>
        <w:rPr>
          <w:rFonts w:ascii="Arial" w:cs="Arial" w:eastAsia="Arial" w:hAnsi="Arial"/>
          <w:sz w:val="16"/>
          <w:szCs w:val="16"/>
          <w:u w:val="single" w:color="auto"/>
          <w:color w:val="auto"/>
        </w:rPr>
        <w:t>Blackout Period</w:t>
      </w:r>
      <w:r>
        <w:rPr>
          <w:rFonts w:ascii="Arial" w:cs="Arial" w:eastAsia="Arial" w:hAnsi="Arial"/>
          <w:sz w:val="16"/>
          <w:szCs w:val="16"/>
          <w:color w:val="auto"/>
        </w:rPr>
        <w:t>”). Such payments shall constitute the Investors’ exclusive monetary remedy for such events, but shall not affect the right of the Investors to seek injunctive relief. The amounts payable as liquidated damages pursuant to this paragraph shall be paid promptly but no later than ten (10) Business Days after each such 30-day period following the commencement of the Blackout Period until the termination of the Blackout Period (the “</w:t>
      </w:r>
      <w:r>
        <w:rPr>
          <w:rFonts w:ascii="Arial" w:cs="Arial" w:eastAsia="Arial" w:hAnsi="Arial"/>
          <w:sz w:val="16"/>
          <w:szCs w:val="16"/>
          <w:u w:val="single" w:color="auto"/>
          <w:color w:val="auto"/>
        </w:rPr>
        <w:t>Blackout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Date</w:t>
      </w:r>
      <w:r>
        <w:rPr>
          <w:rFonts w:ascii="Arial" w:cs="Arial" w:eastAsia="Arial" w:hAnsi="Arial"/>
          <w:sz w:val="16"/>
          <w:szCs w:val="16"/>
          <w:color w:val="auto"/>
        </w:rPr>
        <w:t xml:space="preserve">”). Such payments shall be made to each Investor in cash. Interest shall accrue at the rate of 1.5% per month on any such liquidated damages payments that shall not be paid by the Blackout Period Payment Date until such amount is paid in full. Notwithstanding the foregoing, the Company will not be liable for any liquidated damages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with respect to any Redesignated Shares prior to the Redesignation of the Non-Voting Ordinary Shares to such Redesignated Shares.</w:t>
      </w:r>
    </w:p>
    <w:p>
      <w:pPr>
        <w:spacing w:after="0" w:line="71" w:lineRule="exact"/>
        <w:rPr>
          <w:rFonts w:ascii="Arial" w:cs="Arial" w:eastAsia="Arial" w:hAnsi="Arial"/>
          <w:sz w:val="16"/>
          <w:szCs w:val="16"/>
          <w:color w:val="auto"/>
        </w:rPr>
      </w:pPr>
    </w:p>
    <w:p>
      <w:pPr>
        <w:ind w:left="780" w:hanging="252"/>
        <w:spacing w:after="0"/>
        <w:tabs>
          <w:tab w:leader="none" w:pos="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parties agree that notwithstanding anything to the contrary herein or in the Purchase Agreement:</w:t>
      </w:r>
    </w:p>
    <w:p>
      <w:pPr>
        <w:spacing w:after="0" w:line="117" w:lineRule="exact"/>
        <w:rPr>
          <w:rFonts w:ascii="Arial" w:cs="Arial" w:eastAsia="Arial" w:hAnsi="Arial"/>
          <w:sz w:val="18"/>
          <w:szCs w:val="18"/>
          <w:color w:val="auto"/>
        </w:rPr>
      </w:pPr>
    </w:p>
    <w:p>
      <w:pPr>
        <w:ind w:left="560" w:firstLine="391"/>
        <w:spacing w:after="0" w:line="257" w:lineRule="auto"/>
        <w:tabs>
          <w:tab w:leader="none" w:pos="1158" w:val="left"/>
        </w:tabs>
        <w:numPr>
          <w:ilvl w:val="2"/>
          <w:numId w:val="20"/>
        </w:numPr>
        <w:rPr>
          <w:rFonts w:ascii="Arial" w:cs="Arial" w:eastAsia="Arial" w:hAnsi="Arial"/>
          <w:sz w:val="18"/>
          <w:szCs w:val="18"/>
          <w:color w:val="auto"/>
        </w:rPr>
      </w:pPr>
      <w:r>
        <w:rPr>
          <w:rFonts w:ascii="Arial" w:cs="Arial" w:eastAsia="Arial" w:hAnsi="Arial"/>
          <w:sz w:val="18"/>
          <w:szCs w:val="18"/>
          <w:color w:val="auto"/>
        </w:rPr>
        <w:t>no liquidated damages shall be payable with respect to any period after the expiration of the Effectiveness Period (as defined below) (it being understood that this sentence shall not relieve the Company of any such payments accruing prior to the expiration of the Effectiveness Period), and in no event shall the aggregate amount of liquidated damages (or interest thereon) payable to the Investors exceed, in the aggregate, six percent (6%) of the aggregate purchase price paid by the Investors pursuant to the Purchase Agreement; and</w:t>
      </w:r>
    </w:p>
    <w:p>
      <w:pPr>
        <w:sectPr>
          <w:pgSz w:w="11900" w:h="16838" w:orient="portrait"/>
          <w:cols w:equalWidth="0" w:num="1">
            <w:col w:w="10140"/>
          </w:cols>
          <w:pgMar w:left="1300" w:top="274" w:right="459" w:bottom="1440" w:gutter="0" w:footer="0" w:header="0"/>
        </w:sectPr>
      </w:pPr>
    </w:p>
    <w:bookmarkStart w:id="11" w:name="page12"/>
    <w:bookmarkEnd w:id="11"/>
    <w:p>
      <w:pPr>
        <w:ind w:left="980" w:right="20" w:firstLine="391"/>
        <w:spacing w:after="0" w:line="272" w:lineRule="auto"/>
        <w:tabs>
          <w:tab w:leader="none" w:pos="1628"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Filing Deadline and each Effectiveness Deadline for a Registration Statement shall be extended and any Maintenance Failure shall be automatically waived by no action of an Investor, in each case, without default by or liquidated damages payable by the Company hereunder to such investor in the event that the Company’s failure to make such filing or obtain such effectiveness or a Maintenance Failure results solely and directly from the failure of such Investor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Investor provides such requested information).</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Rule 415; Cutback</w:t>
      </w:r>
      <w:r>
        <w:rPr>
          <w:rFonts w:ascii="Arial" w:cs="Arial" w:eastAsia="Arial" w:hAnsi="Arial"/>
          <w:sz w:val="17"/>
          <w:szCs w:val="17"/>
          <w:color w:val="auto"/>
        </w:rPr>
        <w:t>. If at any time the SEC takes the position that the offering of some or all of the Registrable Securities in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is not eligible to be made on a delayed or continuous basis under the provisions of Rule 415 under the 1933 Act or requires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Investor to be named as an “underwriter,” the Company shall use reasonable best efforts to advocate before the SEC its reasonable position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offering contemplated by such Registration Statement is a valid secondary offering and not an offering “by or on behalf of the issuer”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Rule 415 and that none of the Investors is an “underwriter.” The Investors shall have the right to select one legal counsel to review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oversee any registration or matters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including participation in any meetings or discussions with the SEC regarding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SEC’s position and to comment on any written submission made to the SEC with respect thereto, which counsel shall be designated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Required Investors. In the event that, despite the Company’s reasonable best efforts and compliance with the terms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the SEC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does not alter its position, the Company shall (i) remove from such Registration Statement such portion of the Registrable Securities (the “</w:t>
      </w:r>
      <w:r>
        <w:rPr>
          <w:rFonts w:ascii="Arial" w:cs="Arial" w:eastAsia="Arial" w:hAnsi="Arial"/>
          <w:sz w:val="16"/>
          <w:szCs w:val="16"/>
          <w:u w:val="single" w:color="auto"/>
          <w:color w:val="auto"/>
        </w:rPr>
        <w:t>Cut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Back Shares</w:t>
      </w:r>
      <w:r>
        <w:rPr>
          <w:rFonts w:ascii="Arial" w:cs="Arial" w:eastAsia="Arial" w:hAnsi="Arial"/>
          <w:sz w:val="16"/>
          <w:szCs w:val="16"/>
          <w:color w:val="auto"/>
        </w:rPr>
        <w:t>”) and/or (ii) agree to such restrictions and limitations on the registration and resale of the Registrable Securities as the SEC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 to assure the Company’s compliance with the requirements of Rule 415 (collectively, the “</w:t>
      </w:r>
      <w:r>
        <w:rPr>
          <w:rFonts w:ascii="Arial" w:cs="Arial" w:eastAsia="Arial" w:hAnsi="Arial"/>
          <w:sz w:val="16"/>
          <w:szCs w:val="16"/>
          <w:u w:val="single" w:color="auto"/>
          <w:color w:val="auto"/>
        </w:rPr>
        <w:t>SEC Restrictions</w:t>
      </w:r>
      <w:r>
        <w:rPr>
          <w:rFonts w:ascii="Arial" w:cs="Arial" w:eastAsia="Arial" w:hAnsi="Arial"/>
          <w:sz w:val="16"/>
          <w:szCs w:val="16"/>
          <w:color w:val="auto"/>
        </w:rPr>
        <w:t>”); provided, however,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shall not agree to name any Investor as an “underwriter” in such Registration Statement without the prior written consent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Investor. Any cut-back imposed on the Investors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be allocated among the Investors on a pro rata basis and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applied first to any of the Registrable Securities of such Investor as such Investor shall designate, unless the SEC Restrictions otherwise require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or the Investors otherwise agree. No liquidated damages shall accrue as to any Cut Back Shares until such date as the Company is 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 the registration of such Cut Back Shares in accordance with any SEC Restrictions applicable to such Cut Back Shares (such date,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Termination Date</w:t>
      </w:r>
      <w:r>
        <w:rPr>
          <w:rFonts w:ascii="Arial" w:cs="Arial" w:eastAsia="Arial" w:hAnsi="Arial"/>
          <w:sz w:val="16"/>
          <w:szCs w:val="16"/>
          <w:color w:val="auto"/>
        </w:rPr>
        <w:t>”). From and after the Restriction Termination Date applicable to any Cut Back Shares, all of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the Company’s obligations with respect to the filing of a Registration Statement and its obligations to use reasonable best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efforts to have such Registration Statement declared effective within the time periods set forth herein and the liquidated damages provisions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relating thereto) shall again be applicable to such Cut Back Shares; provided, however, that (i) the Filing Deadline for such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such Cut Back Shares shall be ten (10) Business Days after such Restriction Termination Date, and (ii) the date by which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 required to obtain effectiveness with respect to such Cut Back Shares under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the 90th day immediately after the Restriction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 (or the 120th day if the SEC reviews such Registration Statement).</w:t>
      </w:r>
    </w:p>
    <w:p>
      <w:pPr>
        <w:spacing w:after="0" w:line="103" w:lineRule="exact"/>
        <w:rPr>
          <w:sz w:val="20"/>
          <w:szCs w:val="20"/>
          <w:color w:val="auto"/>
        </w:rPr>
      </w:pPr>
    </w:p>
    <w:p>
      <w:pPr>
        <w:jc w:val="both"/>
        <w:ind w:right="280" w:firstLine="423"/>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ADS Registration</w:t>
      </w:r>
      <w:r>
        <w:rPr>
          <w:rFonts w:ascii="Arial" w:cs="Arial" w:eastAsia="Arial" w:hAnsi="Arial"/>
          <w:sz w:val="18"/>
          <w:szCs w:val="18"/>
          <w:color w:val="auto"/>
        </w:rPr>
        <w:t>. During the Effectiveness Period (as defined below), the Company shall use its commercially reasonable efforts to ensure that the ADSs representing Ordinary Shares constituting Registrable Securities are registered under the 1933 Act and that the ADSs are registered under the 1934 Act.</w:t>
      </w:r>
    </w:p>
    <w:p>
      <w:pPr>
        <w:sectPr>
          <w:pgSz w:w="11900" w:h="16838" w:orient="portrait"/>
          <w:cols w:equalWidth="0" w:num="1">
            <w:col w:w="10560"/>
          </w:cols>
          <w:pgMar w:left="880" w:top="274" w:right="459" w:bottom="1440" w:gutter="0" w:footer="0" w:header="0"/>
        </w:sectPr>
      </w:pPr>
    </w:p>
    <w:bookmarkStart w:id="12" w:name="page13"/>
    <w:bookmarkEnd w:id="12"/>
    <w:p>
      <w:pPr>
        <w:ind w:left="-436" w:right="160" w:firstLine="436"/>
        <w:spacing w:after="0" w:line="277"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Obligations. The Company will use reasonable best efforts to effect the registration of the Registrable Securities in accordance with the terms hereof, and pursuant thereto the Company will, as expeditiously as possible:</w:t>
      </w:r>
    </w:p>
    <w:p>
      <w:pPr>
        <w:spacing w:after="0" w:line="62" w:lineRule="exact"/>
        <w:rPr>
          <w:rFonts w:ascii="Arial" w:cs="Arial" w:eastAsia="Arial" w:hAnsi="Arial"/>
          <w:sz w:val="18"/>
          <w:szCs w:val="18"/>
          <w:color w:val="auto"/>
        </w:rPr>
      </w:pPr>
    </w:p>
    <w:p>
      <w:pPr>
        <w:jc w:val="both"/>
        <w:ind w:left="544" w:right="260" w:firstLine="408"/>
        <w:spacing w:after="0" w:line="301" w:lineRule="auto"/>
        <w:tabs>
          <w:tab w:leader="none" w:pos="11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use reasonable best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there cease to be any Registrable Securities (the “</w:t>
      </w: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and advise the Investors promptly in writing when the Effectiveness Period has expired;</w:t>
      </w:r>
    </w:p>
    <w:p>
      <w:pPr>
        <w:spacing w:after="0" w:line="49" w:lineRule="exact"/>
        <w:rPr>
          <w:rFonts w:ascii="Arial" w:cs="Arial" w:eastAsia="Arial" w:hAnsi="Arial"/>
          <w:sz w:val="16"/>
          <w:szCs w:val="16"/>
          <w:color w:val="auto"/>
        </w:rPr>
      </w:pPr>
    </w:p>
    <w:p>
      <w:pPr>
        <w:ind w:left="544" w:right="260" w:firstLine="408"/>
        <w:spacing w:after="0" w:line="311" w:lineRule="auto"/>
        <w:tabs>
          <w:tab w:leader="none" w:pos="1199"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40" w:lineRule="exact"/>
        <w:rPr>
          <w:rFonts w:ascii="Arial" w:cs="Arial" w:eastAsia="Arial" w:hAnsi="Arial"/>
          <w:sz w:val="16"/>
          <w:szCs w:val="16"/>
          <w:color w:val="auto"/>
        </w:rPr>
      </w:pPr>
    </w:p>
    <w:p>
      <w:pPr>
        <w:ind w:left="544" w:right="240" w:firstLine="408"/>
        <w:spacing w:after="0" w:line="277" w:lineRule="auto"/>
        <w:tabs>
          <w:tab w:leader="none" w:pos="11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provide copies to and permit each Investor to review each Registration Statement and all amendments and supplements thereto prior to their filing with the SEC;</w:t>
      </w:r>
    </w:p>
    <w:p>
      <w:pPr>
        <w:spacing w:after="0" w:line="62" w:lineRule="exact"/>
        <w:rPr>
          <w:rFonts w:ascii="Arial" w:cs="Arial" w:eastAsia="Arial" w:hAnsi="Arial"/>
          <w:sz w:val="18"/>
          <w:szCs w:val="18"/>
          <w:color w:val="auto"/>
        </w:rPr>
      </w:pPr>
    </w:p>
    <w:p>
      <w:pPr>
        <w:ind w:left="544" w:firstLine="408"/>
        <w:spacing w:after="0" w:line="270" w:lineRule="auto"/>
        <w:tabs>
          <w:tab w:leader="none" w:pos="1199" w:val="left"/>
        </w:tabs>
        <w:numPr>
          <w:ilvl w:val="1"/>
          <w:numId w:val="22"/>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 (it being understood and agreed that such documents, or access thereto, may be provided electronically);</w:t>
      </w:r>
    </w:p>
    <w:p>
      <w:pPr>
        <w:spacing w:after="0" w:line="72" w:lineRule="exact"/>
        <w:rPr>
          <w:rFonts w:ascii="Arial" w:cs="Arial" w:eastAsia="Arial" w:hAnsi="Arial"/>
          <w:sz w:val="17"/>
          <w:szCs w:val="17"/>
          <w:color w:val="auto"/>
        </w:rPr>
      </w:pPr>
    </w:p>
    <w:p>
      <w:pPr>
        <w:ind w:left="544" w:right="100" w:firstLine="408"/>
        <w:spacing w:after="0" w:line="277" w:lineRule="auto"/>
        <w:tabs>
          <w:tab w:leader="none" w:pos="11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use reasonable best efforts to (i) prevent the issuance of any stop order or other suspension of effectiveness and, (ii) if such order is issued, obtain the withdrawal of any such order as soon as practicable;</w:t>
      </w:r>
    </w:p>
    <w:p>
      <w:pPr>
        <w:spacing w:after="0" w:line="62" w:lineRule="exact"/>
        <w:rPr>
          <w:rFonts w:ascii="Arial" w:cs="Arial" w:eastAsia="Arial" w:hAnsi="Arial"/>
          <w:sz w:val="18"/>
          <w:szCs w:val="18"/>
          <w:color w:val="auto"/>
        </w:rPr>
      </w:pPr>
    </w:p>
    <w:p>
      <w:pPr>
        <w:ind w:left="544" w:right="120" w:firstLine="408"/>
        <w:spacing w:after="0" w:line="293" w:lineRule="auto"/>
        <w:tabs>
          <w:tab w:leader="none" w:pos="1169"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prior to any public offering of Registrable Securities, use reasonable best efforts to register or qualify or cooperate with the Investors and their counsel in connection with the registration or qualification of such Registrable Securities for the offer and sale under the securities or blue sky laws of such jurisdictions reasonably requested by the Investors;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(ii) subject itself to general taxation in any jurisdiction where it would not otherwise be so subject but for this </w:t>
      </w:r>
      <w:r>
        <w:rPr>
          <w:rFonts w:ascii="Arial" w:cs="Arial" w:eastAsia="Arial" w:hAnsi="Arial"/>
          <w:sz w:val="16"/>
          <w:szCs w:val="16"/>
          <w:u w:val="single" w:color="auto"/>
          <w:color w:val="auto"/>
        </w:rPr>
        <w:t>Section 3(f)</w:t>
      </w:r>
      <w:r>
        <w:rPr>
          <w:rFonts w:ascii="Arial" w:cs="Arial" w:eastAsia="Arial" w:hAnsi="Arial"/>
          <w:sz w:val="16"/>
          <w:szCs w:val="16"/>
          <w:color w:val="auto"/>
        </w:rPr>
        <w:t>, or (iii) file a general consent to service of process in any such jurisdiction;</w:t>
      </w:r>
    </w:p>
    <w:p>
      <w:pPr>
        <w:spacing w:after="0" w:line="56" w:lineRule="exact"/>
        <w:rPr>
          <w:rFonts w:ascii="Arial" w:cs="Arial" w:eastAsia="Arial" w:hAnsi="Arial"/>
          <w:sz w:val="16"/>
          <w:szCs w:val="16"/>
          <w:color w:val="auto"/>
        </w:rPr>
      </w:pPr>
    </w:p>
    <w:p>
      <w:pPr>
        <w:ind w:left="544" w:right="180" w:firstLine="408"/>
        <w:spacing w:after="0" w:line="342" w:lineRule="auto"/>
        <w:tabs>
          <w:tab w:leader="none" w:pos="1199" w:val="left"/>
        </w:tabs>
        <w:numPr>
          <w:ilvl w:val="1"/>
          <w:numId w:val="22"/>
        </w:numPr>
        <w:rPr>
          <w:rFonts w:ascii="Arial" w:cs="Arial" w:eastAsia="Arial" w:hAnsi="Arial"/>
          <w:sz w:val="16"/>
          <w:szCs w:val="16"/>
          <w:color w:val="auto"/>
        </w:rPr>
      </w:pPr>
      <w:r>
        <w:rPr>
          <w:rFonts w:ascii="Arial" w:cs="Arial" w:eastAsia="Arial" w:hAnsi="Arial"/>
          <w:sz w:val="16"/>
          <w:szCs w:val="16"/>
          <w:color w:val="auto"/>
        </w:rPr>
        <w:t>use reasonable best efforts to cause all Registrable Securities covered by a Registration Statement to be listed on each securities exchange, interdealer quotation system or other market on which similar securities issued by the Company are then listed;</w:t>
      </w:r>
    </w:p>
    <w:p>
      <w:pPr>
        <w:spacing w:after="0" w:line="15" w:lineRule="exact"/>
        <w:rPr>
          <w:rFonts w:ascii="Arial" w:cs="Arial" w:eastAsia="Arial" w:hAnsi="Arial"/>
          <w:sz w:val="16"/>
          <w:szCs w:val="16"/>
          <w:color w:val="auto"/>
        </w:rPr>
      </w:pPr>
    </w:p>
    <w:p>
      <w:pPr>
        <w:ind w:left="544" w:right="20" w:firstLine="408"/>
        <w:spacing w:after="0" w:line="342" w:lineRule="auto"/>
        <w:tabs>
          <w:tab w:leader="none" w:pos="1199"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w:t>
      </w:r>
    </w:p>
    <w:p>
      <w:pPr>
        <w:sectPr>
          <w:pgSz w:w="11900" w:h="16838" w:orient="portrait"/>
          <w:cols w:equalWidth="0" w:num="1">
            <w:col w:w="10564"/>
          </w:cols>
          <w:pgMar w:left="876" w:top="274" w:right="459" w:bottom="1440" w:gutter="0" w:footer="0" w:header="0"/>
        </w:sectPr>
      </w:pPr>
    </w:p>
    <w:bookmarkStart w:id="13" w:name="page14"/>
    <w:bookmarkEnd w:id="13"/>
    <w:p>
      <w:pPr>
        <w:ind w:left="54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84" w:lineRule="exact"/>
        <w:rPr>
          <w:sz w:val="20"/>
          <w:szCs w:val="20"/>
          <w:color w:val="auto"/>
        </w:rPr>
      </w:pPr>
    </w:p>
    <w:p>
      <w:pPr>
        <w:ind w:left="544" w:right="80" w:firstLine="408"/>
        <w:spacing w:after="0" w:line="273" w:lineRule="auto"/>
        <w:tabs>
          <w:tab w:leader="none" w:pos="1159" w:val="left"/>
        </w:tabs>
        <w:numPr>
          <w:ilvl w:val="1"/>
          <w:numId w:val="23"/>
        </w:numPr>
        <w:rPr>
          <w:rFonts w:ascii="Arial" w:cs="Arial" w:eastAsia="Arial" w:hAnsi="Arial"/>
          <w:sz w:val="17"/>
          <w:szCs w:val="17"/>
          <w:color w:val="auto"/>
        </w:rPr>
      </w:pPr>
      <w:r>
        <w:rPr>
          <w:rFonts w:ascii="Arial" w:cs="Arial" w:eastAsia="Arial" w:hAnsi="Arial"/>
          <w:sz w:val="17"/>
          <w:szCs w:val="17"/>
          <w:color w:val="auto"/>
        </w:rPr>
        <w:t>otherwise use reasonable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69" w:lineRule="exact"/>
        <w:rPr>
          <w:rFonts w:ascii="Arial" w:cs="Arial" w:eastAsia="Arial" w:hAnsi="Arial"/>
          <w:sz w:val="17"/>
          <w:szCs w:val="17"/>
          <w:color w:val="auto"/>
        </w:rPr>
      </w:pPr>
    </w:p>
    <w:p>
      <w:pPr>
        <w:ind w:left="544" w:right="120" w:firstLine="408"/>
        <w:spacing w:after="0" w:line="286" w:lineRule="auto"/>
        <w:tabs>
          <w:tab w:leader="none" w:pos="1159"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within two (2) Business Days after a Registration Statement which covers Registrable Securities is ordered effective by the SEC, the Company shall deliver to the Depositary (with copies to the Investors whose Registrable Securities are included in such Registration Statement) confirmation that such Registration Statement has been declared effective by the SEC; and</w:t>
      </w:r>
    </w:p>
    <w:p>
      <w:pPr>
        <w:spacing w:after="0" w:line="57" w:lineRule="exact"/>
        <w:rPr>
          <w:rFonts w:ascii="Arial" w:cs="Arial" w:eastAsia="Arial" w:hAnsi="Arial"/>
          <w:sz w:val="17"/>
          <w:szCs w:val="17"/>
          <w:color w:val="auto"/>
        </w:rPr>
      </w:pPr>
    </w:p>
    <w:p>
      <w:pPr>
        <w:ind w:left="544" w:right="20" w:firstLine="408"/>
        <w:spacing w:after="0" w:line="268" w:lineRule="auto"/>
        <w:tabs>
          <w:tab w:leader="none" w:pos="1199"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with a view to making available to the Investors the benefits of Rule 144 (or its successor rule) and any other rule or regulation of the SEC that may at any time permit the Investors to sell the Private Placement ADSs and any Redesignated ADSs to the public without registration, the Company covenants and agrees to: (i) make and keep adequate current public information available, as those terms are understood and defined in Rule 144, until the earlier of (A) six months after such date as all of the Private Placement ADSs and any Redesignated ADSs may be sold without restriction (including any volume or manner-of-sale restrictions and taking into consideration the tacking provisions available under Rule 144) by the holders thereof pursuant to Rule 144 or any other rule of similar effect or (B) such date as all of the Private Placement ADSs and any Redesignated ADSs shall have been resold; (ii) file with the SEC in a timely manner all reports and other documents required of the Company under the 1934 Act; and (iii) furnish to each Investor upon request, as long as such Investor owns any Private Placement ADSs or Redesignated ADSs, (A) a written statement by the Company that it has complied with the reporting requirements of the 1934 Act, (B) a copy of the Company’s most recent Annual Report on Form 20-F or Form 10-K, as the case may be, or quarterly financial statements on Form 6-K or Form 10-Q, as the case may be, and (C) such other information as may be reasonably requested in order to avail such Investor of any rule or regulation of the SEC that permits the selling of any such Registrable Securities without registration.</w:t>
      </w:r>
    </w:p>
    <w:p>
      <w:pPr>
        <w:spacing w:after="0" w:line="186" w:lineRule="exact"/>
        <w:rPr>
          <w:rFonts w:ascii="Arial" w:cs="Arial" w:eastAsia="Arial" w:hAnsi="Arial"/>
          <w:sz w:val="17"/>
          <w:szCs w:val="17"/>
          <w:color w:val="auto"/>
        </w:rPr>
      </w:pPr>
    </w:p>
    <w:p>
      <w:pPr>
        <w:ind w:left="-436" w:right="120" w:firstLine="436"/>
        <w:spacing w:after="0" w:line="270" w:lineRule="auto"/>
        <w:tabs>
          <w:tab w:leader="none" w:pos="184"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Due Diligence Review; Information. The Company shall, upon reasonable prior notice, make available, during normal business hours, for inspection and review by the Investors, and advisors to and representatives of the Investors (who may or may not be affiliated with the Investors and who are reasonably acceptable to the Company)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pertinent financial and other records, and all other corporate documents and properties of the Company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for the purpose of establishing a due diligence defense to underwriter liability under the 1933 Act; provided, however, that each Inspector shall have</w:t>
      </w:r>
    </w:p>
    <w:p>
      <w:pPr>
        <w:sectPr>
          <w:pgSz w:w="11900" w:h="16838" w:orient="portrait"/>
          <w:cols w:equalWidth="0" w:num="1">
            <w:col w:w="10564"/>
          </w:cols>
          <w:pgMar w:left="876" w:top="274" w:right="459" w:bottom="1440" w:gutter="0" w:footer="0" w:header="0"/>
        </w:sectPr>
      </w:pPr>
    </w:p>
    <w:bookmarkStart w:id="14" w:name="page15"/>
    <w:bookmarkEnd w:id="14"/>
    <w:p>
      <w:pPr>
        <w:ind w:left="4"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w:t>
      </w:r>
    </w:p>
    <w:p>
      <w:pPr>
        <w:spacing w:after="0" w:line="1" w:lineRule="exact"/>
        <w:rPr>
          <w:sz w:val="20"/>
          <w:szCs w:val="20"/>
          <w:color w:val="auto"/>
        </w:rPr>
      </w:pPr>
    </w:p>
    <w:p>
      <w:pPr>
        <w:ind w:left="4" w:right="80" w:hanging="4"/>
        <w:spacing w:after="0" w:line="273" w:lineRule="auto"/>
        <w:tabs>
          <w:tab w:leader="none" w:pos="2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information in such Records has been made generally available to the public other than by disclosure in violation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any other Transaction Document.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w:t>
      </w:r>
    </w:p>
    <w:p>
      <w:pPr>
        <w:spacing w:after="0" w:line="176" w:lineRule="exact"/>
        <w:rPr>
          <w:sz w:val="20"/>
          <w:szCs w:val="20"/>
          <w:color w:val="auto"/>
        </w:rPr>
      </w:pPr>
    </w:p>
    <w:p>
      <w:pPr>
        <w:ind w:left="4" w:right="180"/>
        <w:spacing w:after="0" w:line="296" w:lineRule="auto"/>
        <w:rPr>
          <w:sz w:val="20"/>
          <w:szCs w:val="20"/>
          <w:color w:val="auto"/>
        </w:rPr>
      </w:pPr>
      <w:r>
        <w:rPr>
          <w:rFonts w:ascii="Arial" w:cs="Arial" w:eastAsia="Arial" w:hAnsi="Arial"/>
          <w:sz w:val="16"/>
          <w:szCs w:val="16"/>
          <w:color w:val="auto"/>
        </w:rPr>
        <w:t>Notwithstanding the foregoing, the Company shall not disclose material nonpublic information and/or inside information (as defined in Article 7 of MAR) to the Investors, or to advisors to or representatives of the Investors, unless prior to disclosure of such information the Company identifies such information as being material nonpublic information and/or inside information and provides the Investors, such advisors and such representatives with the opportunity to accept or refuse to accept such material nonpublic information and/or inside information for review and any Investor wishing to obtain such information enters into an appropriate confidentiality and non-use agreement with the Company with respect thereto.</w:t>
      </w:r>
    </w:p>
    <w:p>
      <w:pPr>
        <w:spacing w:after="0" w:line="161" w:lineRule="exact"/>
        <w:rPr>
          <w:sz w:val="20"/>
          <w:szCs w:val="20"/>
          <w:color w:val="auto"/>
        </w:rPr>
      </w:pPr>
    </w:p>
    <w:p>
      <w:pPr>
        <w:ind w:left="624" w:hanging="184"/>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Obligations of the Investors.</w:t>
      </w:r>
    </w:p>
    <w:p>
      <w:pPr>
        <w:spacing w:after="0" w:line="117" w:lineRule="exact"/>
        <w:rPr>
          <w:rFonts w:ascii="Arial" w:cs="Arial" w:eastAsia="Arial" w:hAnsi="Arial"/>
          <w:sz w:val="18"/>
          <w:szCs w:val="18"/>
          <w:color w:val="auto"/>
        </w:rPr>
      </w:pPr>
    </w:p>
    <w:p>
      <w:pPr>
        <w:ind w:left="984" w:firstLine="408"/>
        <w:spacing w:after="0" w:line="286" w:lineRule="auto"/>
        <w:tabs>
          <w:tab w:leader="none" w:pos="1629"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including the Selling Securityholders Questionnaire,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to the Company at least two (2) Business Days prior to the first anticipated filing date of such Registration Statement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62" w:lineRule="exact"/>
        <w:rPr>
          <w:rFonts w:ascii="Arial" w:cs="Arial" w:eastAsia="Arial" w:hAnsi="Arial"/>
          <w:sz w:val="16"/>
          <w:szCs w:val="16"/>
          <w:color w:val="auto"/>
        </w:rPr>
      </w:pPr>
    </w:p>
    <w:p>
      <w:pPr>
        <w:ind w:left="984" w:right="140" w:firstLine="408"/>
        <w:spacing w:after="0" w:line="311" w:lineRule="auto"/>
        <w:tabs>
          <w:tab w:leader="none" w:pos="1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40" w:lineRule="exact"/>
        <w:rPr>
          <w:rFonts w:ascii="Arial" w:cs="Arial" w:eastAsia="Arial" w:hAnsi="Arial"/>
          <w:sz w:val="16"/>
          <w:szCs w:val="16"/>
          <w:color w:val="auto"/>
        </w:rPr>
      </w:pPr>
    </w:p>
    <w:p>
      <w:pPr>
        <w:jc w:val="both"/>
        <w:ind w:left="984" w:right="300" w:firstLine="408"/>
        <w:spacing w:after="0" w:line="259" w:lineRule="auto"/>
        <w:tabs>
          <w:tab w:leader="none" w:pos="16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Each Investor agrees that, upon receipt of any notice from the Company of either (i) the commencement of an Allowed Delay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or (ii) the happening of an event pursuant to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hereof, such Investor will immediately discontinue disposition of Registrable Securities pursuant to any Registration Statement covering such Registrable Securities, until the Investor is advised by the Company that such dispositions may again be made.</w:t>
      </w:r>
    </w:p>
    <w:p>
      <w:pPr>
        <w:sectPr>
          <w:pgSz w:w="11900" w:h="16838" w:orient="portrait"/>
          <w:cols w:equalWidth="0" w:num="1">
            <w:col w:w="11004"/>
          </w:cols>
          <w:pgMar w:left="436" w:top="274" w:right="459" w:bottom="1440" w:gutter="0" w:footer="0" w:header="0"/>
        </w:sectPr>
      </w:pPr>
    </w:p>
    <w:bookmarkStart w:id="15" w:name="page16"/>
    <w:bookmarkEnd w:id="15"/>
    <w:p>
      <w:pPr>
        <w:ind w:left="544" w:right="20" w:firstLine="408"/>
        <w:spacing w:after="0" w:line="308" w:lineRule="auto"/>
        <w:tabs>
          <w:tab w:leader="none" w:pos="1199" w:val="left"/>
        </w:tabs>
        <w:numPr>
          <w:ilvl w:val="1"/>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46" w:lineRule="exact"/>
        <w:rPr>
          <w:rFonts w:ascii="Arial" w:cs="Arial" w:eastAsia="Arial" w:hAnsi="Arial"/>
          <w:sz w:val="17"/>
          <w:szCs w:val="17"/>
          <w:color w:val="auto"/>
        </w:rPr>
      </w:pPr>
    </w:p>
    <w:p>
      <w:pPr>
        <w:ind w:left="184" w:hanging="184"/>
        <w:spacing w:after="0"/>
        <w:tabs>
          <w:tab w:leader="none" w:pos="1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left="4" w:firstLine="423"/>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will indemnify and hold harmless each Investor and its officers, directors, partners, members, employees, investment advisers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1933 Act or 1934 Act applicable to the Company or its agents and relating to action or inaction required of the Company in connection with such registration, and will reimburse such Investor, and each such officer, director, partner, member, employee, investment adviser, agent and each such controlling person for any documented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 or (iv) an Investor’s bad faith, gross negligence, recklessness, fraud or willful misconduct.</w:t>
      </w:r>
    </w:p>
    <w:p>
      <w:pPr>
        <w:spacing w:after="0" w:line="66" w:lineRule="exact"/>
        <w:rPr>
          <w:sz w:val="20"/>
          <w:szCs w:val="20"/>
          <w:color w:val="auto"/>
        </w:rPr>
      </w:pPr>
    </w:p>
    <w:p>
      <w:pPr>
        <w:ind w:left="4" w:firstLine="423"/>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Indemnification by the Investors</w:t>
      </w:r>
      <w:r>
        <w:rPr>
          <w:rFonts w:ascii="Arial" w:cs="Arial" w:eastAsia="Arial" w:hAnsi="Arial"/>
          <w:sz w:val="16"/>
          <w:szCs w:val="16"/>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60" w:lineRule="exact"/>
        <w:rPr>
          <w:sz w:val="20"/>
          <w:szCs w:val="20"/>
          <w:color w:val="auto"/>
        </w:rPr>
      </w:pPr>
    </w:p>
    <w:p>
      <w:pPr>
        <w:ind w:left="4" w:right="40" w:firstLine="423"/>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w:t>
      </w:r>
    </w:p>
    <w:p>
      <w:pPr>
        <w:sectPr>
          <w:pgSz w:w="11900" w:h="16838" w:orient="portrait"/>
          <w:cols w:equalWidth="0" w:num="1">
            <w:col w:w="10564"/>
          </w:cols>
          <w:pgMar w:left="876" w:top="274" w:right="459" w:bottom="1440" w:gutter="0" w:footer="0" w:header="0"/>
        </w:sectPr>
      </w:pPr>
    </w:p>
    <w:bookmarkStart w:id="16" w:name="page17"/>
    <w:bookmarkEnd w:id="1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86" w:lineRule="exact"/>
        <w:rPr>
          <w:sz w:val="20"/>
          <w:szCs w:val="20"/>
          <w:color w:val="auto"/>
        </w:rPr>
      </w:pPr>
    </w:p>
    <w:p>
      <w:pPr>
        <w:ind w:right="160" w:firstLine="423"/>
        <w:spacing w:after="0" w:line="26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Contribution</w:t>
      </w:r>
      <w:r>
        <w:rPr>
          <w:rFonts w:ascii="Arial" w:cs="Arial" w:eastAsia="Arial" w:hAnsi="Arial"/>
          <w:sz w:val="17"/>
          <w:szCs w:val="17"/>
          <w:color w:val="auto"/>
        </w:rPr>
        <w:t>. If for any reason the indemnification provided for in the preceding Sections 6.1 and 6.2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7. Miscellaneous.</w:t>
      </w:r>
    </w:p>
    <w:p>
      <w:pPr>
        <w:spacing w:after="0" w:line="117" w:lineRule="exact"/>
        <w:rPr>
          <w:sz w:val="20"/>
          <w:szCs w:val="20"/>
          <w:color w:val="auto"/>
        </w:rPr>
      </w:pPr>
    </w:p>
    <w:p>
      <w:pPr>
        <w:ind w:right="60" w:firstLine="423"/>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only by a writing signed by the Company and the Required Investors; provided that no such amendment shall be effective to the extent that it applies to less than all of the Investors or holders of Registrable Securities.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63" w:lineRule="exact"/>
        <w:rPr>
          <w:sz w:val="20"/>
          <w:szCs w:val="20"/>
          <w:color w:val="auto"/>
        </w:rPr>
      </w:pPr>
    </w:p>
    <w:p>
      <w:pPr>
        <w:ind w:right="380" w:firstLine="423"/>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as set forth in Section 10.4 of the Purchase Agreement.</w:t>
      </w:r>
    </w:p>
    <w:p>
      <w:pPr>
        <w:spacing w:after="0" w:line="62" w:lineRule="exact"/>
        <w:rPr>
          <w:sz w:val="20"/>
          <w:szCs w:val="20"/>
          <w:color w:val="auto"/>
        </w:rPr>
      </w:pPr>
    </w:p>
    <w:p>
      <w:pPr>
        <w:ind w:right="60" w:firstLine="423"/>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Assignments and Transfers by Investors</w:t>
      </w:r>
      <w:r>
        <w:rPr>
          <w:rFonts w:ascii="Arial" w:cs="Arial" w:eastAsia="Arial" w:hAnsi="Arial"/>
          <w:sz w:val="17"/>
          <w:szCs w:val="17"/>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(v) such transfer shall have been made in accordance</w:t>
      </w:r>
    </w:p>
    <w:p>
      <w:pPr>
        <w:sectPr>
          <w:pgSz w:w="11900" w:h="16838" w:orient="portrait"/>
          <w:cols w:equalWidth="0" w:num="1">
            <w:col w:w="10580"/>
          </w:cols>
          <w:pgMar w:left="880" w:top="274" w:right="439" w:bottom="1440" w:gutter="0" w:footer="0" w:header="0"/>
        </w:sectPr>
      </w:pPr>
    </w:p>
    <w:bookmarkStart w:id="17" w:name="page18"/>
    <w:bookmarkEnd w:id="17"/>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applicable requirements of the Purchase Agreement and (vi) unless the transferee or assignee is an Affiliate of, and after such transfer or assignment continues to be an Affiliate of, such Investor, the amount of Registrable Securities transferred or assigned to such transferee or assignee represents at least $1.0 million of Registrable Securities (based on the then-current market price of the ADSs).</w:t>
      </w:r>
    </w:p>
    <w:p>
      <w:pPr>
        <w:spacing w:after="0" w:line="57" w:lineRule="exact"/>
        <w:rPr>
          <w:sz w:val="20"/>
          <w:szCs w:val="20"/>
          <w:color w:val="auto"/>
        </w:rPr>
      </w:pPr>
    </w:p>
    <w:p>
      <w:pPr>
        <w:ind w:right="40" w:firstLine="423"/>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Assignments and Transfers by the Company</w:t>
      </w:r>
      <w:r>
        <w:rPr>
          <w:rFonts w:ascii="Arial" w:cs="Arial" w:eastAsia="Arial" w:hAnsi="Arial"/>
          <w:sz w:val="16"/>
          <w:szCs w:val="16"/>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Securities (or the Private Placement Shares and Redesignated Shares)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58" w:lineRule="exact"/>
        <w:rPr>
          <w:sz w:val="20"/>
          <w:szCs w:val="20"/>
          <w:color w:val="auto"/>
        </w:rPr>
      </w:pPr>
    </w:p>
    <w:p>
      <w:pPr>
        <w:ind w:right="60" w:firstLine="423"/>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79" w:lineRule="exact"/>
        <w:rPr>
          <w:sz w:val="20"/>
          <w:szCs w:val="20"/>
          <w:color w:val="auto"/>
        </w:rPr>
      </w:pPr>
    </w:p>
    <w:p>
      <w:pPr>
        <w:ind w:firstLine="423"/>
        <w:spacing w:after="0" w:line="27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63" w:lineRule="exact"/>
        <w:rPr>
          <w:sz w:val="20"/>
          <w:szCs w:val="20"/>
          <w:color w:val="auto"/>
        </w:rPr>
      </w:pPr>
    </w:p>
    <w:p>
      <w:pPr>
        <w:ind w:right="560" w:firstLine="423"/>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62"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68" w:lineRule="exact"/>
        <w:rPr>
          <w:sz w:val="20"/>
          <w:szCs w:val="20"/>
          <w:color w:val="auto"/>
        </w:rPr>
      </w:pPr>
    </w:p>
    <w:p>
      <w:pPr>
        <w:jc w:val="both"/>
        <w:ind w:right="120" w:firstLine="423"/>
        <w:spacing w:after="0" w:line="342"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6"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Transaction Documents are intended by the parties as a final expression of their agreement and intended to be a complete and exclusive statement of the agreement and understanding of the parties hereto in respect of the subject matter contained herein. This Agreement and the other Transaction Documents supersede all prior agreements and understandings between the parties with respect to such subject matter.</w:t>
      </w:r>
    </w:p>
    <w:p>
      <w:pPr>
        <w:spacing w:after="0" w:line="79" w:lineRule="exact"/>
        <w:rPr>
          <w:sz w:val="20"/>
          <w:szCs w:val="20"/>
          <w:color w:val="auto"/>
        </w:rPr>
      </w:pPr>
    </w:p>
    <w:p>
      <w:pPr>
        <w:jc w:val="both"/>
        <w:ind w:right="160" w:firstLine="423"/>
        <w:spacing w:after="0" w:line="311"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w:t>
      </w:r>
    </w:p>
    <w:p>
      <w:pPr>
        <w:sectPr>
          <w:pgSz w:w="11900" w:h="16838" w:orient="portrait"/>
          <w:cols w:equalWidth="0" w:num="1">
            <w:col w:w="10560"/>
          </w:cols>
          <w:pgMar w:left="880" w:top="274" w:right="45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remedies provided by law.</w:t>
      </w:r>
    </w:p>
    <w:p>
      <w:pPr>
        <w:spacing w:after="0" w:line="117" w:lineRule="exact"/>
        <w:rPr>
          <w:sz w:val="20"/>
          <w:szCs w:val="20"/>
          <w:color w:val="auto"/>
        </w:rPr>
      </w:pPr>
    </w:p>
    <w:p>
      <w:pPr>
        <w:ind w:right="20" w:firstLine="423"/>
        <w:spacing w:after="0" w:line="25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Tekla Funds</w:t>
      </w:r>
      <w:r>
        <w:rPr>
          <w:rFonts w:ascii="Arial" w:cs="Arial" w:eastAsia="Arial" w:hAnsi="Arial"/>
          <w:sz w:val="18"/>
          <w:szCs w:val="18"/>
          <w:color w:val="auto"/>
        </w:rPr>
        <w:t>. A copy of the Declaration of Trust, as amended and restated, for each of Tekla Fund is on file with the Secretary of State of The Commonwealth of Massachusetts, and notice is hereby given that this Agreement is executed on behalf of the Tekla Funds by an officer or trustee of the Tekla Funds in his or her capacity as an officer or trustee of the Tekla Funds, and not individually and that the obligations of or arising out of this Agreement are not binding upon any of the trustees, officers or shareholders individually but are binding only upon the assets and property of each of the respective Tekla Funds.</w:t>
      </w:r>
    </w:p>
    <w:p>
      <w:pPr>
        <w:spacing w:after="0" w:line="18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[Signature Page Follows]</w:t>
      </w:r>
    </w:p>
    <w:sectPr>
      <w:pgSz w:w="11900" w:h="16838" w:orient="portrait"/>
      <w:cols w:equalWidth="0" w:num="1">
        <w:col w:w="10520"/>
      </w:cols>
      <w:pgMar w:left="88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2"/>
    </w:lvl>
    <w:lvl w:ilvl="1">
      <w:lvlJc w:val="left"/>
      <w:lvlText w:val="(%2)"/>
      <w:numFmt w:val="lowerLetter"/>
      <w:start w:val="1"/>
    </w:lvl>
  </w:abstractNum>
  <w:abstractNum w:abstractNumId="2">
    <w:nsid w:val="41A7C4C9"/>
    <w:multiLevelType w:val="hybridMultilevel"/>
    <w:lvl w:ilvl="0">
      <w:lvlJc w:val="left"/>
      <w:lvlText w:val="%1."/>
      <w:numFmt w:val="decimal"/>
      <w:start w:val="5"/>
    </w:lvl>
  </w:abstractNum>
  <w:abstractNum w:abstractNumId="3">
    <w:nsid w:val="6B68079A"/>
    <w:multiLevelType w:val="hybridMultilevel"/>
    <w:lvl w:ilvl="0">
      <w:lvlJc w:val="left"/>
      <w:lvlText w:val="%1."/>
      <w:numFmt w:val="decimal"/>
      <w:start w:val="7"/>
    </w:lvl>
  </w:abstractNum>
  <w:abstractNum w:abstractNumId="4">
    <w:nsid w:val="4E6AFB66"/>
    <w:multiLevelType w:val="hybridMultilevel"/>
    <w:lvl w:ilvl="0">
      <w:lvlJc w:val="left"/>
      <w:lvlText w:val="%1."/>
      <w:numFmt w:val="decimal"/>
      <w:start w:val="8"/>
    </w:lvl>
  </w:abstractNum>
  <w:abstractNum w:abstractNumId="5">
    <w:nsid w:val="25E45D32"/>
    <w:multiLevelType w:val="hybridMultilevel"/>
    <w:lvl w:ilvl="0">
      <w:lvlJc w:val="left"/>
      <w:lvlText w:val="%1."/>
      <w:numFmt w:val="decimal"/>
      <w:start w:val="9"/>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decimal"/>
      <w:start w:val="12"/>
    </w:lvl>
  </w:abstractNum>
  <w:abstractNum w:abstractNumId="8">
    <w:nsid w:val="3F2DBA31"/>
    <w:multiLevelType w:val="hybridMultilevel"/>
    <w:lvl w:ilvl="0">
      <w:lvlJc w:val="left"/>
      <w:lvlText w:val="%1"/>
      <w:numFmt w:val="decimal"/>
      <w:start w:val="1"/>
    </w:lvl>
    <w:lvl w:ilvl="1">
      <w:lvlJc w:val="left"/>
      <w:lvlText w:val="%2."/>
      <w:numFmt w:val="decimal"/>
      <w:start w:val="14"/>
    </w:lvl>
  </w:abstractNum>
  <w:abstractNum w:abstractNumId="9">
    <w:nsid w:val="7C83E458"/>
    <w:multiLevelType w:val="hybridMultilevel"/>
    <w:lvl w:ilvl="0">
      <w:lvlJc w:val="left"/>
      <w:lvlText w:val="(%1)"/>
      <w:numFmt w:val="decimal"/>
      <w:start w:val="1"/>
    </w:lvl>
    <w:lvl w:ilvl="1">
      <w:lvlJc w:val="left"/>
      <w:lvlText w:val="%2"/>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upp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decimal"/>
      <w:start w:val="24"/>
    </w:lvl>
    <w:lvl w:ilvl="1">
      <w:lvlJc w:val="left"/>
      <w:lvlText w:val="(%2)"/>
      <w:numFmt w:val="lowerLetter"/>
      <w:start w:val="2"/>
    </w:lvl>
  </w:abstractNum>
  <w:abstractNum w:abstractNumId="18">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75A2A8D4"/>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9"/>
    </w:lvl>
  </w:abstractNum>
  <w:abstractNum w:abstractNumId="20">
    <w:nsid w:val="8EDBDAB"/>
    <w:multiLevelType w:val="hybridMultilevel"/>
    <w:lvl w:ilvl="0">
      <w:lvlJc w:val="left"/>
      <w:lvlText w:val="(%1)"/>
      <w:numFmt w:val="lowerRoman"/>
      <w:start w:val="2"/>
    </w:lvl>
  </w:abstractNum>
  <w:abstractNum w:abstractNumId="21">
    <w:nsid w:val="79838CB2"/>
    <w:multiLevelType w:val="hybridMultilevel"/>
    <w:lvl w:ilvl="0">
      <w:lvlJc w:val="left"/>
      <w:lvlText w:val="%1."/>
      <w:numFmt w:val="decimal"/>
      <w:start w:val="3"/>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9"/>
    </w:lvl>
  </w:abstractNum>
  <w:abstractNum w:abstractNumId="23">
    <w:nsid w:val="B03E0C6"/>
    <w:multiLevelType w:val="hybridMultilevel"/>
    <w:lvl w:ilvl="0">
      <w:lvlJc w:val="left"/>
      <w:lvlText w:val="%1."/>
      <w:numFmt w:val="decimal"/>
      <w:start w:val="4"/>
    </w:lvl>
    <w:lvl w:ilvl="1">
      <w:lvlJc w:val="left"/>
      <w:lvlText w:val="%2"/>
      <w:numFmt w:val="lowerLetter"/>
      <w:start w:val="1"/>
    </w:lvl>
  </w:abstractNum>
  <w:abstractNum w:abstractNumId="24">
    <w:nsid w:val="189A769B"/>
    <w:multiLevelType w:val="hybridMultilevel"/>
    <w:lvl w:ilvl="0">
      <w:lvlJc w:val="left"/>
      <w:lvlText w:val="(%1)"/>
      <w:numFmt w:val="lowerLetter"/>
      <w:start w:val="3"/>
    </w:lvl>
  </w:abstractNum>
  <w:abstractNum w:abstractNumId="25">
    <w:nsid w:val="54E49EB4"/>
    <w:multiLevelType w:val="hybridMultilevel"/>
    <w:lvl w:ilvl="0">
      <w:lvlJc w:val="left"/>
      <w:lvlText w:val="%1."/>
      <w:numFmt w:val="decimal"/>
      <w:start w:val="5"/>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4"/>
    </w:lvl>
  </w:abstractNum>
  <w:abstractNum w:abstractNumId="27">
    <w:nsid w:val="2CA88611"/>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2020-07-24T15:31:58Z</dcterms:created>
  <dcterms:modified xsi:type="dcterms:W3CDTF">2020-07-24T15:31:58Z</dcterms:modified>
</cp:coreProperties>
</file>