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 w:lineRule="exact"/>
        <w:rPr>
          <w:sz w:val="24"/>
          <w:szCs w:val="24"/>
          <w:color w:val="auto"/>
        </w:rPr>
      </w:pPr>
    </w:p>
    <w:p>
      <w:pPr>
        <w:jc w:val="center"/>
        <w:ind w:left="5400" w:right="160" w:hanging="5225"/>
        <w:spacing w:after="0" w:line="243" w:lineRule="auto"/>
        <w:tabs>
          <w:tab w:leader="none" w:pos="57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2023</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 w:lineRule="exact"/>
        <w:rPr>
          <w:sz w:val="24"/>
          <w:szCs w:val="24"/>
          <w:color w:val="auto"/>
        </w:rPr>
      </w:pPr>
    </w:p>
    <w:p>
      <w:pPr>
        <w:jc w:val="center"/>
        <w:ind w:left="5400" w:right="160" w:hanging="5231"/>
        <w:spacing w:after="0" w:line="256" w:lineRule="auto"/>
        <w:tabs>
          <w:tab w:leader="none" w:pos="56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193"/>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3760" w:type="dxa"/>
            <w:vAlign w:val="bottom"/>
          </w:tcPr>
          <w:p>
            <w:pPr>
              <w:spacing w:after="0"/>
              <w:rPr>
                <w:sz w:val="24"/>
                <w:szCs w:val="24"/>
                <w:color w:val="auto"/>
              </w:rPr>
            </w:pPr>
          </w:p>
        </w:tc>
      </w:t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rPr>
              <w:t>London SE1 2RE United Kingdom</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0"/>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540" w:type="dxa"/>
            <w:vAlign w:val="bottom"/>
          </w:tcPr>
          <w:p>
            <w:pPr>
              <w:jc w:val="center"/>
              <w:ind w:left="319"/>
              <w:spacing w:after="0"/>
              <w:rPr>
                <w:sz w:val="20"/>
                <w:szCs w:val="20"/>
                <w:color w:val="auto"/>
              </w:rPr>
            </w:pPr>
            <w:r>
              <w:rPr>
                <w:rFonts w:ascii="Times New Roman" w:cs="Times New Roman" w:eastAsia="Times New Roman" w:hAnsi="Times New Roman"/>
                <w:sz w:val="14"/>
                <w:szCs w:val="14"/>
                <w:color w:val="auto"/>
              </w:rPr>
              <w:t>Ordinary shares, nominal value £0.05 per share*</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4"/>
                <w:szCs w:val="14"/>
                <w:color w:val="auto"/>
              </w:rPr>
              <w:t>VRNA</w:t>
            </w:r>
          </w:p>
        </w:tc>
        <w:tc>
          <w:tcPr>
            <w:tcW w:w="46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60" w:firstLine="8"/>
        <w:spacing w:after="0" w:line="302"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93"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May 2, 2023, the registrant had 635,667,302 ordinary shares, nominal value £0.05 per share, outstanding, which if all held in ADS form, would be represented by 79,458,413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22</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23</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24</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24</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24</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24</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25</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26</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ind w:right="26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incentive receivable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242,996</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interest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£0.05 par value shares; 651,659,630 and 631,338,246 issued, and 631,987,078 and 606,301,054</w:t>
            </w:r>
          </w:p>
        </w:tc>
        <w:tc>
          <w:tcPr>
            <w:tcW w:w="24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0" w:type="dxa"/>
            <w:vAlign w:val="bottom"/>
          </w:tcPr>
          <w:p>
            <w:pPr>
              <w:spacing w:after="0"/>
              <w:rPr>
                <w:sz w:val="1"/>
                <w:szCs w:val="1"/>
                <w:color w:val="auto"/>
              </w:rPr>
            </w:pPr>
          </w:p>
        </w:tc>
      </w:tr>
      <w:tr>
        <w:trPr>
          <w:trHeight w:val="149"/>
        </w:trPr>
        <w:tc>
          <w:tcPr>
            <w:tcW w:w="8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 and December 31, 2022, respectively</w:t>
            </w:r>
          </w:p>
        </w:tc>
        <w:tc>
          <w:tcPr>
            <w:tcW w:w="24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83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529,187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shares held in treasury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(333,097)</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230,466</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20" w:type="dxa"/>
            <w:vAlign w:val="bottom"/>
          </w:tcPr>
          <w:p>
            <w:pPr>
              <w:spacing w:after="0"/>
              <w:rPr>
                <w:sz w:val="3"/>
                <w:szCs w:val="3"/>
                <w:color w:val="auto"/>
              </w:rPr>
            </w:pPr>
          </w:p>
        </w:tc>
        <w:tc>
          <w:tcPr>
            <w:tcW w:w="8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20" w:type="dxa"/>
            <w:vAlign w:val="bottom"/>
          </w:tcPr>
          <w:p>
            <w:pPr>
              <w:spacing w:after="0"/>
              <w:rPr>
                <w:sz w:val="3"/>
                <w:szCs w:val="3"/>
                <w:color w:val="auto"/>
              </w:rPr>
            </w:pPr>
          </w:p>
        </w:tc>
        <w:tc>
          <w:tcPr>
            <w:tcW w:w="8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w:t>
            </w:r>
          </w:p>
        </w:tc>
      </w:tr>
      <w:tr>
        <w:trPr>
          <w:trHeight w:val="229"/>
        </w:trPr>
        <w:tc>
          <w:tcPr>
            <w:tcW w:w="20" w:type="dxa"/>
            <w:vAlign w:val="bottom"/>
          </w:tcPr>
          <w:p>
            <w:pPr>
              <w:spacing w:after="0"/>
              <w:rPr>
                <w:sz w:val="19"/>
                <w:szCs w:val="19"/>
                <w:color w:val="auto"/>
              </w:rPr>
            </w:pPr>
          </w:p>
        </w:tc>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25,065</w:t>
            </w:r>
          </w:p>
        </w:tc>
      </w:tr>
      <w:tr>
        <w:trPr>
          <w:trHeight w:val="223"/>
        </w:trPr>
        <w:tc>
          <w:tcPr>
            <w:tcW w:w="20" w:type="dxa"/>
            <w:vAlign w:val="bottom"/>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(25,065)</w:t>
            </w:r>
          </w:p>
        </w:tc>
      </w:tr>
      <w:tr>
        <w:trPr>
          <w:trHeight w:val="230"/>
        </w:trPr>
        <w:tc>
          <w:tcPr>
            <w:tcW w:w="20" w:type="dxa"/>
            <w:vAlign w:val="bottom"/>
          </w:tcPr>
          <w:p>
            <w:pPr>
              <w:spacing w:after="0"/>
              <w:rPr>
                <w:sz w:val="19"/>
                <w:szCs w:val="19"/>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9"/>
        </w:trPr>
        <w:tc>
          <w:tcPr>
            <w:tcW w:w="20" w:type="dxa"/>
            <w:vAlign w:val="bottom"/>
          </w:tcPr>
          <w:p>
            <w:pPr>
              <w:spacing w:after="0"/>
              <w:rPr>
                <w:sz w:val="19"/>
                <w:szCs w:val="19"/>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20" w:type="dxa"/>
            <w:vAlign w:val="bottom"/>
          </w:tcPr>
          <w:p>
            <w:pPr>
              <w:spacing w:after="0"/>
              <w:rPr>
                <w:sz w:val="19"/>
                <w:szCs w:val="19"/>
                <w:color w:val="auto"/>
              </w:rPr>
            </w:pPr>
          </w:p>
        </w:tc>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3"/>
        </w:trPr>
        <w:tc>
          <w:tcPr>
            <w:tcW w:w="20" w:type="dxa"/>
            <w:vAlign w:val="bottom"/>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20" w:type="dxa"/>
            <w:vAlign w:val="bottom"/>
          </w:tcPr>
          <w:p>
            <w:pPr>
              <w:spacing w:after="0"/>
              <w:rPr>
                <w:sz w:val="19"/>
                <w:szCs w:val="19"/>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w:t>
            </w: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196"/>
        </w:trPr>
        <w:tc>
          <w:tcPr>
            <w:tcW w:w="20" w:type="dxa"/>
            <w:vAlign w:val="bottom"/>
          </w:tcPr>
          <w:p>
            <w:pPr>
              <w:spacing w:after="0"/>
              <w:rPr>
                <w:sz w:val="17"/>
                <w:szCs w:val="17"/>
                <w:color w:val="auto"/>
              </w:rPr>
            </w:pPr>
          </w:p>
        </w:tc>
        <w:tc>
          <w:tcPr>
            <w:tcW w:w="83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(16,743)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(24,837)</w:t>
            </w:r>
          </w:p>
        </w:tc>
      </w:tr>
      <w:tr>
        <w:trPr>
          <w:trHeight w:val="20"/>
        </w:trPr>
        <w:tc>
          <w:tcPr>
            <w:tcW w:w="20" w:type="dxa"/>
            <w:vAlign w:val="bottom"/>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Loss per ordinary share - basic and diluted</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r>
      <w:tr>
        <w:trPr>
          <w:trHeight w:val="20"/>
        </w:trPr>
        <w:tc>
          <w:tcPr>
            <w:tcW w:w="20" w:type="dxa"/>
            <w:vAlign w:val="bottom"/>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481,942</w:t>
            </w:r>
          </w:p>
        </w:tc>
      </w:tr>
      <w:tr>
        <w:trPr>
          <w:trHeight w:val="405"/>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16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1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631,338,246</w:t>
            </w:r>
          </w:p>
        </w:tc>
        <w:tc>
          <w:tcPr>
            <w:tcW w:w="100" w:type="dxa"/>
            <w:vAlign w:val="bottom"/>
            <w:shd w:val="clear" w:color="auto" w:fill="CCEEFF"/>
          </w:tcPr>
          <w:p>
            <w:pPr>
              <w:spacing w:after="0"/>
              <w:rPr>
                <w:sz w:val="20"/>
                <w:szCs w:val="20"/>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529,187</w:t>
            </w:r>
          </w:p>
        </w:tc>
        <w:tc>
          <w:tcPr>
            <w:tcW w:w="8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0"/>
                <w:szCs w:val="20"/>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(333,097)</w:t>
            </w:r>
          </w:p>
        </w:tc>
        <w:tc>
          <w:tcPr>
            <w:tcW w:w="10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230,466</w:t>
            </w:r>
          </w:p>
        </w:tc>
        <w:tc>
          <w:tcPr>
            <w:tcW w:w="0" w:type="dxa"/>
            <w:vAlign w:val="bottom"/>
          </w:tcPr>
          <w:p>
            <w:pPr>
              <w:spacing w:after="0"/>
              <w:rPr>
                <w:sz w:val="1"/>
                <w:szCs w:val="1"/>
                <w:color w:val="auto"/>
              </w:rPr>
            </w:pPr>
          </w:p>
        </w:tc>
      </w:tr>
      <w:tr>
        <w:trPr>
          <w:trHeight w:val="113"/>
        </w:trPr>
        <w:tc>
          <w:tcPr>
            <w:tcW w:w="216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ordinary</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20,321,384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56,909</w:t>
            </w: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share units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options exercised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Share-based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64"/>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w:t>
            </w: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651,659,630</w:t>
            </w:r>
          </w:p>
        </w:tc>
        <w:tc>
          <w:tcPr>
            <w:tcW w:w="100" w:type="dxa"/>
            <w:vAlign w:val="bottom"/>
            <w:shd w:val="clear" w:color="auto" w:fill="CCEEFF"/>
          </w:tcPr>
          <w:p>
            <w:pPr>
              <w:spacing w:after="0"/>
              <w:rPr>
                <w:sz w:val="20"/>
                <w:szCs w:val="20"/>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590,915</w:t>
            </w:r>
          </w:p>
        </w:tc>
        <w:tc>
          <w:tcPr>
            <w:tcW w:w="8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20"/>
                <w:szCs w:val="20"/>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(350,110)</w:t>
            </w:r>
          </w:p>
        </w:tc>
        <w:tc>
          <w:tcPr>
            <w:tcW w:w="10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276,749</w:t>
            </w:r>
          </w:p>
        </w:tc>
        <w:tc>
          <w:tcPr>
            <w:tcW w:w="0" w:type="dxa"/>
            <w:vAlign w:val="bottom"/>
          </w:tcPr>
          <w:p>
            <w:pPr>
              <w:spacing w:after="0"/>
              <w:rPr>
                <w:sz w:val="1"/>
                <w:szCs w:val="1"/>
                <w:color w:val="auto"/>
              </w:rPr>
            </w:pPr>
          </w:p>
        </w:tc>
      </w:tr>
      <w:tr>
        <w:trPr>
          <w:trHeight w:val="106"/>
        </w:trPr>
        <w:tc>
          <w:tcPr>
            <w:tcW w:w="216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auto"/>
            </w:tcBorders>
            <w:vMerge w:val="continue"/>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vMerge w:val="continue"/>
            <w:shd w:val="clear" w:color="auto" w:fill="CCEEFF"/>
          </w:tcPr>
          <w:p>
            <w:pPr>
              <w:spacing w:after="0"/>
              <w:rPr>
                <w:sz w:val="9"/>
                <w:szCs w:val="9"/>
                <w:color w:val="auto"/>
              </w:rPr>
            </w:pPr>
          </w:p>
        </w:tc>
        <w:tc>
          <w:tcPr>
            <w:tcW w:w="88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auto"/>
            </w:tcBorders>
            <w:vMerge w:val="continue"/>
            <w:shd w:val="clear" w:color="auto" w:fill="CCEEFF"/>
          </w:tcPr>
          <w:p>
            <w:pPr>
              <w:spacing w:after="0"/>
              <w:rPr>
                <w:sz w:val="9"/>
                <w:szCs w:val="9"/>
                <w:color w:val="auto"/>
              </w:rPr>
            </w:pPr>
          </w:p>
        </w:tc>
        <w:tc>
          <w:tcPr>
            <w:tcW w:w="7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auto"/>
            </w:tcBorders>
            <w:vMerge w:val="continue"/>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240"/>
        <w:spacing w:after="0" w:line="239" w:lineRule="auto"/>
        <w:rPr>
          <w:sz w:val="20"/>
          <w:szCs w:val="20"/>
          <w:color w:val="auto"/>
        </w:rPr>
      </w:pPr>
      <w:r>
        <w:rPr>
          <w:rFonts w:ascii="Times New Roman" w:cs="Times New Roman" w:eastAsia="Times New Roman" w:hAnsi="Times New Roman"/>
          <w:sz w:val="18"/>
          <w:szCs w:val="18"/>
          <w:b w:val="1"/>
          <w:bCs w:val="1"/>
          <w:color w:val="auto"/>
        </w:rPr>
        <w:t>Balance at December 31, 2021</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40"/>
        <w:spacing w:after="0" w:line="220" w:lineRule="auto"/>
        <w:rPr>
          <w:sz w:val="20"/>
          <w:szCs w:val="20"/>
          <w:color w:val="auto"/>
        </w:rPr>
      </w:pPr>
      <w:r>
        <w:rPr>
          <w:rFonts w:ascii="Times New Roman" w:cs="Times New Roman" w:eastAsia="Times New Roman" w:hAnsi="Times New Roman"/>
          <w:sz w:val="18"/>
          <w:szCs w:val="18"/>
          <w:color w:val="auto"/>
        </w:rPr>
        <w:t>Issuance of common shares under at-the-market</w:t>
      </w:r>
    </w:p>
    <w:p>
      <w:pPr>
        <w:ind w:left="240"/>
        <w:spacing w:after="0"/>
        <w:rPr>
          <w:sz w:val="20"/>
          <w:szCs w:val="20"/>
          <w:color w:val="auto"/>
        </w:rPr>
      </w:pPr>
      <w:r>
        <w:rPr>
          <w:rFonts w:ascii="Times New Roman" w:cs="Times New Roman" w:eastAsia="Times New Roman" w:hAnsi="Times New Roman"/>
          <w:sz w:val="18"/>
          <w:szCs w:val="18"/>
          <w:color w:val="auto"/>
        </w:rPr>
        <w:t>sales agreement</w:t>
      </w:r>
    </w:p>
    <w:p>
      <w:pPr>
        <w:spacing w:after="0" w:line="7" w:lineRule="exact"/>
        <w:rPr>
          <w:sz w:val="20"/>
          <w:szCs w:val="20"/>
          <w:color w:val="auto"/>
        </w:rPr>
      </w:pPr>
    </w:p>
    <w:p>
      <w:pPr>
        <w:ind w:left="240" w:right="360"/>
        <w:spacing w:after="0" w:line="234" w:lineRule="auto"/>
        <w:rPr>
          <w:sz w:val="20"/>
          <w:szCs w:val="20"/>
          <w:color w:val="auto"/>
        </w:rPr>
      </w:pPr>
      <w:r>
        <w:rPr>
          <w:rFonts w:ascii="Times New Roman" w:cs="Times New Roman" w:eastAsia="Times New Roman" w:hAnsi="Times New Roman"/>
          <w:sz w:val="18"/>
          <w:szCs w:val="18"/>
          <w:color w:val="auto"/>
        </w:rPr>
        <w:t>Restricted share units vested</w:t>
      </w:r>
    </w:p>
    <w:p>
      <w:pPr>
        <w:spacing w:after="0" w:line="10" w:lineRule="exact"/>
        <w:rPr>
          <w:sz w:val="20"/>
          <w:szCs w:val="20"/>
          <w:color w:val="auto"/>
        </w:rPr>
      </w:pPr>
    </w:p>
    <w:p>
      <w:pPr>
        <w:ind w:left="240" w:right="440"/>
        <w:spacing w:after="0" w:line="237" w:lineRule="auto"/>
        <w:rPr>
          <w:sz w:val="20"/>
          <w:szCs w:val="20"/>
          <w:color w:val="auto"/>
        </w:rPr>
      </w:pPr>
      <w:r>
        <w:rPr>
          <w:rFonts w:ascii="Times New Roman" w:cs="Times New Roman" w:eastAsia="Times New Roman" w:hAnsi="Times New Roman"/>
          <w:sz w:val="18"/>
          <w:szCs w:val="18"/>
          <w:color w:val="auto"/>
        </w:rPr>
        <w:t>Issuance of ordinary shares to treasury</w:t>
      </w:r>
    </w:p>
    <w:p>
      <w:pPr>
        <w:spacing w:after="0" w:line="10" w:lineRule="exact"/>
        <w:rPr>
          <w:sz w:val="20"/>
          <w:szCs w:val="20"/>
          <w:color w:val="auto"/>
        </w:rPr>
      </w:pPr>
    </w:p>
    <w:p>
      <w:pPr>
        <w:ind w:left="240" w:right="80"/>
        <w:spacing w:after="0" w:line="236" w:lineRule="auto"/>
        <w:rPr>
          <w:sz w:val="20"/>
          <w:szCs w:val="20"/>
          <w:color w:val="auto"/>
        </w:rPr>
      </w:pPr>
      <w:r>
        <w:rPr>
          <w:rFonts w:ascii="Times New Roman" w:cs="Times New Roman" w:eastAsia="Times New Roman" w:hAnsi="Times New Roman"/>
          <w:sz w:val="17"/>
          <w:szCs w:val="17"/>
          <w:color w:val="auto"/>
        </w:rPr>
        <w:t>Common shares withheld for taxes on vested stock</w:t>
      </w:r>
    </w:p>
    <w:p>
      <w:pPr>
        <w:ind w:left="240"/>
        <w:spacing w:after="0"/>
        <w:rPr>
          <w:sz w:val="20"/>
          <w:szCs w:val="20"/>
          <w:color w:val="auto"/>
        </w:rPr>
      </w:pPr>
      <w:r>
        <w:rPr>
          <w:rFonts w:ascii="Times New Roman" w:cs="Times New Roman" w:eastAsia="Times New Roman" w:hAnsi="Times New Roman"/>
          <w:sz w:val="18"/>
          <w:szCs w:val="18"/>
          <w:color w:val="auto"/>
        </w:rPr>
        <w:t>awards</w:t>
      </w:r>
    </w:p>
    <w:p>
      <w:pPr>
        <w:spacing w:after="0" w:line="7" w:lineRule="exact"/>
        <w:rPr>
          <w:sz w:val="20"/>
          <w:szCs w:val="20"/>
          <w:color w:val="auto"/>
        </w:rPr>
      </w:pPr>
    </w:p>
    <w:p>
      <w:pPr>
        <w:ind w:left="240" w:right="20"/>
        <w:spacing w:after="0" w:line="220" w:lineRule="auto"/>
        <w:rPr>
          <w:sz w:val="20"/>
          <w:szCs w:val="20"/>
          <w:color w:val="auto"/>
        </w:rPr>
      </w:pPr>
      <w:r>
        <w:rPr>
          <w:rFonts w:ascii="Times New Roman" w:cs="Times New Roman" w:eastAsia="Times New Roman" w:hAnsi="Times New Roman"/>
          <w:sz w:val="18"/>
          <w:szCs w:val="18"/>
          <w:color w:val="auto"/>
        </w:rPr>
        <w:t>Equity settled share-based compensation reclassified</w:t>
      </w:r>
    </w:p>
    <w:p>
      <w:pPr>
        <w:ind w:left="240"/>
        <w:spacing w:after="0"/>
        <w:rPr>
          <w:sz w:val="20"/>
          <w:szCs w:val="20"/>
          <w:color w:val="auto"/>
        </w:rPr>
      </w:pPr>
      <w:r>
        <w:rPr>
          <w:rFonts w:ascii="Times New Roman" w:cs="Times New Roman" w:eastAsia="Times New Roman" w:hAnsi="Times New Roman"/>
          <w:sz w:val="18"/>
          <w:szCs w:val="18"/>
          <w:color w:val="auto"/>
        </w:rPr>
        <w:t>as cash-settled</w:t>
      </w:r>
    </w:p>
    <w:p>
      <w:pPr>
        <w:ind w:left="240"/>
        <w:spacing w:after="0" w:line="229" w:lineRule="auto"/>
        <w:rPr>
          <w:sz w:val="20"/>
          <w:szCs w:val="20"/>
          <w:color w:val="auto"/>
        </w:rPr>
      </w:pPr>
      <w:r>
        <w:rPr>
          <w:rFonts w:ascii="Times New Roman" w:cs="Times New Roman" w:eastAsia="Times New Roman" w:hAnsi="Times New Roman"/>
          <w:sz w:val="18"/>
          <w:szCs w:val="18"/>
          <w:color w:val="auto"/>
        </w:rPr>
        <w:t>Share-based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compensation</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6"/>
                <w:szCs w:val="1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489,177,550</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385,070</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100" w:type="dxa"/>
            <w:vAlign w:val="bottom"/>
          </w:tcPr>
          <w:p>
            <w:pPr>
              <w:spacing w:after="0"/>
              <w:rPr>
                <w:sz w:val="24"/>
                <w:szCs w:val="24"/>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432"/>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0" w:type="dxa"/>
            <w:vAlign w:val="bottom"/>
          </w:tcPr>
          <w:p>
            <w:pPr>
              <w:spacing w:after="0"/>
              <w:rPr>
                <w:sz w:val="1"/>
                <w:szCs w:val="1"/>
                <w:color w:val="auto"/>
              </w:rPr>
            </w:pPr>
          </w:p>
        </w:tc>
      </w:tr>
      <w:tr>
        <w:trPr>
          <w:trHeight w:val="405"/>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513"/>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9"/>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594"/>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513"/>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94"/>
        </w:trPr>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494,058,246</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388,204</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(288,739)</w:t>
            </w:r>
          </w:p>
        </w:tc>
        <w:tc>
          <w:tcPr>
            <w:tcW w:w="100" w:type="dxa"/>
            <w:vAlign w:val="bottom"/>
          </w:tcPr>
          <w:p>
            <w:pPr>
              <w:spacing w:after="0"/>
              <w:rPr>
                <w:sz w:val="24"/>
                <w:szCs w:val="24"/>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0" w:type="dxa"/>
            <w:vAlign w:val="bottom"/>
          </w:tcPr>
          <w:p>
            <w:pPr>
              <w:spacing w:after="0"/>
              <w:rPr>
                <w:sz w:val="1"/>
                <w:szCs w:val="1"/>
                <w:color w:val="auto"/>
              </w:rPr>
            </w:pPr>
          </w:p>
        </w:tc>
      </w:tr>
      <w:tr>
        <w:trPr>
          <w:trHeight w:val="94"/>
        </w:trPr>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-2776855</wp:posOffset>
            </wp:positionV>
            <wp:extent cx="7132320"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-2228215</wp:posOffset>
            </wp:positionV>
            <wp:extent cx="713232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-1585595</wp:posOffset>
            </wp:positionV>
            <wp:extent cx="713232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-942340</wp:posOffset>
            </wp:positionV>
            <wp:extent cx="713232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-299720</wp:posOffset>
            </wp:positionV>
            <wp:extent cx="713232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2160" w:space="120"/>
            <w:col w:w="896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used in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redemption premium on debt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incentive receivable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furniture and equipment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draw under the Oxford Term Loan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withholding taxes from share-based awards</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3"/>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Verona Pharma plc (the “Company”) is incorporated and domiciled in the United Kingdom. Verona Pharma plc has one wholly-owned subsidiary, Verona Pharma, Inc., a Delaware corporation. The address of the registered office is 1 Central Square, Cardiff, CF10 1FS, United Kingdom.</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 $350.1 million as of March 31, 2023. The Company expects to incur additional losses and negative cash flows from operations until its products potentially gain regulatory approval and reach commercial profitability, if at all.</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March 31, 2023, will be sufficient to fund its operating expenses and capital expenditure requirements for at least the next 12 months from the date of issuance.</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three months ended March 31, 2023, the Company sold 20,321,384 ordinary shares (equivalent to 2,540,173 ADSs) under the at-the-market offering program entered into in March 2021 (the “2021 ATM Program”). The shares sold were at an average price of approximately $2.88 per share (equivalent to $23.08 per ADS), raising aggregate net proceeds of approximately $56.9 million after deducting issuance costs.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March 2023 through a registration statement on Form S-3, the Company replaced the 2021 ATM Program, with an open market sale agreement with Jefferies LLC (“Jefferies”) to sell its ordinary shares, in the form of ADSs, with aggregate gross proceeds of up to $200.0 million, from time-to-time, through an “at the market” equity offering program under which Jefferies will act as sales agent (the “2023 ATM Program”). Jefferies is entitled to a commission at a rate of up to 3.0% of the gross proceeds.</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commercial revenue, if any, will be derived from sales of products that we do not expect to be commercially available within the year, if ever. Additionally, the Company may enter into out-licensing transactions from time to time but there can be no assurance that the Company can secure such transactions in the future. Accordingly, the Company may need to obtain substantial additional funds to achieve its business objectives including to further advance clinical and regulatory activities, to fund prelaunch and launch related costs and to create an effective sales and marketing organization to commercialize ensifentrine, if approved.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March 7, 2023 (the “2022 Form 10-K”). The Consolidated Balance Sheet as of December 31, 2022, was derived from audited consolidated financial statements included in the 2022 Form 10-K but does not include all disclosures required by U.S. GAAP for complete financial statements. The Company’s significant accounting policies are described in Note 2 to those consolidated financial statements.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 and recent accounting standards not yet adopted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326)-Measurement of Credit Losses on Financial Instruments.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guidance replaces the current incurred loss impairment methodology.</w:t>
      </w:r>
    </w:p>
    <w:p>
      <w:pPr>
        <w:spacing w:after="0" w:line="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this model,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The guidance requires a modified retrospective transition approach through a cumulative-effect adjustment to retained earnings as of the beginning of the period of adoption. This update became effective for the Company on January 1, 2023 and the adoption of this update did not have a material impact on the Company’s financial statements and related disclosures.</w:t>
      </w:r>
    </w:p>
    <w:p>
      <w:pPr>
        <w:sectPr>
          <w:pgSz w:w="11900" w:h="16838" w:orient="portrait"/>
          <w:cols w:equalWidth="0" w:num="1">
            <w:col w:w="11240"/>
          </w:cols>
          <w:pgMar w:left="320" w:top="117"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Equity interest</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three months ended March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general corporate costs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Term loan</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October 14, 2022 (the “Effective Date”), the Company entered into a loan and security agreement (the “Loan Agreement”) with Oxford Finance Luxembourg S.À R.L. (“Oxford”) for an aggregate amount of up to $150.0 million (the “Oxford Term Loan”). The Oxford Term Loan provides for an initial term loan advance in an aggregate amount of $10.0 million, which was funded on the Effective Date (the “Oxford Term A Loan”), and up to four additional term loan advances in an aggregate amount of $140.0 million. The Oxford Term Loan has a maturity date of October 1, 2027.</w:t>
      </w:r>
    </w:p>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24, 2023, the Company received $10.0 million under the second term loan advance (“Oxford Term B Loan”), which was available at the option of the Company from the Effective Date up to and including March 31, 2023. The proceeds of the Oxford Term B Loan will be used for general corporate and working capital purposes as well as to build out commercial infrastructure to prepare for potential commercial launch.</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Oxford Term A Loan and Oxford Term B Loan (together, the “Oxford Term Loan Advances”) bear interest at a variable rate equal to (a) the greater of</w:t>
      </w:r>
    </w:p>
    <w:p>
      <w:pPr>
        <w:spacing w:after="0" w:line="16" w:lineRule="exact"/>
        <w:rPr>
          <w:sz w:val="20"/>
          <w:szCs w:val="20"/>
          <w:color w:val="auto"/>
        </w:rPr>
      </w:pPr>
    </w:p>
    <w:p>
      <w:pPr>
        <w:jc w:val="both"/>
        <w:ind w:firstLine="8"/>
        <w:spacing w:after="0" w:line="234" w:lineRule="auto"/>
        <w:tabs>
          <w:tab w:leader="none" w:pos="2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1-Month CME Term SOFR reference rate on the last day of the month that immediately precedes the month in which the interest will accrue and (ii) 2.38%, plus (b) 5.50% (the “Basic Rate”) and shall not increase by more than 2.00% above the Basic Rate as of the funding date of each such term loan. For the three months ended March 31, 2023, the effective interest rate was approximately 10% per annum. There was no material difference between the carrying value and the estimated fair value of the Oxford Term Loan Advances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Share-based compensation</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900" w:type="dxa"/>
            <w:vAlign w:val="bottom"/>
            <w:gridSpan w:val="5"/>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Share options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share option activity, in ordinary shares, in the period:</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19,276,496</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(1,050,192)</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19,306,304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activity</w:t>
            </w: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restricted stock unit (“RSU”) activity, in ordinary shares, in the period:</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34,542,344</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(4,305,120)</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30,237,224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Net loss per share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loss per share is calculated on an ordinary share basis. The Company’s ADSs that are listed on Nasdaq each represent eight ordinary shares. The following table shows the computation of basic and diluted net loss per share for the three months ended March 31, 2023 and 2022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3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481,942</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and 2022, outstanding share options, RSUs and warrants over 49.5 million and 60.6 million ordinary shares, respectively, were not included in the computation of diluted earnings per ordinary share, because to do so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currently negotiating a matter with a supplier and has accrued up to the maximum exposure of $6.9 million which is included within Accrued expenses in the Condensed Consolidated Balance Sheets. Management expects that the matter will be resolved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2022 filed with the Securities and Exchange Commission on March 7, 2023 (the “2022 Form 10-K”).</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and commercialization, research and development costs, timing and likelihood of success, potential collaborations, our estimates regarding expenses, future revenues, capital requirements, debt service obligations and our need for additional financing, the funding we expect to become available from cash receipts from U.K. tax credits and under the $150.0 million debt facility secured in October 2022, and the sufficiency of our cash and cash equivalents to fund operations, are forward-looking statements.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2022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first-in-class, inhaled, selective, dual inhibitor of the enzymes phosphodiesterase 3 and 4 (“PDE3” and “PDE4”), combining bronchodilator and non-steroidal anti-inflammatory activities in one compound.</w:t>
      </w:r>
    </w:p>
    <w:p>
      <w:pPr>
        <w:spacing w:after="0" w:line="7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Initially, we are developing inhaled ensifentrine for the treatment of chronic obstructive pulmonary disease (“COPD”), a common, chronic, progressive, and life-threatening respiratory disease without a cure. If successfully developed and approved, ensifentrine would be the first therapeutic with a novel mode of action for COPD in over a decade.</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2022, we reported positive top-line results from both of our Phase 3 ENHANCE (“Ensifentrine as a Novel inHAled Nebulized COPD thErapy”) trials evaluating nebulized ensifentrine for the maintenance treatment of COPD. Ensifentrine met the primary endpoint in both the ENHANCE-1 and ENHANCE-2 trials demonstrating statistically significant and clinically meaningful improvements in measures of lung function. In addition, ensifentrine substantially reduced the rate and risk of COPD exacerbations in ENHANCE-1 and ENHANCE-2. Ensifentrine was well tolerated in both trials.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Based on the results from our ENHANCE program, we believe ensifentrine, if approved, has the potential to change the treatment paradigm for COPD. The totality of data from clinical trials, in particular top-line results from the ENHANCE program, support our belief. We plan to submit a New Drug Application (“NDA”) to the U.S. Food and Drug Administration (“FDA”) in the second quarter of 2023 for inhaled ensifentrine for the maintenance treatment of COPD.</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approved, we intend to commercialize inhaled ensifentrine for the maintenance treatment of COPD in the United States (“U.S.”). Although we believe ensifentrine will not be regulated as a drug device combination,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and have an accumulated deficit of $350.1 million as of March 31, 2023. We expect to incur additional losses and negative cash flows from operations until our product candidates potentially gain regulatory approval and reach commercial profitability, if at 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if and as we:</w:t>
      </w:r>
    </w:p>
    <w:p>
      <w:pPr>
        <w:spacing w:after="0" w:line="104" w:lineRule="exact"/>
        <w:rPr>
          <w:sz w:val="20"/>
          <w:szCs w:val="20"/>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ramp up production to commercial scale with our manufacturing and other Chemistry, Manufacturing and Controls activities to potentially commercialize any products for which we may obtain regulatory approval;</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our DPI and pMDI formulations of ensifentrine and research and develop other formulations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acute COPD, CF or any other indication;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0" w:lineRule="exact"/>
        <w:rPr>
          <w:sz w:val="20"/>
          <w:szCs w:val="20"/>
          <w:color w:val="auto"/>
        </w:rPr>
      </w:pPr>
    </w:p>
    <w:p>
      <w:pPr>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2023, together with expected cash receipts from U.K. tax credit program and funding expected to become available under the $150.0 million debt financing facility secured in October 2022 (the “Oxford Term Loan”), will enable us to fund our planned operating expenses and capital expenditure requirements through at least the end of 2025, including the planned commercial launch of ensifentrine in the U.S., if approved. The Oxford Term Loan advances are contingent upon achievement of certain clinical and regulatory milestones and other specified conditions. Refer to Note 5 - Term Loan to the condensed consolidated financial statements for additional information on the Oxford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update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ENHANCE program</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reported positive top-line results from ENHANCE-2 and ENHANCE-1, in August and December 2022, respectively. Ensifentrine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and was well tolerated in both trials.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ENHANCE trials were designed to evaluate ensifentrine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demographics and disease characteristics were well balanced between treatment groups in both trials.</w:t>
      </w:r>
    </w:p>
    <w:p>
      <w:pPr>
        <w:spacing w:after="0" w:line="104" w:lineRule="exact"/>
        <w:rPr>
          <w:sz w:val="20"/>
          <w:szCs w:val="20"/>
          <w:color w:val="auto"/>
        </w:rPr>
      </w:pPr>
    </w:p>
    <w:p>
      <w:pPr>
        <w:jc w:val="both"/>
        <w:ind w:left="340" w:hanging="332"/>
        <w:spacing w:after="0" w:line="24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approximately 69% of subjects received background COPD therapy, either a long-acting muscarinic antagonist (“LAMA”) or a long-acting beta-antagonist (“LABA”). Additionally, approximately 20% of all subjects received inhaled corticosteroids (“ICS”) with concomitant LAMA or LABA.</w:t>
      </w:r>
    </w:p>
    <w:p>
      <w:pPr>
        <w:spacing w:after="0" w:line="7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ENHANCE-2 approximately 55% of subjects received background COPD therapy, either a LAMA or a LABA. Additionally, approximately 15% of all subjects received ICS with concomitant LAMA or LABA.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Highlights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endpoint met (FEV</w:t>
      </w:r>
      <w:r>
        <w:rPr>
          <w:rFonts w:ascii="Times New Roman" w:cs="Times New Roman" w:eastAsia="Times New Roman" w:hAnsi="Times New Roman"/>
          <w:sz w:val="23"/>
          <w:szCs w:val="23"/>
          <w:b w:val="1"/>
          <w:bCs w:val="1"/>
          <w:color w:val="auto"/>
          <w:vertAlign w:val="sub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 0-12 hr)</w:t>
      </w:r>
    </w:p>
    <w:p>
      <w:pPr>
        <w:spacing w:after="0" w:line="48" w:lineRule="exact"/>
        <w:rPr>
          <w:sz w:val="20"/>
          <w:szCs w:val="20"/>
          <w:color w:val="auto"/>
        </w:rPr>
      </w:pPr>
    </w:p>
    <w:p>
      <w:pPr>
        <w:ind w:left="340" w:right="20" w:hanging="332"/>
        <w:spacing w:after="0" w:line="27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Placebo corrected, change from baseline in average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area under the curve 0-12 hours post dose at week 12 was 87 mL (p&lt;0.0001) for ensifentrine in ENHANCE-1 and 94 mL (p&lt;0.0001) for ensifentrine in ENHANCE-2.</w:t>
      </w:r>
    </w:p>
    <w:p>
      <w:pPr>
        <w:spacing w:after="0" w:line="24" w:lineRule="exact"/>
        <w:rPr>
          <w:rFonts w:ascii="Times New Roman" w:cs="Times New Roman" w:eastAsia="Times New Roman" w:hAnsi="Times New Roman"/>
          <w:sz w:val="18"/>
          <w:szCs w:val="18"/>
          <w:color w:val="auto"/>
        </w:rPr>
      </w:pPr>
    </w:p>
    <w:p>
      <w:pPr>
        <w:ind w:left="340" w:hanging="332"/>
        <w:spacing w:after="0" w:line="22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consistent improvements with ensifentrine in all subgroups including gender, age, smoking status, COPD severity, background medication, ICS use, chronic bronchitis,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reversibility and geographic region.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endpoints evaluating lung function met:</w:t>
      </w:r>
    </w:p>
    <w:p>
      <w:pPr>
        <w:spacing w:after="0" w:line="42" w:lineRule="exact"/>
        <w:rPr>
          <w:sz w:val="20"/>
          <w:szCs w:val="20"/>
          <w:color w:val="auto"/>
        </w:rPr>
      </w:pPr>
    </w:p>
    <w:p>
      <w:pPr>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Placebo corrected, increase in peak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of 147 mL (p&lt;0.0001) 0-4 hours post dose at week 12 in ENHANCE-1 and 146 mL (p&lt;0.0001) in ENHANCE-2.</w:t>
      </w:r>
    </w:p>
    <w:p>
      <w:pPr>
        <w:ind w:left="340" w:hanging="332"/>
        <w:spacing w:after="0" w:line="25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Placebo corrected, increase in morning trough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of 35 mL (p=0.0413) at week 12 in ENHANCE-1 and 49 mL (p=0.0016) in ENHANCE-2, supporting twice daily dosing regimen.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Exacerbation rate and risk reduced</w:t>
      </w:r>
    </w:p>
    <w:p>
      <w:pPr>
        <w:spacing w:after="0" w:line="108" w:lineRule="exact"/>
        <w:rPr>
          <w:sz w:val="20"/>
          <w:szCs w:val="20"/>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receiving ensifentrine demonstrated a 36% reduction in the rate of moderate to severe COPD exacerbations over 24 weeks (p=0.0503) compared to those receiving placebo in ENHANCE-1 and a 43% reduction (p=0.0090) in ENHANCE-2.</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pooled exacerbation data from ENHANCE-1 and ENHANCE-2, ensifentrine demonstrated a 40% reduction in the rate of moderate to severe COPD exacerbations over 24 weeks (p=0.0012) compared to those receiving placebo.</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ensifentrine significantly decreased the risk of a moderate/severe exacerbation as measured by time to first exacerbation when compared with placebo by 38% (p=0.0382) in ENHANCE-1 and by 42% (p=0.0089) in ENHANCE-2.</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pooled exacerbation data from ENHANCE-1 and ENHANCE-2, ensifentrine significantly decreased the risk of a moderate/severe exacerbation as measured by time to first exacerbation when compared with placebo by 41% (p=0.0009).</w:t>
      </w:r>
    </w:p>
    <w:p>
      <w:pPr>
        <w:spacing w:after="0" w:line="5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COPD symptoms and Quality of Life </w:t>
      </w:r>
      <w:r>
        <w:rPr>
          <w:rFonts w:ascii="Times New Roman" w:cs="Times New Roman" w:eastAsia="Times New Roman" w:hAnsi="Times New Roman"/>
          <w:sz w:val="18"/>
          <w:szCs w:val="18"/>
          <w:color w:val="auto"/>
        </w:rPr>
        <w:t>(“QOL”)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0" w:lineRule="exact"/>
        <w:rPr>
          <w:sz w:val="20"/>
          <w:szCs w:val="20"/>
          <w:color w:val="auto"/>
        </w:rPr>
      </w:pPr>
    </w:p>
    <w:p>
      <w:pPr>
        <w:jc w:val="both"/>
        <w:ind w:left="340" w:hanging="332"/>
        <w:spacing w:after="0"/>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 Similar improvements were demonstrated in ENHANCE-2 but statistical significance was not achieved due to improvements observed in the placebo group over time.</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 In ENHANCE-2, QOL as measured by SGRQ* Total Score in the ensifentrine group also improved from baseline to greater than the MCID of -4 units at weeks 12 and 24, numerically exceeding placebo at each measurement, but statistical significance was not achieved due to improvements observed in the placebo group over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Favorable safety profile</w:t>
      </w:r>
    </w:p>
    <w:p>
      <w:pPr>
        <w:spacing w:after="0" w:line="108" w:lineRule="exact"/>
        <w:rPr>
          <w:sz w:val="20"/>
          <w:szCs w:val="20"/>
          <w:color w:val="auto"/>
        </w:rPr>
      </w:pPr>
    </w:p>
    <w:p>
      <w:pPr>
        <w:ind w:right="280" w:firstLine="8"/>
        <w:spacing w:after="0" w:line="352"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Ensifentrine was well tolerated with very few adverse events occurring in more than 1% of subjects and greater than placebo over 24 and 48 weeks. *FEV</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Forced Expiratory Volume in one second, a standard measure of lung function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**E-RS, Evaluating Respiratory Symptoms, and SGRQ, St. George’s Respiratory Questionnaire, are validated patient reported outcome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6429375" cy="3385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2937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Nuance Pharma</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April 2023, our development partner, Nuance Pharma, dosed the first subject in its pivotal Phase 3 clinical trial evaluating ensifentrine for the maintenance treatment of COPD in mainland China. In August 2022, Nuance Pharma received clearance from the Center of Drug Evaluation for its Investigational New Drug application to conduct both Phase 1 and Phase 3 studies with ensifentrine for the maintenance treatment of COPD in mainland China. Nuance Pharma initiated a Phase 1 trial with ensifentrine in healthy volunteers in March 2023. In 2021, we entered into an agreement with Nuance Pharma for exclusive rights to develop and commercialize ensifentrine in Greater China, with future potential milestone payments up to $179 million plus royalties.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material changes to the Company’s critical accounting estimates described in the Company’s 2022 Form 10-K during the three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the Phase 3 ENHANCE program is nearing completion, we expect our research and development costs to decrease over the next several quarters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commercial costs to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income/(expense) are driven by interest income and expense, foreign exchange movements on cash and cash equivalents and taxes receivable, and the U.K. research and development tax credits.</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participate in the U.K. Small and Medium Enterprises research and development tax relief program. The tax credits are calculated as a percentage of qualifying research and development expenditure and are payable in cash by the U.K. government to us. Credits recorded in the 2022 financial year are expected to be received in the fourth quarter of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corporate taxation in the U.S. and the United Kingdom. We have generated losses since inception and have therefore not paid United Kingdom corporation tax. The income taxes presented in our Condensed Consolidated Statements of Operations and Comprehensive Loss represent the tax impact from our operating activities in the U.S., which generates taxable income based on intercompany service arrangements.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losses may be carried forward indefinitely to be offset against future taxable profits, subject to various utilization criteria and restrictions.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2023 and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three months ended March 31, 2023 and 2022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Research and development costs were $12.6 million for the three months ended March 31, 2023, compared to $17.6 million for the three months ended March 31, 2022, a decrease of $5.0 million. This decrease was primarily due to a $5.1 million decrease in clinical trial and other development costs as the Phase 3 ENHANCE program is in the final stages of completing data analysis whereas in the same period in the prior year significant costs were incurred associated with active enrollment. Research and development costs for the three months ended March 31, 2023 include the impact of the accrual related to the supplier matter as discussed in Note 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Selling, general and administrative costs were $9.6 million for the three months ended March 31, 2023, compared to $7.4 million for the three months ended March 31, 2022, an increase of $2.1 million. This increase was primarily due to a $2.7 million increase in people related costs, inclusive of share-based compensation, as well as an increase of $0.8 million for costs related to the build out of commercial infrastructure in preparation for a potential commercial launch. The increases were partially offset by a non-recurring $2.0 million charge related to the modification of the assignment and license agreement with Ligand UK Development Limited, which was incurred in the three months ended March 31,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Other income/(expense) for the three months ended March 31, 2023 was income of $5.6 million compared to income of $0.3 million for the three months ended March 31, 2022, an increase of $5.3 million. This increase was primarily due to increases of $2.7 million in interest income on higher cash balances and higher interest rates, $1.9 million related to the strengthening of the pound sterling and $1.0 million relating to the R&amp;D tax credit and was partially offset by an increase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2023 and 2022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69,411</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158,651</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Net cash used in operating activities was $5.8 million in the three months ended March 31, 2023, compared to $14.5 million during the three months ended March 31, 2022, a decrease of $8.7 million. The decrease in cash used in operating activities was primarily due to the decrease in clinical trial and other development costs as we are in the final stages of completing data analysis related to our Phase 3 ENHANCE program whereas in the same period in the prior year we had significant costs associated with active enrollment as well as the timing of payments.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provided by financing activities was $68.7 million in the three months ended March 31, 2023, compared to $0.7 million net cash used in the three months ended March 31, 2022, an increase of $69.4 million. The increase of cash provided by financing activities was primarily due to the proceeds from issuance of ordinary shares of $56.9 million and the proceeds from draw under the Oxford Term Loan of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To date, we have financed our operations primarily through the issuances of our equity securities, including warrants, from borrowings under term loan facilities and from upfront payments from the Nuance Agreement.</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recurring losses since inception, including net losses of $16.7 million for the three months ended March 31, 2023, and $68.7 million for the year ended December 31, 2022. As of March 31, 2023, we had an accumulated deficit of $350.1 million. We expect to continue to generate operating losses for the foreseeable future.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ongoing material financing commitments, such as lines of credit or guarantees, that are expected to affect our liquidity over the next five years, other than leases and the Oxford Term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Financing and Capital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we completed the following financing and capital transactions</w:t>
      </w:r>
    </w:p>
    <w:p>
      <w:pPr>
        <w:spacing w:after="0" w:line="9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$10.0 million under the second term loan advance related to the Oxford Term Loan;</w:t>
      </w:r>
    </w:p>
    <w:p>
      <w:pPr>
        <w:spacing w:after="0" w:line="103" w:lineRule="exact"/>
        <w:rPr>
          <w:rFonts w:ascii="Times New Roman" w:cs="Times New Roman" w:eastAsia="Times New Roman" w:hAnsi="Times New Roman"/>
          <w:sz w:val="18"/>
          <w:szCs w:val="18"/>
          <w:color w:val="auto"/>
        </w:rPr>
      </w:pPr>
    </w:p>
    <w:p>
      <w:pPr>
        <w:jc w:val="both"/>
        <w:ind w:firstLine="8"/>
        <w:spacing w:after="0" w:line="242" w:lineRule="auto"/>
        <w:tabs>
          <w:tab w:leader="none" w:pos="6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20,321,384 ordinary shares (equivalent to 2,540,173 ADSs) under the at-the-market offering program entered into in March 2021 (the “2021 ATM Program”), at an average price of approximately $2.88 per share (equivalent to $23.08 per ADS), raising aggregate net proceeds of approximately $56.9 million after deducting issuance costs;</w:t>
      </w:r>
    </w:p>
    <w:p>
      <w:pPr>
        <w:spacing w:after="0" w:line="75" w:lineRule="exact"/>
        <w:rPr>
          <w:rFonts w:ascii="Times New Roman" w:cs="Times New Roman" w:eastAsia="Times New Roman" w:hAnsi="Times New Roman"/>
          <w:sz w:val="18"/>
          <w:szCs w:val="18"/>
          <w:color w:val="auto"/>
        </w:rPr>
      </w:pPr>
    </w:p>
    <w:p>
      <w:pPr>
        <w:ind w:right="20" w:firstLine="8"/>
        <w:spacing w:after="0" w:line="266" w:lineRule="auto"/>
        <w:tabs>
          <w:tab w:leader="none" w:pos="6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the 2021 ATM Program, with an open market sale agreement with Jefferies LLC (“Jefferies”) to sell our ordinary shares, in the form of ADSs, with aggregate gross proceeds of up to $200.0 million.</w:t>
      </w:r>
    </w:p>
    <w:p>
      <w:pPr>
        <w:spacing w:after="0" w:line="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Refer also to Note 5 - Term Loan to the condensed consolidated financial statements for additional information on the Oxford Term Loan and to Note 1 - Organization and description of business operations to the condensed consolidated financial statements for additional information on 2023 activity under the 2021 ATM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2023, together with, expected cash receipts from U.K. tax credits and additional funding expected to become available under the Oxford Term Loan, will enable us to fund our planned operating expenses and capital expenditure requirements through at least the end of 2025, including the planned commercial launch of nebulized ensifentrine for COPD maintenance treatment in the U.S. Future advances under the Oxford Term Loan are contingent upon achievement of certain clinical and regulatory milestones and other specified conditions. Our cash and cash equivalents are maintained at financial institutions in amounts that exceed federally insured limits. In the event of failure of any of the financial institutions where we maintain our cash and cash equivalents, there can be no assurance that we will be able to access uninsured funds in a timely manner or at all.</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may require additional capital to commercialize ensifentrine, to continue the clinical development of our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development programs or any future commercialization efforts or grant rights to develop and market product candidates that we would otherwise prefer to develop and market ourselves.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for ensifentrine or any future product candidates will depend on many factors, including:</w:t>
      </w:r>
    </w:p>
    <w:p>
      <w:pPr>
        <w:spacing w:after="0" w:line="104" w:lineRule="exact"/>
        <w:rPr>
          <w:sz w:val="20"/>
          <w:szCs w:val="20"/>
          <w:color w:val="auto"/>
        </w:rPr>
      </w:pPr>
    </w:p>
    <w:p>
      <w:pPr>
        <w:ind w:firstLine="8"/>
        <w:spacing w:after="0" w:line="266"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103"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ensifentrine or any future product candidates;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or infringements raised by third</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w:t>
      </w:r>
    </w:p>
    <w:p>
      <w:pPr>
        <w:spacing w:after="0" w:line="83"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6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103"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68"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we may derive either directly or in the form of royalty payments from future sales of ensifentrine or any future product candidates, if approved.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within the next year, if ever.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may need to obtain substantial additional funds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 3.</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9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2023, our disclosure controls and procedures were effective at the reasonable assurance level.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Except as discussed below, our risk factors have not changed materially from those described in Part I, Item 1A of the 2022 Form 10-K under the heading “Risk Factors”.</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to complete development and commercialization of any future product candidates, or development and commercialization of other formulations or target indications of ensifentrine, if approved.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and planned activities, particularly as we conduct further clinical trials of ensifentrine, and develop ensifentrine in other formulations or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6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obtain regulatory approval for ensifentrine for the treatment of COPD in the US, we estimate that our existing cash resources, expected cash receipts from the UK tax credit program and funding expected to become available under the $150.0 million debt facility will enable the Company to fund planned operating expenses and capital expenditure requirements through at least the end of 2025 including the commercial launch of ensifentrine in the US. Future advances under the Oxford Term Loan are contingent upon achievement of certain clinical and regulatory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04" w:lineRule="exact"/>
        <w:rPr>
          <w:sz w:val="20"/>
          <w:szCs w:val="20"/>
          <w:color w:val="auto"/>
        </w:rPr>
      </w:pPr>
    </w:p>
    <w:p>
      <w:pPr>
        <w:ind w:firstLine="8"/>
        <w:spacing w:after="0" w:line="266"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the regulatory submission and review of ensifentrine for the treatment of COPD in the US and other regions, including any post-marketing studies that could be required by regulatory authorities, if regulatory approval is received;</w:t>
      </w:r>
    </w:p>
    <w:p>
      <w:pPr>
        <w:spacing w:after="0" w:line="40" w:lineRule="exact"/>
        <w:rPr>
          <w:rFonts w:ascii="Times New Roman" w:cs="Times New Roman" w:eastAsia="Times New Roman" w:hAnsi="Times New Roman"/>
          <w:sz w:val="18"/>
          <w:szCs w:val="18"/>
          <w:color w:val="auto"/>
        </w:rPr>
      </w:pPr>
    </w:p>
    <w:p>
      <w:pPr>
        <w:ind w:right="20" w:firstLine="8"/>
        <w:spacing w:after="0" w:line="266"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other studies required to support the commercial positioning of ensifentrine for the treatment of COPD, if regulatory approval is received;</w:t>
      </w:r>
    </w:p>
    <w:p>
      <w:pPr>
        <w:spacing w:after="0" w:line="54"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for the treatment of CF, asthma or other indications, or for other formulations of ensifentrine including fixed-dose combination products;</w:t>
      </w:r>
    </w:p>
    <w:p>
      <w:pPr>
        <w:spacing w:after="0" w:line="68"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if approved, commercial supplies of the ensifentrine active ingredient and derived formulated drug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0" w:lineRule="exact"/>
        <w:rPr>
          <w:sz w:val="20"/>
          <w:szCs w:val="20"/>
          <w:color w:val="auto"/>
        </w:rPr>
      </w:pPr>
    </w:p>
    <w:p>
      <w:pPr>
        <w:jc w:val="both"/>
        <w:ind w:firstLine="8"/>
        <w:spacing w:after="0" w:line="242"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indications and of the development of DPI and pMDI formulations of ensifentrine, or fixed-dose combination formulations of ensifentrine for the maintenance treatment of COPD and potentially asthma and other respiratory diseases;</w:t>
      </w:r>
    </w:p>
    <w:p>
      <w:pPr>
        <w:spacing w:after="0" w:line="75"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and distribution, for ensifentrine;</w:t>
      </w:r>
    </w:p>
    <w:p>
      <w:pPr>
        <w:spacing w:after="0" w:line="4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ensifentrine;</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ensifentrine;</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03"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0" w:type="dxa"/>
            <w:vAlign w:val="bottom"/>
          </w:tcPr>
          <w:p>
            <w:pPr>
              <w:spacing w:after="0"/>
              <w:rPr>
                <w:sz w:val="1"/>
                <w:szCs w:val="1"/>
                <w:color w:val="auto"/>
              </w:rPr>
            </w:pPr>
          </w:p>
        </w:tc>
      </w:tr>
      <w:tr>
        <w:trPr>
          <w:trHeight w:val="297"/>
        </w:trPr>
        <w:tc>
          <w:tcPr>
            <w:tcW w:w="240" w:type="dxa"/>
            <w:vAlign w:val="bottom"/>
          </w:tcPr>
          <w:p>
            <w:pPr>
              <w:spacing w:after="0"/>
              <w:rPr>
                <w:rFonts w:ascii="Times New Roman" w:cs="Times New Roman" w:eastAsia="Times New Roman" w:hAnsi="Times New Roman"/>
                <w:sz w:val="18"/>
                <w:szCs w:val="18"/>
                <w:color w:val="0000FF"/>
                <w:w w:val="97"/>
              </w:rPr>
            </w:pPr>
            <w:hyperlink r:id="rId4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gridSpan w:val="8"/>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Articles of Association, as amended and as currently in effect</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4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780" w:type="dxa"/>
            <w:vAlign w:val="bottom"/>
          </w:tcPr>
          <w:p>
            <w:pPr>
              <w:spacing w:after="0"/>
              <w:rPr>
                <w:sz w:val="24"/>
                <w:szCs w:val="24"/>
                <w:color w:val="auto"/>
              </w:rPr>
            </w:pPr>
          </w:p>
        </w:tc>
        <w:tc>
          <w:tcPr>
            <w:tcW w:w="44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 xml:space="preserve">Second Amendment and </w:t>
              </w:r>
            </w:hyperlink>
            <w:r>
              <w:rPr>
                <w:rFonts w:ascii="Times New Roman" w:cs="Times New Roman" w:eastAsia="Times New Roman" w:hAnsi="Times New Roman"/>
                <w:sz w:val="18"/>
                <w:szCs w:val="18"/>
                <w:color w:val="0000FF"/>
                <w:w w:val="99"/>
              </w:rPr>
              <w:t xml:space="preserve">Restated </w:t>
            </w:r>
            <w:hyperlink r:id="rId41">
              <w:r>
                <w:rPr>
                  <w:rFonts w:ascii="Times New Roman" w:cs="Times New Roman" w:eastAsia="Times New Roman" w:hAnsi="Times New Roman"/>
                  <w:sz w:val="18"/>
                  <w:szCs w:val="18"/>
                  <w:color w:val="0000FF"/>
                  <w:w w:val="99"/>
                </w:rPr>
                <w:t>2017 Incentive Award Plan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24"/>
                <w:szCs w:val="24"/>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c>
          <w:tcPr>
            <w:tcW w:w="0" w:type="dxa"/>
            <w:vAlign w:val="bottom"/>
          </w:tcPr>
          <w:p>
            <w:pPr>
              <w:spacing w:after="0"/>
              <w:rPr>
                <w:sz w:val="1"/>
                <w:szCs w:val="1"/>
                <w:color w:val="auto"/>
              </w:rPr>
            </w:pPr>
          </w:p>
        </w:tc>
      </w:tr>
      <w:tr>
        <w:trPr>
          <w:trHeight w:val="176"/>
        </w:trPr>
        <w:tc>
          <w:tcPr>
            <w:tcW w:w="320" w:type="dxa"/>
            <w:vAlign w:val="bottom"/>
            <w:tcBorders>
              <w:bottom w:val="single" w:sz="8" w:color="0000FF"/>
            </w:tcBorders>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3680" w:type="dxa"/>
            <w:vAlign w:val="bottom"/>
            <w:tcBorders>
              <w:top w:val="single" w:sz="8" w:color="0000FF"/>
            </w:tcBorders>
            <w:gridSpan w:val="4"/>
          </w:tcPr>
          <w:p>
            <w:pPr>
              <w:spacing w:after="0"/>
              <w:rPr>
                <w:sz w:val="15"/>
                <w:szCs w:val="15"/>
                <w:color w:val="auto"/>
              </w:rPr>
            </w:pPr>
          </w:p>
        </w:tc>
        <w:tc>
          <w:tcPr>
            <w:tcW w:w="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780" w:type="dxa"/>
            <w:vAlign w:val="bottom"/>
          </w:tcPr>
          <w:p>
            <w:pPr>
              <w:spacing w:after="0"/>
              <w:rPr>
                <w:sz w:val="24"/>
                <w:szCs w:val="24"/>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0" w:type="dxa"/>
            <w:vAlign w:val="bottom"/>
          </w:tcPr>
          <w:p>
            <w:pPr>
              <w:spacing w:after="0"/>
              <w:rPr>
                <w:sz w:val="1"/>
                <w:szCs w:val="1"/>
                <w:color w:val="auto"/>
              </w:rPr>
            </w:pPr>
          </w:p>
        </w:tc>
      </w:tr>
      <w:tr>
        <w:trPr>
          <w:trHeight w:val="163"/>
        </w:trPr>
        <w:tc>
          <w:tcPr>
            <w:tcW w:w="320" w:type="dxa"/>
            <w:vAlign w:val="bottom"/>
            <w:tcBorders>
              <w:bottom w:val="single" w:sz="8" w:color="0000FF"/>
            </w:tcBorders>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340" w:type="dxa"/>
            <w:vAlign w:val="bottom"/>
            <w:tcBorders>
              <w:top w:val="single" w:sz="8" w:color="0000FF"/>
            </w:tcBorders>
            <w:gridSpan w:val="2"/>
          </w:tcPr>
          <w:p>
            <w:pPr>
              <w:spacing w:after="0"/>
              <w:rPr>
                <w:sz w:val="14"/>
                <w:szCs w:val="14"/>
                <w:color w:val="auto"/>
              </w:rPr>
            </w:pPr>
          </w:p>
        </w:tc>
        <w:tc>
          <w:tcPr>
            <w:tcW w:w="3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24"/>
                <w:szCs w:val="24"/>
                <w:color w:val="auto"/>
              </w:rPr>
            </w:pP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0" w:type="dxa"/>
            <w:vAlign w:val="bottom"/>
          </w:tcPr>
          <w:p>
            <w:pPr>
              <w:spacing w:after="0"/>
              <w:rPr>
                <w:sz w:val="1"/>
                <w:szCs w:val="1"/>
                <w:color w:val="auto"/>
              </w:rPr>
            </w:pPr>
          </w:p>
        </w:tc>
      </w:tr>
      <w:tr>
        <w:trPr>
          <w:trHeight w:val="425"/>
        </w:trPr>
        <w:tc>
          <w:tcPr>
            <w:tcW w:w="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78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40" w:type="dxa"/>
            <w:vAlign w:val="bottom"/>
            <w:tcBorders>
              <w:top w:val="single" w:sz="8" w:color="0000FF"/>
            </w:tcBorders>
          </w:tcPr>
          <w:p>
            <w:pPr>
              <w:spacing w:after="0"/>
              <w:rPr>
                <w:sz w:val="24"/>
                <w:szCs w:val="24"/>
                <w:color w:val="auto"/>
              </w:rPr>
            </w:pPr>
          </w:p>
        </w:tc>
        <w:tc>
          <w:tcPr>
            <w:tcW w:w="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3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4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ind w:left="1120"/>
        <w:spacing w:after="0" w:line="221" w:lineRule="auto"/>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ind w:right="2460" w:firstLine="26"/>
        <w:spacing w:after="0" w:line="403" w:lineRule="auto"/>
        <w:tabs>
          <w:tab w:leader="none" w:pos="111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contained in Exhibit 101) * Filed herewith.</w:t>
      </w: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2"/>
              </w:rPr>
              <w:t>Form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 No.</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Exhibit No.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Filing date</w:t>
            </w:r>
          </w:p>
        </w:tc>
      </w:tr>
      <w:tr>
        <w:trPr>
          <w:trHeight w:val="445"/>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12/30/2020</w:t>
            </w:r>
          </w:p>
        </w:tc>
      </w:tr>
      <w:tr>
        <w:trPr>
          <w:trHeight w:val="446"/>
        </w:trPr>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05/01/2023</w:t>
            </w: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7"/>
          <w:szCs w:val="17"/>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720" w:space="300"/>
            <w:col w:w="4020" w:space="40"/>
            <w:col w:w="1140"/>
          </w:cols>
          <w:pgMar w:left="320" w:top="1440" w:right="35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VERONA PHARMA PLC</w:t>
            </w:r>
          </w:p>
        </w:tc>
        <w:tc>
          <w:tcPr>
            <w:tcW w:w="3020" w:type="dxa"/>
            <w:vAlign w:val="bottom"/>
          </w:tcPr>
          <w:p>
            <w:pPr>
              <w:spacing w:after="0"/>
              <w:rPr>
                <w:sz w:val="20"/>
                <w:szCs w:val="20"/>
                <w:color w:val="auto"/>
              </w:rPr>
            </w:pPr>
          </w:p>
        </w:tc>
      </w:tr>
      <w:tr>
        <w:trPr>
          <w:trHeight w:val="53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4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243"/>
        </w:trPr>
        <w:tc>
          <w:tcPr>
            <w:tcW w:w="34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Zaccardelli, Pharm. D.</w:t>
            </w:r>
          </w:p>
        </w:tc>
      </w:tr>
      <w:tr>
        <w:trPr>
          <w:trHeight w:val="256"/>
        </w:trPr>
        <w:tc>
          <w:tcPr>
            <w:tcW w:w="34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1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2023</w:t>
            </w:r>
          </w:p>
        </w:tc>
        <w:tc>
          <w:tcPr>
            <w:tcW w:w="4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W. Hahn</w:t>
            </w:r>
          </w:p>
        </w:tc>
      </w:tr>
      <w:tr>
        <w:trPr>
          <w:trHeight w:val="243"/>
        </w:trPr>
        <w:tc>
          <w:tcPr>
            <w:tcW w:w="34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Hahn</w:t>
            </w:r>
          </w:p>
        </w:tc>
      </w:tr>
      <w:tr>
        <w:trPr>
          <w:trHeight w:val="364"/>
        </w:trPr>
        <w:tc>
          <w:tcPr>
            <w:tcW w:w="3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340" w:right="460" w:hanging="332"/>
        <w:spacing w:after="0" w:line="266" w:lineRule="auto"/>
        <w:tabs>
          <w:tab w:leader="none" w:pos="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right="200" w:hanging="451"/>
        <w:spacing w:after="0" w:line="266" w:lineRule="auto"/>
        <w:tabs>
          <w:tab w:leader="none" w:pos="83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29" w:name="page30"/>
    <w:bookmarkEnd w:id="29"/>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5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5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660" w:right="30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March 31, 2023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917950" cy="8890"/>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31" w:name="page32"/>
    <w:bookmarkEnd w:id="31"/>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March 31, 2023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2"/>
      <w:numFmt w:val="decimal"/>
      <w:start w:val="104"/>
    </w:lvl>
  </w:abstractNum>
  <w:abstractNum w:abstractNumId="17">
    <w:nsid w:val="628C895D"/>
    <w:multiLevelType w:val="hybridMultilevel"/>
    <w:lvl w:ilvl="0">
      <w:lvlJc w:val="left"/>
      <w:lvlText w:val="**"/>
      <w:numFmt w:val="bullet"/>
      <w:start w:val="1"/>
    </w:lvl>
    <w:lvl w:ilvl="1">
      <w:lvlJc w:val="left"/>
      <w:lvlText w:val="%2"/>
      <w:numFmt w:val="decimal"/>
      <w:start w:val="1"/>
    </w:lvl>
  </w:abstractNum>
  <w:abstractNum w:abstractNumId="18">
    <w:nsid w:val="333AB1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5"/>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0" Type="http://schemas.openxmlformats.org/officeDocument/2006/relationships/hyperlink" Target="https://www.sec.gov/Archives/edgar/data/1657312/000110465920140541/tm2039594d1_ex1.htm" TargetMode="External"/><Relationship Id="rId41" Type="http://schemas.openxmlformats.org/officeDocument/2006/relationships/hyperlink" Target="https://www.sec.gov/Archives/edgar/data/1657312/000110465923054551/tm231423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2023-05-09T07:50:57Z</dcterms:created>
  <dcterms:modified xsi:type="dcterms:W3CDTF">2023-05-09T07:50:57Z</dcterms:modified>
</cp:coreProperties>
</file>