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88,544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1.9313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14,943,032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April 30, 2024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3,050,000 Ordinary Shares underlying Restricted Share Units, each of which represents a contingent right to receive one (1) Ordinary Share of the Issuer (which are represented by 381,250 ADSs); and (ii) 11,893,032 Ordinary Shares underlying 1,486,629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Hahn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2024-05-03T18:26:08Z</dcterms:created>
  <dcterms:modified xsi:type="dcterms:W3CDTF">2024-05-03T18:26:08Z</dcterms:modified>
</cp:coreProperties>
</file>