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(Amendment No. )*</w:t>
      </w:r>
    </w:p>
    <w:p>
      <w:pPr>
        <w:spacing w:after="0" w:line="226" w:lineRule="exact"/>
        <w:rPr>
          <w:sz w:val="24"/>
          <w:szCs w:val="24"/>
          <w:color w:val="auto"/>
        </w:rPr>
      </w:pPr>
    </w:p>
    <w:p>
      <w:pPr>
        <w:jc w:val="center"/>
        <w:ind w:right="640"/>
        <w:spacing w:after="0"/>
        <w:rPr>
          <w:sz w:val="20"/>
          <w:szCs w:val="20"/>
          <w:color w:val="auto"/>
        </w:rPr>
      </w:pPr>
      <w:r>
        <w:rPr>
          <w:rFonts w:ascii="Arial" w:cs="Arial" w:eastAsia="Arial" w:hAnsi="Arial"/>
          <w:sz w:val="25"/>
          <w:szCs w:val="25"/>
          <w:u w:val="single" w:color="auto"/>
          <w:color w:val="auto"/>
        </w:rPr>
        <w:t>Verona Pharma plc</w:t>
      </w:r>
    </w:p>
    <w:p>
      <w:pPr>
        <w:spacing w:after="0" w:line="28"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640"/>
        <w:spacing w:after="0"/>
        <w:rPr>
          <w:sz w:val="20"/>
          <w:szCs w:val="20"/>
          <w:color w:val="auto"/>
        </w:rPr>
      </w:pPr>
      <w:r>
        <w:rPr>
          <w:rFonts w:ascii="Arial" w:cs="Arial" w:eastAsia="Arial" w:hAnsi="Arial"/>
          <w:sz w:val="18"/>
          <w:szCs w:val="18"/>
          <w:u w:val="single" w:color="auto"/>
          <w:color w:val="auto"/>
        </w:rPr>
        <w:t>Ordinary Shares, nominal value £0.05 per share</w:t>
      </w:r>
    </w:p>
    <w:p>
      <w:pPr>
        <w:spacing w:after="0" w:line="23" w:lineRule="exact"/>
        <w:rPr>
          <w:sz w:val="24"/>
          <w:szCs w:val="24"/>
          <w:color w:val="auto"/>
        </w:rPr>
      </w:pPr>
    </w:p>
    <w:p>
      <w:pPr>
        <w:jc w:val="center"/>
        <w:ind w:right="640"/>
        <w:spacing w:after="0"/>
        <w:rPr>
          <w:sz w:val="20"/>
          <w:szCs w:val="20"/>
          <w:color w:val="auto"/>
        </w:rPr>
      </w:pPr>
      <w:r>
        <w:rPr>
          <w:rFonts w:ascii="Arial" w:cs="Arial" w:eastAsia="Arial" w:hAnsi="Arial"/>
          <w:sz w:val="18"/>
          <w:szCs w:val="18"/>
          <w:u w:val="single" w:color="auto"/>
          <w:color w:val="auto"/>
        </w:rPr>
        <w:t>American Depositary Shares, each representing eight Ordinary Shares</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640"/>
        <w:spacing w:after="0"/>
        <w:rPr>
          <w:sz w:val="20"/>
          <w:szCs w:val="20"/>
          <w:color w:val="auto"/>
        </w:rPr>
      </w:pPr>
      <w:r>
        <w:rPr>
          <w:rFonts w:ascii="Arial" w:cs="Arial" w:eastAsia="Arial" w:hAnsi="Arial"/>
          <w:sz w:val="18"/>
          <w:szCs w:val="18"/>
          <w:u w:val="single" w:color="auto"/>
          <w:color w:val="auto"/>
        </w:rPr>
        <w:t>925050106</w:t>
      </w:r>
    </w:p>
    <w:p>
      <w:pPr>
        <w:spacing w:after="0" w:line="23"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14605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40" w:right="8720" w:firstLine="4"/>
        <w:spacing w:after="0" w:line="227" w:lineRule="exact"/>
        <w:tabs>
          <w:tab w:leader="none" w:pos="84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125730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142875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442595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925050106</w:t>
      </w:r>
    </w:p>
    <w:p>
      <w:pPr>
        <w:spacing w:after="0" w:line="239" w:lineRule="exact"/>
        <w:rPr>
          <w:sz w:val="20"/>
          <w:szCs w:val="20"/>
          <w:color w:val="auto"/>
        </w:rPr>
      </w:pPr>
    </w:p>
    <w:p>
      <w:pPr>
        <w:ind w:left="580" w:hanging="461"/>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580" w:right="508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5323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ind w:left="580" w:hanging="461"/>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7720" w:hanging="514"/>
        <w:spacing w:after="0" w:line="207" w:lineRule="exact"/>
        <w:tabs>
          <w:tab w:leader="none" w:pos="77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7740" w:hanging="534"/>
        <w:spacing w:after="0" w:line="207" w:lineRule="exact"/>
        <w:tabs>
          <w:tab w:leader="none" w:pos="77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3" w:lineRule="exact"/>
        <w:rPr>
          <w:sz w:val="20"/>
          <w:szCs w:val="20"/>
          <w:color w:val="auto"/>
        </w:rPr>
      </w:pPr>
    </w:p>
    <w:p>
      <w:pPr>
        <w:ind w:left="580" w:hanging="461"/>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580" w:right="7000" w:hanging="461"/>
        <w:spacing w:after="0" w:line="506"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89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3"/>
        </w:trPr>
        <w:tc>
          <w:tcPr>
            <w:tcW w:w="1580" w:type="dxa"/>
            <w:vAlign w:val="bottom"/>
          </w:tcPr>
          <w:p>
            <w:pPr>
              <w:jc w:val="center"/>
              <w:ind w:right="270"/>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24"/>
                <w:szCs w:val="24"/>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9"/>
                <w:szCs w:val="9"/>
                <w:color w:val="auto"/>
              </w:rPr>
            </w:pPr>
          </w:p>
        </w:tc>
        <w:tc>
          <w:tcPr>
            <w:tcW w:w="89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580" w:type="dxa"/>
            <w:vAlign w:val="bottom"/>
            <w:vMerge w:val="continue"/>
          </w:tcPr>
          <w:p>
            <w:pPr>
              <w:spacing w:after="0"/>
              <w:rPr>
                <w:sz w:val="7"/>
                <w:szCs w:val="7"/>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1"/>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BENEFICIALLY</w:t>
            </w:r>
          </w:p>
        </w:tc>
        <w:tc>
          <w:tcPr>
            <w:tcW w:w="420" w:type="dxa"/>
            <w:vAlign w:val="bottom"/>
            <w:vMerge w:val="continue"/>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10"/>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8"/>
                <w:szCs w:val="18"/>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41,543,004</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580" w:type="dxa"/>
            <w:vAlign w:val="bottom"/>
            <w:vMerge w:val="restart"/>
          </w:tcPr>
          <w:p>
            <w:pPr>
              <w:jc w:val="center"/>
              <w:ind w:right="210"/>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30"/>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80" w:type="dxa"/>
            <w:vAlign w:val="bottom"/>
            <w:vMerge w:val="restart"/>
          </w:tcPr>
          <w:p>
            <w:pPr>
              <w:jc w:val="center"/>
              <w:ind w:right="21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1"/>
                <w:szCs w:val="11"/>
                <w:color w:val="auto"/>
              </w:rPr>
            </w:pPr>
          </w:p>
        </w:tc>
        <w:tc>
          <w:tcPr>
            <w:tcW w:w="8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580" w:type="dxa"/>
            <w:vAlign w:val="bottom"/>
            <w:vMerge w:val="continue"/>
          </w:tcPr>
          <w:p>
            <w:pPr>
              <w:spacing w:after="0"/>
              <w:rPr>
                <w:sz w:val="6"/>
                <w:szCs w:val="6"/>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41,543,004</w:t>
      </w:r>
    </w:p>
    <w:p>
      <w:pPr>
        <w:spacing w:after="0" w:line="23" w:lineRule="exact"/>
        <w:rPr>
          <w:sz w:val="20"/>
          <w:szCs w:val="20"/>
          <w:color w:val="auto"/>
        </w:rPr>
      </w:pPr>
    </w:p>
    <w:p>
      <w:pPr>
        <w:ind w:left="580" w:hanging="381"/>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41,543,004</w:t>
      </w:r>
    </w:p>
    <w:p>
      <w:pPr>
        <w:spacing w:after="0" w:line="23" w:lineRule="exact"/>
        <w:rPr>
          <w:sz w:val="20"/>
          <w:szCs w:val="20"/>
          <w:color w:val="auto"/>
        </w:rPr>
      </w:pPr>
    </w:p>
    <w:p>
      <w:pPr>
        <w:ind w:left="580" w:hanging="461"/>
        <w:spacing w:after="0" w:line="207" w:lineRule="exact"/>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8" w:lineRule="exact"/>
        <w:rPr>
          <w:sz w:val="20"/>
          <w:szCs w:val="20"/>
          <w:color w:val="auto"/>
        </w:rPr>
      </w:pPr>
    </w:p>
    <w:p>
      <w:pPr>
        <w:ind w:left="580" w:right="5720" w:hanging="421"/>
        <w:spacing w:after="0" w:line="383" w:lineRule="auto"/>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1" w:lineRule="exact"/>
        <w:rPr>
          <w:rFonts w:ascii="Arial" w:cs="Arial" w:eastAsia="Arial" w:hAnsi="Arial"/>
          <w:sz w:val="18"/>
          <w:szCs w:val="18"/>
          <w:b w:val="1"/>
          <w:bCs w:val="1"/>
          <w:color w:val="auto"/>
        </w:rPr>
      </w:pPr>
    </w:p>
    <w:p>
      <w:pPr>
        <w:ind w:left="580" w:right="6320" w:hanging="426"/>
        <w:spacing w:after="0" w:line="527" w:lineRule="auto"/>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925050106</w:t>
      </w:r>
    </w:p>
    <w:p>
      <w:pPr>
        <w:spacing w:after="0" w:line="239" w:lineRule="exact"/>
        <w:rPr>
          <w:sz w:val="20"/>
          <w:szCs w:val="20"/>
          <w:color w:val="auto"/>
        </w:rPr>
      </w:pPr>
    </w:p>
    <w:p>
      <w:pPr>
        <w:ind w:left="580" w:hanging="461"/>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580" w:right="508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5323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ind w:left="580" w:hanging="461"/>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7720" w:hanging="514"/>
        <w:spacing w:after="0" w:line="207" w:lineRule="exact"/>
        <w:tabs>
          <w:tab w:leader="none" w:pos="772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7740" w:hanging="534"/>
        <w:spacing w:after="0" w:line="207" w:lineRule="exact"/>
        <w:tabs>
          <w:tab w:leader="none" w:pos="774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3" w:lineRule="exact"/>
        <w:rPr>
          <w:sz w:val="20"/>
          <w:szCs w:val="20"/>
          <w:color w:val="auto"/>
        </w:rPr>
      </w:pPr>
    </w:p>
    <w:p>
      <w:pPr>
        <w:ind w:left="580" w:hanging="461"/>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580" w:right="7000" w:hanging="461"/>
        <w:spacing w:after="0" w:line="506" w:lineRule="auto"/>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89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3"/>
        </w:trPr>
        <w:tc>
          <w:tcPr>
            <w:tcW w:w="1580" w:type="dxa"/>
            <w:vAlign w:val="bottom"/>
          </w:tcPr>
          <w:p>
            <w:pPr>
              <w:jc w:val="center"/>
              <w:ind w:right="270"/>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24"/>
                <w:szCs w:val="24"/>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9"/>
                <w:szCs w:val="9"/>
                <w:color w:val="auto"/>
              </w:rPr>
            </w:pPr>
          </w:p>
        </w:tc>
        <w:tc>
          <w:tcPr>
            <w:tcW w:w="89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580" w:type="dxa"/>
            <w:vAlign w:val="bottom"/>
            <w:vMerge w:val="continue"/>
          </w:tcPr>
          <w:p>
            <w:pPr>
              <w:spacing w:after="0"/>
              <w:rPr>
                <w:sz w:val="7"/>
                <w:szCs w:val="7"/>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1"/>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BENEFICIALLY</w:t>
            </w:r>
          </w:p>
        </w:tc>
        <w:tc>
          <w:tcPr>
            <w:tcW w:w="420" w:type="dxa"/>
            <w:vAlign w:val="bottom"/>
            <w:vMerge w:val="continue"/>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10"/>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8"/>
                <w:szCs w:val="18"/>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41,543,004</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580" w:type="dxa"/>
            <w:vAlign w:val="bottom"/>
            <w:vMerge w:val="restart"/>
          </w:tcPr>
          <w:p>
            <w:pPr>
              <w:jc w:val="center"/>
              <w:ind w:right="210"/>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30"/>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80" w:type="dxa"/>
            <w:vAlign w:val="bottom"/>
            <w:vMerge w:val="restart"/>
          </w:tcPr>
          <w:p>
            <w:pPr>
              <w:jc w:val="center"/>
              <w:ind w:right="21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1"/>
                <w:szCs w:val="11"/>
                <w:color w:val="auto"/>
              </w:rPr>
            </w:pPr>
          </w:p>
        </w:tc>
        <w:tc>
          <w:tcPr>
            <w:tcW w:w="8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580" w:type="dxa"/>
            <w:vAlign w:val="bottom"/>
            <w:vMerge w:val="continue"/>
          </w:tcPr>
          <w:p>
            <w:pPr>
              <w:spacing w:after="0"/>
              <w:rPr>
                <w:sz w:val="6"/>
                <w:szCs w:val="6"/>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41,543,004</w:t>
      </w:r>
    </w:p>
    <w:p>
      <w:pPr>
        <w:spacing w:after="0" w:line="23" w:lineRule="exact"/>
        <w:rPr>
          <w:sz w:val="20"/>
          <w:szCs w:val="20"/>
          <w:color w:val="auto"/>
        </w:rPr>
      </w:pPr>
    </w:p>
    <w:p>
      <w:pPr>
        <w:ind w:left="580" w:hanging="381"/>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41,543,004</w:t>
      </w:r>
    </w:p>
    <w:p>
      <w:pPr>
        <w:spacing w:after="0" w:line="23" w:lineRule="exact"/>
        <w:rPr>
          <w:sz w:val="20"/>
          <w:szCs w:val="20"/>
          <w:color w:val="auto"/>
        </w:rPr>
      </w:pPr>
    </w:p>
    <w:p>
      <w:pPr>
        <w:ind w:left="580" w:hanging="461"/>
        <w:spacing w:after="0" w:line="207" w:lineRule="exact"/>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8" w:lineRule="exact"/>
        <w:rPr>
          <w:sz w:val="20"/>
          <w:szCs w:val="20"/>
          <w:color w:val="auto"/>
        </w:rPr>
      </w:pPr>
    </w:p>
    <w:p>
      <w:pPr>
        <w:ind w:left="580" w:right="5720" w:hanging="421"/>
        <w:spacing w:after="0" w:line="383" w:lineRule="auto"/>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1" w:lineRule="exact"/>
        <w:rPr>
          <w:rFonts w:ascii="Arial" w:cs="Arial" w:eastAsia="Arial" w:hAnsi="Arial"/>
          <w:sz w:val="18"/>
          <w:szCs w:val="18"/>
          <w:b w:val="1"/>
          <w:bCs w:val="1"/>
          <w:color w:val="auto"/>
        </w:rPr>
      </w:pPr>
    </w:p>
    <w:p>
      <w:pPr>
        <w:ind w:left="580" w:right="6320" w:hanging="426"/>
        <w:spacing w:after="0" w:line="527" w:lineRule="auto"/>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925050106</w:t>
      </w:r>
    </w:p>
    <w:p>
      <w:pPr>
        <w:spacing w:after="0" w:line="239" w:lineRule="exact"/>
        <w:rPr>
          <w:sz w:val="20"/>
          <w:szCs w:val="20"/>
          <w:color w:val="auto"/>
        </w:rPr>
      </w:pPr>
    </w:p>
    <w:p>
      <w:pPr>
        <w:ind w:left="580" w:hanging="461"/>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580" w:right="508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5323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ind w:left="580" w:hanging="461"/>
        <w:spacing w:after="0"/>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7720" w:hanging="514"/>
        <w:spacing w:after="0" w:line="207" w:lineRule="exact"/>
        <w:tabs>
          <w:tab w:leader="none" w:pos="77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7740" w:hanging="534"/>
        <w:spacing w:after="0" w:line="207" w:lineRule="exact"/>
        <w:tabs>
          <w:tab w:leader="none" w:pos="774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3" w:lineRule="exact"/>
        <w:rPr>
          <w:sz w:val="20"/>
          <w:szCs w:val="20"/>
          <w:color w:val="auto"/>
        </w:rPr>
      </w:pPr>
    </w:p>
    <w:p>
      <w:pPr>
        <w:ind w:left="580" w:hanging="461"/>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580" w:right="7000" w:hanging="461"/>
        <w:spacing w:after="0" w:line="506" w:lineRule="auto"/>
        <w:tabs>
          <w:tab w:leader="none" w:pos="5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89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3"/>
        </w:trPr>
        <w:tc>
          <w:tcPr>
            <w:tcW w:w="1580" w:type="dxa"/>
            <w:vAlign w:val="bottom"/>
          </w:tcPr>
          <w:p>
            <w:pPr>
              <w:jc w:val="center"/>
              <w:ind w:right="270"/>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24"/>
                <w:szCs w:val="24"/>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9"/>
                <w:szCs w:val="9"/>
                <w:color w:val="auto"/>
              </w:rPr>
            </w:pPr>
          </w:p>
        </w:tc>
        <w:tc>
          <w:tcPr>
            <w:tcW w:w="89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580" w:type="dxa"/>
            <w:vAlign w:val="bottom"/>
            <w:vMerge w:val="continue"/>
          </w:tcPr>
          <w:p>
            <w:pPr>
              <w:spacing w:after="0"/>
              <w:rPr>
                <w:sz w:val="7"/>
                <w:szCs w:val="7"/>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1"/>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BENEFICIALLY</w:t>
            </w:r>
          </w:p>
        </w:tc>
        <w:tc>
          <w:tcPr>
            <w:tcW w:w="420" w:type="dxa"/>
            <w:vAlign w:val="bottom"/>
            <w:vMerge w:val="continue"/>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10"/>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8"/>
                <w:szCs w:val="18"/>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41,543,004</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580" w:type="dxa"/>
            <w:vAlign w:val="bottom"/>
            <w:vMerge w:val="restart"/>
          </w:tcPr>
          <w:p>
            <w:pPr>
              <w:jc w:val="center"/>
              <w:ind w:right="210"/>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30"/>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80" w:type="dxa"/>
            <w:vAlign w:val="bottom"/>
            <w:vMerge w:val="restart"/>
          </w:tcPr>
          <w:p>
            <w:pPr>
              <w:jc w:val="center"/>
              <w:ind w:right="21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1"/>
                <w:szCs w:val="11"/>
                <w:color w:val="auto"/>
              </w:rPr>
            </w:pPr>
          </w:p>
        </w:tc>
        <w:tc>
          <w:tcPr>
            <w:tcW w:w="8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580" w:type="dxa"/>
            <w:vAlign w:val="bottom"/>
            <w:vMerge w:val="continue"/>
          </w:tcPr>
          <w:p>
            <w:pPr>
              <w:spacing w:after="0"/>
              <w:rPr>
                <w:sz w:val="6"/>
                <w:szCs w:val="6"/>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41,543,004</w:t>
      </w:r>
    </w:p>
    <w:p>
      <w:pPr>
        <w:spacing w:after="0" w:line="23" w:lineRule="exact"/>
        <w:rPr>
          <w:sz w:val="20"/>
          <w:szCs w:val="20"/>
          <w:color w:val="auto"/>
        </w:rPr>
      </w:pPr>
    </w:p>
    <w:p>
      <w:pPr>
        <w:ind w:left="580" w:hanging="381"/>
        <w:spacing w:after="0"/>
        <w:tabs>
          <w:tab w:leader="none" w:pos="5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41,543,004</w:t>
      </w:r>
    </w:p>
    <w:p>
      <w:pPr>
        <w:spacing w:after="0" w:line="23" w:lineRule="exact"/>
        <w:rPr>
          <w:sz w:val="20"/>
          <w:szCs w:val="20"/>
          <w:color w:val="auto"/>
        </w:rPr>
      </w:pPr>
    </w:p>
    <w:p>
      <w:pPr>
        <w:ind w:left="580" w:hanging="461"/>
        <w:spacing w:after="0" w:line="207" w:lineRule="exact"/>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8" w:lineRule="exact"/>
        <w:rPr>
          <w:sz w:val="20"/>
          <w:szCs w:val="20"/>
          <w:color w:val="auto"/>
        </w:rPr>
      </w:pPr>
    </w:p>
    <w:p>
      <w:pPr>
        <w:ind w:left="580" w:right="5720" w:hanging="421"/>
        <w:spacing w:after="0" w:line="383" w:lineRule="auto"/>
        <w:tabs>
          <w:tab w:leader="none" w:pos="5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1" w:lineRule="exact"/>
        <w:rPr>
          <w:rFonts w:ascii="Arial" w:cs="Arial" w:eastAsia="Arial" w:hAnsi="Arial"/>
          <w:sz w:val="18"/>
          <w:szCs w:val="18"/>
          <w:b w:val="1"/>
          <w:bCs w:val="1"/>
          <w:color w:val="auto"/>
        </w:rPr>
      </w:pPr>
    </w:p>
    <w:p>
      <w:pPr>
        <w:ind w:left="580" w:right="6320" w:hanging="426"/>
        <w:spacing w:after="0" w:line="527" w:lineRule="auto"/>
        <w:tabs>
          <w:tab w:leader="none" w:pos="5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925050106</w:t>
      </w:r>
    </w:p>
    <w:p>
      <w:pPr>
        <w:spacing w:after="0" w:line="239" w:lineRule="exact"/>
        <w:rPr>
          <w:sz w:val="20"/>
          <w:szCs w:val="20"/>
          <w:color w:val="auto"/>
        </w:rPr>
      </w:pPr>
    </w:p>
    <w:p>
      <w:pPr>
        <w:ind w:left="580" w:hanging="461"/>
        <w:spacing w:after="0"/>
        <w:tabs>
          <w:tab w:leader="none" w:pos="5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580" w:right="508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5323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ind w:left="580" w:hanging="461"/>
        <w:spacing w:after="0"/>
        <w:tabs>
          <w:tab w:leader="none" w:pos="5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7720" w:hanging="514"/>
        <w:spacing w:after="0" w:line="207" w:lineRule="exact"/>
        <w:tabs>
          <w:tab w:leader="none" w:pos="7720" w:val="left"/>
        </w:tabs>
        <w:numPr>
          <w:ilvl w:val="1"/>
          <w:numId w:val="2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7740" w:hanging="534"/>
        <w:spacing w:after="0" w:line="207" w:lineRule="exact"/>
        <w:tabs>
          <w:tab w:leader="none" w:pos="7740" w:val="left"/>
        </w:tabs>
        <w:numPr>
          <w:ilvl w:val="1"/>
          <w:numId w:val="2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3" w:lineRule="exact"/>
        <w:rPr>
          <w:sz w:val="20"/>
          <w:szCs w:val="20"/>
          <w:color w:val="auto"/>
        </w:rPr>
      </w:pPr>
    </w:p>
    <w:p>
      <w:pPr>
        <w:ind w:left="580" w:hanging="461"/>
        <w:spacing w:after="0"/>
        <w:tabs>
          <w:tab w:leader="none" w:pos="5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580" w:right="7000" w:hanging="461"/>
        <w:spacing w:after="0" w:line="506" w:lineRule="auto"/>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89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3"/>
        </w:trPr>
        <w:tc>
          <w:tcPr>
            <w:tcW w:w="1580" w:type="dxa"/>
            <w:vAlign w:val="bottom"/>
          </w:tcPr>
          <w:p>
            <w:pPr>
              <w:jc w:val="center"/>
              <w:ind w:right="270"/>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24"/>
                <w:szCs w:val="24"/>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9"/>
                <w:szCs w:val="9"/>
                <w:color w:val="auto"/>
              </w:rPr>
            </w:pPr>
          </w:p>
        </w:tc>
        <w:tc>
          <w:tcPr>
            <w:tcW w:w="89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580" w:type="dxa"/>
            <w:vAlign w:val="bottom"/>
            <w:vMerge w:val="continue"/>
          </w:tcPr>
          <w:p>
            <w:pPr>
              <w:spacing w:after="0"/>
              <w:rPr>
                <w:sz w:val="7"/>
                <w:szCs w:val="7"/>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1"/>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BENEFICIALLY</w:t>
            </w:r>
          </w:p>
        </w:tc>
        <w:tc>
          <w:tcPr>
            <w:tcW w:w="420" w:type="dxa"/>
            <w:vAlign w:val="bottom"/>
            <w:vMerge w:val="continue"/>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10"/>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8"/>
                <w:szCs w:val="18"/>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41,543,004</w:t>
            </w:r>
          </w:p>
        </w:tc>
        <w:tc>
          <w:tcPr>
            <w:tcW w:w="0" w:type="dxa"/>
            <w:vAlign w:val="bottom"/>
          </w:tcPr>
          <w:p>
            <w:pPr>
              <w:spacing w:after="0"/>
              <w:rPr>
                <w:sz w:val="1"/>
                <w:szCs w:val="1"/>
                <w:color w:val="auto"/>
              </w:rPr>
            </w:pPr>
          </w:p>
        </w:tc>
      </w:tr>
      <w:tr>
        <w:trPr>
          <w:trHeight w:val="122"/>
        </w:trPr>
        <w:tc>
          <w:tcPr>
            <w:tcW w:w="158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580" w:type="dxa"/>
            <w:vAlign w:val="bottom"/>
            <w:vMerge w:val="restart"/>
          </w:tcPr>
          <w:p>
            <w:pPr>
              <w:jc w:val="center"/>
              <w:ind w:right="210"/>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30"/>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580" w:type="dxa"/>
            <w:vAlign w:val="bottom"/>
            <w:vMerge w:val="restart"/>
          </w:tcPr>
          <w:p>
            <w:pPr>
              <w:jc w:val="center"/>
              <w:ind w:right="21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1"/>
                <w:szCs w:val="11"/>
                <w:color w:val="auto"/>
              </w:rPr>
            </w:pPr>
          </w:p>
        </w:tc>
        <w:tc>
          <w:tcPr>
            <w:tcW w:w="8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580" w:type="dxa"/>
            <w:vAlign w:val="bottom"/>
            <w:vMerge w:val="continue"/>
          </w:tcPr>
          <w:p>
            <w:pPr>
              <w:spacing w:after="0"/>
              <w:rPr>
                <w:sz w:val="6"/>
                <w:szCs w:val="6"/>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41,543,004</w:t>
      </w:r>
    </w:p>
    <w:p>
      <w:pPr>
        <w:spacing w:after="0" w:line="23" w:lineRule="exact"/>
        <w:rPr>
          <w:sz w:val="20"/>
          <w:szCs w:val="20"/>
          <w:color w:val="auto"/>
        </w:rPr>
      </w:pPr>
    </w:p>
    <w:p>
      <w:pPr>
        <w:ind w:left="580" w:hanging="381"/>
        <w:spacing w:after="0"/>
        <w:tabs>
          <w:tab w:leader="none" w:pos="5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41,543,004</w:t>
      </w:r>
    </w:p>
    <w:p>
      <w:pPr>
        <w:spacing w:after="0" w:line="23" w:lineRule="exact"/>
        <w:rPr>
          <w:sz w:val="20"/>
          <w:szCs w:val="20"/>
          <w:color w:val="auto"/>
        </w:rPr>
      </w:pPr>
    </w:p>
    <w:p>
      <w:pPr>
        <w:ind w:left="580" w:hanging="461"/>
        <w:spacing w:after="0" w:line="207" w:lineRule="exact"/>
        <w:tabs>
          <w:tab w:leader="none" w:pos="5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8" w:lineRule="exact"/>
        <w:rPr>
          <w:sz w:val="20"/>
          <w:szCs w:val="20"/>
          <w:color w:val="auto"/>
        </w:rPr>
      </w:pPr>
    </w:p>
    <w:p>
      <w:pPr>
        <w:ind w:left="580" w:right="5720" w:hanging="421"/>
        <w:spacing w:after="0" w:line="383" w:lineRule="auto"/>
        <w:tabs>
          <w:tab w:leader="none" w:pos="5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1" w:lineRule="exact"/>
        <w:rPr>
          <w:rFonts w:ascii="Arial" w:cs="Arial" w:eastAsia="Arial" w:hAnsi="Arial"/>
          <w:sz w:val="18"/>
          <w:szCs w:val="18"/>
          <w:b w:val="1"/>
          <w:bCs w:val="1"/>
          <w:color w:val="auto"/>
        </w:rPr>
      </w:pPr>
    </w:p>
    <w:p>
      <w:pPr>
        <w:ind w:left="580" w:right="6320" w:hanging="426"/>
        <w:spacing w:after="0" w:line="527" w:lineRule="auto"/>
        <w:tabs>
          <w:tab w:leader="none" w:pos="5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Verona Pharma plc (the “Issuer”)</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More London Riverside, London SE1 2RE, United Kingdom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Healthcare Fund, L.P. (the “Fund”)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Ordinary Shares, nominal value £0.05 per share (“Ordinary Shares”)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925050106</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220" w:hanging="240"/>
        <w:spacing w:after="0"/>
        <w:tabs>
          <w:tab w:leader="none" w:pos="1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88" w:lineRule="auto"/>
        <w:rPr>
          <w:sz w:val="20"/>
          <w:szCs w:val="20"/>
          <w:color w:val="auto"/>
        </w:rPr>
      </w:pPr>
      <w:r>
        <w:rPr>
          <w:rFonts w:ascii="Arial" w:cs="Arial" w:eastAsia="Arial" w:hAnsi="Arial"/>
          <w:sz w:val="16"/>
          <w:szCs w:val="16"/>
          <w:color w:val="auto"/>
        </w:rPr>
        <w:t>The Fund directly holds (i) 4,596,313 shares of American Depository Shares (“ADSs”) that each represent 8 Ordinary Shares (totaling 36,770,504 Ordinary Shares) and (ii) 43,339,542 shares of the Issuer’s Ordinary Shares which it has the right to acquire through the redesignation of pre-funded non-voting ordinary shares (“Non-Voting Ordinary Shares”), and a separately managed account (the “Account”) holds (i) 503,687 ADSs and (ii) 4,749,354 Non-Voting Ordinary Shares, for an aggregate of 5,100,000 ADSs representing 40,800,000 Ordinary Shares and 48,088,896 Non-Voting Ordinary Shares held by the Fund and the Account together. The Non-Voting Ordinary Shares may be redesignated as Ordinary Shares at the election of the holder, except that the agreement governing the terms of the redesignation of the Non-Voting Ordinary Shares contains a provision (the “Beneficial Ownership Blocker”) which precludes the redesignation of Non-Voting Ordinary Shares to the extent that, following the election of redesignation, the holder, together with its affiliates and any other person acting together with the holder as a “group” (as defined in the Securities Exchange Act of 1934 (the “Act”)), would beneficially own more than 9.99% of the Ordinary Shares outstanding (including any Ordinary Shares in the form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980" w:right="560"/>
        <w:spacing w:after="0" w:line="277" w:lineRule="auto"/>
        <w:rPr>
          <w:sz w:val="20"/>
          <w:szCs w:val="20"/>
          <w:color w:val="auto"/>
        </w:rPr>
      </w:pPr>
      <w:r>
        <w:rPr>
          <w:rFonts w:ascii="Arial" w:cs="Arial" w:eastAsia="Arial" w:hAnsi="Arial"/>
          <w:sz w:val="18"/>
          <w:szCs w:val="18"/>
          <w:color w:val="auto"/>
        </w:rPr>
        <w:t>As a result, the Fund and the Account are currently prohibited from exercising the warrants to the extent that exercise would result in beneficial ownership of more than 41,543,004 shares of Ordinary Shares by the Reporting Persons.</w:t>
      </w:r>
    </w:p>
    <w:p>
      <w:pPr>
        <w:spacing w:after="0" w:line="170" w:lineRule="exact"/>
        <w:rPr>
          <w:sz w:val="20"/>
          <w:szCs w:val="20"/>
          <w:color w:val="auto"/>
        </w:rPr>
      </w:pPr>
    </w:p>
    <w:p>
      <w:pPr>
        <w:ind w:left="980" w:right="20"/>
        <w:spacing w:after="0" w:line="301" w:lineRule="auto"/>
        <w:rPr>
          <w:sz w:val="20"/>
          <w:szCs w:val="20"/>
          <w:color w:val="auto"/>
        </w:rPr>
      </w:pPr>
      <w:r>
        <w:rPr>
          <w:rFonts w:ascii="Arial" w:cs="Arial" w:eastAsia="Arial" w:hAnsi="Arial"/>
          <w:sz w:val="16"/>
          <w:szCs w:val="16"/>
          <w:color w:val="auto"/>
        </w:rPr>
        <w:t>The information required by this item with respect to each Reporting Person is set forth in Rows 5 through 9 and 11 of the cover page to this Schedule 13G. The ownership percentages reported are based on 415,102,886 outstanding shares of Ordinary Shares, as reported in the Issuer’s Form 6-K filed on November 12, 2020, plus (ii) 743,004 Ordinary Shares of which the Reporting Persons may currently acquire beneficial ownership upon the redesignation of Non-Voting Ordinary Shares, as limited by the Beneficial Ownership Blocker.</w:t>
      </w:r>
    </w:p>
    <w:p>
      <w:pPr>
        <w:spacing w:after="0" w:line="157" w:lineRule="exact"/>
        <w:rPr>
          <w:sz w:val="20"/>
          <w:szCs w:val="20"/>
          <w:color w:val="auto"/>
        </w:rPr>
      </w:pPr>
    </w:p>
    <w:p>
      <w:pPr>
        <w:ind w:left="980"/>
        <w:spacing w:after="0" w:line="287" w:lineRule="auto"/>
        <w:rPr>
          <w:sz w:val="20"/>
          <w:szCs w:val="20"/>
          <w:color w:val="auto"/>
        </w:rPr>
      </w:pPr>
      <w:r>
        <w:rPr>
          <w:rFonts w:ascii="Arial" w:cs="Arial" w:eastAsia="Arial" w:hAnsi="Arial"/>
          <w:sz w:val="16"/>
          <w:szCs w:val="16"/>
          <w:color w:val="auto"/>
        </w:rPr>
        <w:t>RA Capital Healthcare Fund GP, LLC is the general partner of the Fund. The general partner of RA Capital is RA Capital Management GP, LLC, of which Dr. Kolchinsky and Mr. Shah are the controlling persons. RA Capital serves as investment adviser for the Fund and the Account and may be deemed a beneficial owner, for purposes of Section 13(d) of the Act, of any securities of the Issuer held by the Fund or the Account. The Fund has delegated to RA Capital the sole power to vote and the sole power to dispose of all securities held in the Fund’s portfolio, including the shares of the Issuer’s Ordinary Shares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2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7" w:name="page8"/>
    <w:bookmarkEnd w:id="7"/>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jc w:val="center"/>
        <w:ind w:right="-69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320" w:top="908" w:right="10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Joint Filing Agreement, dated as of February 16, 2021,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Each of the Filers may be required to file with the United States Securities and Exchange Commission a statement on Schedule 13G and/or 13D with respect to Ordinary Shares, nominal value £0.05 per share of Verona Pharma plc beneficially owned by them from time to time.</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GP, LLC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2"/>
      <w:numFmt w:val="bullet"/>
      <w:start w:val="1"/>
    </w:lvl>
    <w:lvl w:ilvl="1">
      <w:lvlJc w:val="left"/>
      <w:lvlText w:val="(%2)"/>
      <w:numFmt w:val="lowerLetter"/>
      <w:start w:val="1"/>
    </w:lvl>
  </w:abstractNum>
  <w:abstractNum w:abstractNumId="3">
    <w:nsid w:val="519B500D"/>
    <w:multiLevelType w:val="hybridMultilevel"/>
    <w:lvl w:ilvl="0">
      <w:lvlJc w:val="left"/>
      <w:lvlText w:val="3"/>
      <w:numFmt w:val="bullet"/>
      <w:start w:val="1"/>
    </w:lvl>
  </w:abstractNum>
  <w:abstractNum w:abstractNumId="4">
    <w:nsid w:val="431BD7B7"/>
    <w:multiLevelType w:val="hybridMultilevel"/>
    <w:lvl w:ilvl="0">
      <w:lvlJc w:val="left"/>
      <w:lvlText w:val="4"/>
      <w:numFmt w:val="bullet"/>
      <w:start w:val="1"/>
    </w:lvl>
  </w:abstractNum>
  <w:abstractNum w:abstractNumId="5">
    <w:nsid w:val="3F2DBA31"/>
    <w:multiLevelType w:val="hybridMultilevel"/>
    <w:lvl w:ilvl="0">
      <w:lvlJc w:val="left"/>
      <w:lvlText w:val="9"/>
      <w:numFmt w:val="bullet"/>
      <w:start w:val="1"/>
    </w:lvl>
  </w:abstractNum>
  <w:abstractNum w:abstractNumId="6">
    <w:nsid w:val="7C83E458"/>
    <w:multiLevelType w:val="hybridMultilevel"/>
    <w:lvl w:ilvl="0">
      <w:lvlJc w:val="left"/>
      <w:lvlText w:val="%1"/>
      <w:numFmt w:val="decimal"/>
      <w:start w:val="10"/>
    </w:lvl>
  </w:abstractNum>
  <w:abstractNum w:abstractNumId="7">
    <w:nsid w:val="257130A3"/>
    <w:multiLevelType w:val="hybridMultilevel"/>
    <w:lvl w:ilvl="0">
      <w:lvlJc w:val="left"/>
      <w:lvlText w:val="%1"/>
      <w:numFmt w:val="decimal"/>
      <w:start w:val="11"/>
    </w:lvl>
  </w:abstractNum>
  <w:abstractNum w:abstractNumId="8">
    <w:nsid w:val="62BBD95A"/>
    <w:multiLevelType w:val="hybridMultilevel"/>
    <w:lvl w:ilvl="0">
      <w:lvlJc w:val="left"/>
      <w:lvlText w:val="1"/>
      <w:numFmt w:val="bullet"/>
      <w:start w:val="1"/>
    </w:lvl>
  </w:abstractNum>
  <w:abstractNum w:abstractNumId="9">
    <w:nsid w:val="436C6125"/>
    <w:multiLevelType w:val="hybridMultilevel"/>
    <w:lvl w:ilvl="0">
      <w:lvlJc w:val="left"/>
      <w:lvlText w:val="2"/>
      <w:numFmt w:val="bullet"/>
      <w:start w:val="1"/>
    </w:lvl>
    <w:lvl w:ilvl="1">
      <w:lvlJc w:val="left"/>
      <w:lvlText w:val="(%2)"/>
      <w:numFmt w:val="lowerLetter"/>
      <w:start w:val="1"/>
    </w:lvl>
  </w:abstractNum>
  <w:abstractNum w:abstractNumId="10">
    <w:nsid w:val="628C895D"/>
    <w:multiLevelType w:val="hybridMultilevel"/>
    <w:lvl w:ilvl="0">
      <w:lvlJc w:val="left"/>
      <w:lvlText w:val="3"/>
      <w:numFmt w:val="bullet"/>
      <w:start w:val="1"/>
    </w:lvl>
  </w:abstractNum>
  <w:abstractNum w:abstractNumId="11">
    <w:nsid w:val="333AB105"/>
    <w:multiLevelType w:val="hybridMultilevel"/>
    <w:lvl w:ilvl="0">
      <w:lvlJc w:val="left"/>
      <w:lvlText w:val="4"/>
      <w:numFmt w:val="bullet"/>
      <w:start w:val="1"/>
    </w:lvl>
  </w:abstractNum>
  <w:abstractNum w:abstractNumId="12">
    <w:nsid w:val="721DA317"/>
    <w:multiLevelType w:val="hybridMultilevel"/>
    <w:lvl w:ilvl="0">
      <w:lvlJc w:val="left"/>
      <w:lvlText w:val="9"/>
      <w:numFmt w:val="bullet"/>
      <w:start w:val="1"/>
    </w:lvl>
  </w:abstractNum>
  <w:abstractNum w:abstractNumId="13">
    <w:nsid w:val="2443A858"/>
    <w:multiLevelType w:val="hybridMultilevel"/>
    <w:lvl w:ilvl="0">
      <w:lvlJc w:val="left"/>
      <w:lvlText w:val="%1"/>
      <w:numFmt w:val="decimal"/>
      <w:start w:val="10"/>
    </w:lvl>
  </w:abstractNum>
  <w:abstractNum w:abstractNumId="14">
    <w:nsid w:val="2D1D5AE9"/>
    <w:multiLevelType w:val="hybridMultilevel"/>
    <w:lvl w:ilvl="0">
      <w:lvlJc w:val="left"/>
      <w:lvlText w:val="%1"/>
      <w:numFmt w:val="decimal"/>
      <w:start w:val="11"/>
    </w:lvl>
  </w:abstractNum>
  <w:abstractNum w:abstractNumId="15">
    <w:nsid w:val="6763845E"/>
    <w:multiLevelType w:val="hybridMultilevel"/>
    <w:lvl w:ilvl="0">
      <w:lvlJc w:val="left"/>
      <w:lvlText w:val="1"/>
      <w:numFmt w:val="bullet"/>
      <w:start w:val="1"/>
    </w:lvl>
  </w:abstractNum>
  <w:abstractNum w:abstractNumId="16">
    <w:nsid w:val="75A2A8D4"/>
    <w:multiLevelType w:val="hybridMultilevel"/>
    <w:lvl w:ilvl="0">
      <w:lvlJc w:val="left"/>
      <w:lvlText w:val="2"/>
      <w:numFmt w:val="bullet"/>
      <w:start w:val="1"/>
    </w:lvl>
    <w:lvl w:ilvl="1">
      <w:lvlJc w:val="left"/>
      <w:lvlText w:val="(%2)"/>
      <w:numFmt w:val="lowerLetter"/>
      <w:start w:val="1"/>
    </w:lvl>
  </w:abstractNum>
  <w:abstractNum w:abstractNumId="17">
    <w:nsid w:val="8EDBDAB"/>
    <w:multiLevelType w:val="hybridMultilevel"/>
    <w:lvl w:ilvl="0">
      <w:lvlJc w:val="left"/>
      <w:lvlText w:val="3"/>
      <w:numFmt w:val="bullet"/>
      <w:start w:val="1"/>
    </w:lvl>
  </w:abstractNum>
  <w:abstractNum w:abstractNumId="18">
    <w:nsid w:val="79838CB2"/>
    <w:multiLevelType w:val="hybridMultilevel"/>
    <w:lvl w:ilvl="0">
      <w:lvlJc w:val="left"/>
      <w:lvlText w:val="4"/>
      <w:numFmt w:val="bullet"/>
      <w:start w:val="1"/>
    </w:lvl>
  </w:abstractNum>
  <w:abstractNum w:abstractNumId="19">
    <w:nsid w:val="4353D0CD"/>
    <w:multiLevelType w:val="hybridMultilevel"/>
    <w:lvl w:ilvl="0">
      <w:lvlJc w:val="left"/>
      <w:lvlText w:val="9"/>
      <w:numFmt w:val="bullet"/>
      <w:start w:val="1"/>
    </w:lvl>
  </w:abstractNum>
  <w:abstractNum w:abstractNumId="20">
    <w:nsid w:val="B03E0C6"/>
    <w:multiLevelType w:val="hybridMultilevel"/>
    <w:lvl w:ilvl="0">
      <w:lvlJc w:val="left"/>
      <w:lvlText w:val="%1"/>
      <w:numFmt w:val="decimal"/>
      <w:start w:val="10"/>
    </w:lvl>
  </w:abstractNum>
  <w:abstractNum w:abstractNumId="21">
    <w:nsid w:val="189A769B"/>
    <w:multiLevelType w:val="hybridMultilevel"/>
    <w:lvl w:ilvl="0">
      <w:lvlJc w:val="left"/>
      <w:lvlText w:val="%1"/>
      <w:numFmt w:val="decimal"/>
      <w:start w:val="11"/>
    </w:lvl>
  </w:abstractNum>
  <w:abstractNum w:abstractNumId="22">
    <w:nsid w:val="54E49EB4"/>
    <w:multiLevelType w:val="hybridMultilevel"/>
    <w:lvl w:ilvl="0">
      <w:lvlJc w:val="left"/>
      <w:lvlText w:val="1"/>
      <w:numFmt w:val="bullet"/>
      <w:start w:val="1"/>
    </w:lvl>
  </w:abstractNum>
  <w:abstractNum w:abstractNumId="23">
    <w:nsid w:val="71F32454"/>
    <w:multiLevelType w:val="hybridMultilevel"/>
    <w:lvl w:ilvl="0">
      <w:lvlJc w:val="left"/>
      <w:lvlText w:val="2"/>
      <w:numFmt w:val="bullet"/>
      <w:start w:val="1"/>
    </w:lvl>
    <w:lvl w:ilvl="1">
      <w:lvlJc w:val="left"/>
      <w:lvlText w:val="(%2)"/>
      <w:numFmt w:val="lowerLetter"/>
      <w:start w:val="1"/>
    </w:lvl>
  </w:abstractNum>
  <w:abstractNum w:abstractNumId="24">
    <w:nsid w:val="2CA88611"/>
    <w:multiLevelType w:val="hybridMultilevel"/>
    <w:lvl w:ilvl="0">
      <w:lvlJc w:val="left"/>
      <w:lvlText w:val="3"/>
      <w:numFmt w:val="bullet"/>
      <w:start w:val="1"/>
    </w:lvl>
  </w:abstractNum>
  <w:abstractNum w:abstractNumId="25">
    <w:nsid w:val="836C40E"/>
    <w:multiLevelType w:val="hybridMultilevel"/>
    <w:lvl w:ilvl="0">
      <w:lvlJc w:val="left"/>
      <w:lvlText w:val="4"/>
      <w:numFmt w:val="bullet"/>
      <w:start w:val="1"/>
    </w:lvl>
  </w:abstractNum>
  <w:abstractNum w:abstractNumId="26">
    <w:nsid w:val="2901D82"/>
    <w:multiLevelType w:val="hybridMultilevel"/>
    <w:lvl w:ilvl="0">
      <w:lvlJc w:val="left"/>
      <w:lvlText w:val="9"/>
      <w:numFmt w:val="bullet"/>
      <w:start w:val="1"/>
    </w:lvl>
  </w:abstractNum>
  <w:abstractNum w:abstractNumId="27">
    <w:nsid w:val="3A95F874"/>
    <w:multiLevelType w:val="hybridMultilevel"/>
    <w:lvl w:ilvl="0">
      <w:lvlJc w:val="left"/>
      <w:lvlText w:val="%1"/>
      <w:numFmt w:val="decimal"/>
      <w:start w:val="10"/>
    </w:lvl>
  </w:abstractNum>
  <w:abstractNum w:abstractNumId="28">
    <w:nsid w:val="8138641"/>
    <w:multiLevelType w:val="hybridMultilevel"/>
    <w:lvl w:ilvl="0">
      <w:lvlJc w:val="left"/>
      <w:lvlText w:val="%1"/>
      <w:numFmt w:val="decimal"/>
      <w:start w:val="11"/>
    </w:lvl>
  </w:abstractNum>
  <w:abstractNum w:abstractNumId="29">
    <w:nsid w:val="1E7FF521"/>
    <w:multiLevelType w:val="hybridMultilevel"/>
    <w:lvl w:ilvl="0">
      <w:lvlJc w:val="left"/>
      <w:lvlText w:val="(%1)"/>
      <w:numFmt w:val="lowerLetter"/>
      <w:start w:val="5"/>
    </w:lvl>
  </w:abstractNum>
  <w:abstractNum w:abstractNumId="30">
    <w:nsid w:val="7C3DBD3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2021-02-16T16:24:34Z</dcterms:created>
  <dcterms:modified xsi:type="dcterms:W3CDTF">2021-02-16T16:24:34Z</dcterms:modified>
</cp:coreProperties>
</file>