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20"/>
        <w:rPr/>
      </w:pPr>
      <w:r>
        <w:rPr/>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9, 2023</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Verona Pharma plc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rPr>
          <w:color w:val="000000"/>
        </w:rPr>
      </w:pPr>
      <w:r>
        <w:rPr>
          <w:color w:val="000000"/>
        </w:rPr>
        <w:t> </w:t>
      </w:r>
    </w:p>
    <w:tbl>
      <w:tblPr>
        <w:tblW w:w="5917" w:type="dxa"/>
        <w:jc w:val="left"/>
        <w:tblInd w:w="0" w:type="dxa"/>
        <w:tblCellMar>
          <w:top w:w="28" w:type="dxa"/>
          <w:left w:w="28" w:type="dxa"/>
          <w:bottom w:w="28" w:type="dxa"/>
          <w:right w:w="28" w:type="dxa"/>
        </w:tblCellMar>
      </w:tblPr>
      <w:tblGrid>
        <w:gridCol w:w="854"/>
        <w:gridCol w:w="748"/>
        <w:gridCol w:w="753"/>
        <w:gridCol w:w="109"/>
        <w:gridCol w:w="109"/>
        <w:gridCol w:w="109"/>
        <w:gridCol w:w="408"/>
        <w:gridCol w:w="408"/>
        <w:gridCol w:w="413"/>
        <w:gridCol w:w="109"/>
        <w:gridCol w:w="109"/>
        <w:gridCol w:w="109"/>
        <w:gridCol w:w="490"/>
        <w:gridCol w:w="490"/>
        <w:gridCol w:w="699"/>
      </w:tblGrid>
      <w:tr>
        <w:trPr/>
        <w:tc>
          <w:tcPr>
            <w:tcW w:w="854"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United Kingdom</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001-39067</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98-1489389</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2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6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 More London Riverside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London SE1 2RE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 (Zip Code)</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+44 203 283 4200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lineRule="auto" w:line="288" w:before="0" w:after="0"/>
        <w:rPr>
          <w:color w:val="000000"/>
        </w:rPr>
      </w:pPr>
      <w:r>
        <w:rPr>
          <w:color w:val="000000"/>
        </w:rPr>
        <w:t> </w:t>
      </w:r>
    </w:p>
    <w:tbl>
      <w:tblPr>
        <w:tblW w:w="8078" w:type="dxa"/>
        <w:jc w:val="left"/>
        <w:tblInd w:w="0" w:type="dxa"/>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p>
      <w:pPr>
        <w:pStyle w:val="TextBody"/>
        <w:spacing w:lineRule="auto" w:line="288" w:before="0" w:after="0"/>
        <w:rPr>
          <w:color w:val="000000"/>
        </w:rPr>
      </w:pPr>
      <w:r>
        <w:rPr>
          <w:color w:val="000000"/>
        </w:rPr>
        <w:t> </w:t>
      </w:r>
    </w:p>
    <w:tbl>
      <w:tblPr>
        <w:tblW w:w="8108" w:type="dxa"/>
        <w:jc w:val="left"/>
        <w:tblInd w:w="0" w:type="dxa"/>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2175" w:type="dxa"/>
            <w:tcBorders/>
            <w:shd w:fill="auto" w:val="clear"/>
            <w:vAlign w:val="center"/>
          </w:tcPr>
          <w:p>
            <w:pPr>
              <w:pStyle w:val="TableContents"/>
              <w:spacing w:before="0" w:after="283"/>
              <w:rPr>
                <w:sz w:val="4"/>
                <w:szCs w:val="4"/>
              </w:rPr>
            </w:pPr>
            <w:r>
              <w:rPr>
                <w:sz w:val="4"/>
                <w:szCs w:val="4"/>
              </w:rPr>
            </w:r>
          </w:p>
        </w:tc>
        <w:tc>
          <w:tcPr>
            <w:tcW w:w="3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4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p>
      <w:pPr>
        <w:pStyle w:val="TextBody"/>
        <w:spacing w:lineRule="auto" w:line="288" w:before="0" w:after="0"/>
        <w:rPr>
          <w:color w:val="000000"/>
        </w:rPr>
      </w:pPr>
      <w:r>
        <w:rPr>
          <w:color w:val="000000"/>
        </w:rPr>
        <w:t> </w:t>
      </w:r>
    </w:p>
    <w:tbl>
      <w:tblPr>
        <w:tblW w:w="9849" w:type="dxa"/>
        <w:jc w:val="left"/>
        <w:tblInd w:w="0" w:type="dxa"/>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2689" w:type="dxa"/>
            <w:tcBorders/>
            <w:shd w:fill="auto" w:val="clear"/>
            <w:vAlign w:val="center"/>
          </w:tcPr>
          <w:p>
            <w:pPr>
              <w:pStyle w:val="TableContents"/>
              <w:spacing w:before="0" w:after="283"/>
              <w:rPr>
                <w:sz w:val="4"/>
                <w:szCs w:val="4"/>
              </w:rPr>
            </w:pPr>
            <w:r>
              <w:rPr>
                <w:sz w:val="4"/>
                <w:szCs w:val="4"/>
              </w:rPr>
            </w:r>
          </w:p>
        </w:tc>
        <w:tc>
          <w:tcPr>
            <w:tcW w:w="38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p>
      <w:pPr>
        <w:pStyle w:val="TextBody"/>
        <w:spacing w:lineRule="auto" w:line="288" w:before="0" w:after="0"/>
        <w:rPr>
          <w:color w:val="000000"/>
        </w:rPr>
      </w:pPr>
      <w:r>
        <w:rPr>
          <w:color w:val="000000"/>
        </w:rPr>
        <w:t> </w:t>
      </w:r>
    </w:p>
    <w:tbl>
      <w:tblPr>
        <w:tblW w:w="9788" w:type="dxa"/>
        <w:jc w:val="left"/>
        <w:tblInd w:w="0" w:type="dxa"/>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1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 </w:t>
      </w:r>
    </w:p>
    <w:tbl>
      <w:tblPr>
        <w:tblW w:w="7724" w:type="dxa"/>
        <w:jc w:val="left"/>
        <w:tblInd w:w="0" w:type="dxa"/>
        <w:tblCellMar>
          <w:top w:w="28" w:type="dxa"/>
          <w:left w:w="28" w:type="dxa"/>
          <w:bottom w:w="28" w:type="dxa"/>
          <w:right w:w="28" w:type="dxa"/>
        </w:tblCellMar>
      </w:tblPr>
      <w:tblGrid>
        <w:gridCol w:w="1157"/>
        <w:gridCol w:w="1013"/>
        <w:gridCol w:w="1025"/>
        <w:gridCol w:w="539"/>
        <w:gridCol w:w="539"/>
        <w:gridCol w:w="541"/>
        <w:gridCol w:w="852"/>
        <w:gridCol w:w="852"/>
        <w:gridCol w:w="1206"/>
      </w:tblGrid>
      <w:tr>
        <w:trPr/>
        <w:tc>
          <w:tcPr>
            <w:tcW w:w="115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2910"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each exchange on which </w:t>
              <w:br/>
              <w:t>registered</w:t>
            </w:r>
          </w:p>
        </w:tc>
      </w:tr>
      <w:tr>
        <w:trPr/>
        <w:tc>
          <w:tcPr>
            <w:tcW w:w="319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nominal value £0.05 </w:t>
              <w:br/>
              <w:t>per share*</w:t>
            </w:r>
          </w:p>
        </w:tc>
        <w:tc>
          <w:tcPr>
            <w:tcW w:w="161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VRNA</w:t>
            </w:r>
          </w:p>
        </w:tc>
        <w:tc>
          <w:tcPr>
            <w:tcW w:w="2910"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spacing w:lineRule="auto" w:line="288" w:before="0" w:after="0"/>
        <w:jc w:val="right"/>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Emerging growth company  </w:t>
      </w:r>
      <w:r>
        <w:rPr>
          <w:color w:val="000000"/>
        </w:rPr>
        <w:t>☐</w:t>
      </w:r>
    </w:p>
    <w:p>
      <w:pPr>
        <w:pStyle w:val="TextBody"/>
        <w:spacing w:lineRule="auto" w:line="288" w:before="0" w:after="0"/>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1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Verona Pharma plc announced its financial results for the quarter ended March 31, 2023. The full text of the press release issued in connection with the announcement is furnished as Exhibit 99.1 to this Current Report on Form 8-K.</w:t>
      </w:r>
    </w:p>
    <w:p>
      <w:pPr>
        <w:pStyle w:val="TextBody"/>
        <w:spacing w:lineRule="auto" w:line="288" w:before="1"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Exhibits</w:t>
      </w:r>
    </w:p>
    <w:p>
      <w:pPr>
        <w:pStyle w:val="TextBody"/>
        <w:spacing w:lineRule="auto" w:line="288" w:before="0" w:after="0"/>
        <w:rPr>
          <w:color w:val="000000"/>
          <w:highlight w:val="white"/>
        </w:rPr>
      </w:pPr>
      <w:r>
        <w:rPr>
          <w:color w:val="000000"/>
          <w:highlight w:val="white"/>
        </w:rPr>
        <w:t> </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exhibit relating to Item 2.02 shall be deemed to be furnished, and not filed:</w:t>
      </w:r>
    </w:p>
    <w:p>
      <w:pPr>
        <w:pStyle w:val="TextBody"/>
        <w:spacing w:lineRule="auto" w:line="288" w:before="0" w:after="0"/>
        <w:rPr>
          <w:color w:val="000000"/>
          <w:highlight w:val="white"/>
        </w:rPr>
      </w:pPr>
      <w:r>
        <w:rPr>
          <w:color w:val="000000"/>
          <w:highlight w:val="white"/>
        </w:rPr>
        <w:t> </w:t>
      </w:r>
    </w:p>
    <w:tbl>
      <w:tblPr>
        <w:tblW w:w="10137" w:type="dxa"/>
        <w:jc w:val="left"/>
        <w:tblInd w:w="0" w:type="dxa"/>
        <w:tblCellMar>
          <w:top w:w="28" w:type="dxa"/>
          <w:left w:w="28" w:type="dxa"/>
          <w:bottom w:w="28" w:type="dxa"/>
          <w:right w:w="28" w:type="dxa"/>
        </w:tblCellMar>
      </w:tblPr>
      <w:tblGrid>
        <w:gridCol w:w="272"/>
        <w:gridCol w:w="239"/>
        <w:gridCol w:w="240"/>
        <w:gridCol w:w="109"/>
        <w:gridCol w:w="109"/>
        <w:gridCol w:w="109"/>
        <w:gridCol w:w="2646"/>
        <w:gridCol w:w="2646"/>
        <w:gridCol w:w="3767"/>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2646" w:type="dxa"/>
            <w:tcBorders/>
            <w:shd w:fill="auto" w:val="clear"/>
            <w:vAlign w:val="center"/>
          </w:tcPr>
          <w:p>
            <w:pPr>
              <w:pStyle w:val="TableContents"/>
              <w:spacing w:before="0" w:after="283"/>
              <w:rPr>
                <w:sz w:val="4"/>
                <w:szCs w:val="4"/>
              </w:rPr>
            </w:pPr>
            <w:r>
              <w:rPr>
                <w:sz w:val="4"/>
                <w:szCs w:val="4"/>
              </w:rPr>
            </w:r>
          </w:p>
        </w:tc>
        <w:tc>
          <w:tcPr>
            <w:tcW w:w="3767"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0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86"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vrnaq12023pressrelease.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0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vrnaq12023pressrelease.htm">
              <w:r>
                <w:rPr>
                  <w:rStyle w:val="InternetLink"/>
                  <w:rFonts w:ascii="Times New Roman;sans-serif" w:hAnsi="Times New Roman;sans-serif"/>
                  <w:b w:val="false"/>
                  <w:color w:val="0000FF"/>
                  <w:sz w:val="20"/>
                  <w:u w:val="single"/>
                </w:rPr>
                <w:t>Press Release issued on May 9, 2023</w:t>
              </w:r>
            </w:hyperlink>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12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978" w:type="dxa"/>
        <w:jc w:val="left"/>
        <w:tblInd w:w="0" w:type="dxa"/>
        <w:tblCellMar>
          <w:top w:w="28" w:type="dxa"/>
          <w:left w:w="28" w:type="dxa"/>
          <w:bottom w:w="28" w:type="dxa"/>
          <w:right w:w="28" w:type="dxa"/>
        </w:tblCellMar>
      </w:tblPr>
      <w:tblGrid>
        <w:gridCol w:w="591"/>
        <w:gridCol w:w="520"/>
        <w:gridCol w:w="523"/>
        <w:gridCol w:w="358"/>
        <w:gridCol w:w="358"/>
        <w:gridCol w:w="358"/>
        <w:gridCol w:w="948"/>
        <w:gridCol w:w="948"/>
        <w:gridCol w:w="137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434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VERONA PHARMA PLC</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/s/ David Zaccardelli, Pharm. D.</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David Zaccardelli, Pharm. D.</w:t>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President and Chief Executive Officer</w:t>
            </w:r>
          </w:p>
        </w:tc>
      </w:tr>
    </w:tbl>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rPr>
          <w:color w:val="000000"/>
        </w:rPr>
      </w:pPr>
      <w:r>
        <w:rPr>
          <w:color w:val="000000"/>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drawing>
          <wp:inline distT="0" distB="63500" distL="0" distR="0">
            <wp:extent cx="1933575" cy="9429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933575" cy="9429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29.7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220"/>
        <w:jc w:val="center"/>
        <w:rPr/>
      </w:pPr>
      <w:r>
        <w:rPr/>
      </w:r>
    </w:p>
    <w:p>
      <w:pPr>
        <w:pStyle w:val="TextBody"/>
        <w:spacing w:lineRule="auto" w:line="240" w:before="0" w:after="220"/>
        <w:jc w:val="center"/>
        <w:rPr>
          <w:rFonts w:ascii="Arial;sans-serif" w:hAnsi="Arial;sans-serif"/>
          <w:b/>
          <w:color w:val="000000"/>
          <w:sz w:val="28"/>
        </w:rPr>
      </w:pPr>
      <w:r>
        <w:rPr>
          <w:rFonts w:ascii="Arial;sans-serif" w:hAnsi="Arial;sans-serif"/>
          <w:b/>
          <w:color w:val="000000"/>
          <w:sz w:val="28"/>
        </w:rPr>
        <w:t xml:space="preserve">Verona Pharma Reports First Quarter 2023 Financial Results and Provides Corporate Update </w:t>
      </w:r>
    </w:p>
    <w:p>
      <w:pPr>
        <w:pStyle w:val="TextBody"/>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NDA submission on schedule for Q2 2023</w:t>
      </w:r>
    </w:p>
    <w:p>
      <w:pPr>
        <w:pStyle w:val="TextBody"/>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12 abstracts and one symposium expanding on successful Phase 3 ENHANCE data to be presented at American Thoracic Society 2023</w:t>
      </w:r>
    </w:p>
    <w:p>
      <w:pPr>
        <w:pStyle w:val="TextBody"/>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Strong balance sheet to support commercial launch preparations</w:t>
      </w:r>
    </w:p>
    <w:p>
      <w:pPr>
        <w:pStyle w:val="TextBody"/>
        <w:spacing w:lineRule="auto" w:line="240" w:before="0" w:after="120"/>
        <w:jc w:val="center"/>
        <w:rPr>
          <w:rFonts w:ascii="Arial;sans-serif" w:hAnsi="Arial;sans-serif"/>
          <w:b w:val="false"/>
          <w:i/>
          <w:color w:val="000000"/>
          <w:sz w:val="24"/>
        </w:rPr>
      </w:pPr>
      <w:r>
        <w:rPr>
          <w:rFonts w:ascii="Arial;sans-serif" w:hAnsi="Arial;sans-serif"/>
          <w:b w:val="false"/>
          <w:i/>
          <w:color w:val="000000"/>
          <w:sz w:val="24"/>
        </w:rPr>
        <w:t>Conference call today at 9:00 a.m. EDT / 2:00 p.m. BST</w:t>
      </w:r>
    </w:p>
    <w:p>
      <w:pPr>
        <w:pStyle w:val="TextBody"/>
        <w:spacing w:before="0" w:after="120"/>
        <w:jc w:val="center"/>
        <w:rPr/>
      </w:pPr>
      <w:r>
        <w:rPr/>
      </w:r>
    </w:p>
    <w:p>
      <w:pPr>
        <w:pStyle w:val="TextBody"/>
        <w:spacing w:lineRule="auto" w:line="240" w:before="0" w:after="120"/>
        <w:jc w:val="both"/>
        <w:rPr/>
      </w:pPr>
      <w:r>
        <w:rPr>
          <w:rFonts w:ascii="Arial;sans-serif" w:hAnsi="Arial;sans-serif"/>
          <w:b/>
          <w:color w:val="000000"/>
          <w:sz w:val="22"/>
        </w:rPr>
        <w:t>LONDON and RALEIGH, N.C., May 9, 2023</w:t>
      </w:r>
      <w:r>
        <w:rPr>
          <w:color w:val="000000"/>
        </w:rPr>
        <w:t xml:space="preserve"> – </w:t>
      </w:r>
      <w:r>
        <w:rPr>
          <w:rFonts w:ascii="Arial;sans-serif" w:hAnsi="Arial;sans-serif"/>
          <w:b w:val="false"/>
          <w:color w:val="000000"/>
          <w:sz w:val="22"/>
        </w:rPr>
        <w:t>Verona Pharma plc (Nasdaq: VRNA) (“Verona Pharma” or the “Company”), a clinical-stage biopharmaceutical company focused on respiratory diseases, announces its financial results for the first quarter ended March 31, 2023, and provides a corporate update.</w:t>
      </w:r>
    </w:p>
    <w:p>
      <w:pPr>
        <w:pStyle w:val="TextBody"/>
        <w:spacing w:lineRule="auto" w:line="240" w:before="0" w:after="120"/>
        <w:jc w:val="both"/>
        <w:rPr>
          <w:color w:val="000000"/>
        </w:rPr>
      </w:pPr>
      <w:r>
        <w:rPr>
          <w:color w:val="000000"/>
        </w:rPr>
        <w:t>“</w:t>
      </w:r>
      <w:r>
        <w:rPr>
          <w:rFonts w:ascii="Arial;sans-serif" w:hAnsi="Arial;sans-serif"/>
          <w:b w:val="false"/>
          <w:color w:val="000000"/>
          <w:sz w:val="22"/>
        </w:rPr>
        <w:t>We recently had a pre-New Drug Application (“NDA”) meeting with the US Food and Drug Administration (“FDA”) and are on schedule to submit the NDA in the second quarter of 2023,” said David Zaccardelli, Pharm. D., President and Chief Executive Officer. “We believe we are aligned on the content of the NDA for ensifentrine for the maintenance treatment of Chronic Obstructive Pulmonary Disease ("COPD"), which will comprise data from the successful Phase 3 ENHANCE studies and other completed ensifentrine clinical studies including data from approximately 3,000 subjects.</w:t>
      </w:r>
    </w:p>
    <w:p>
      <w:pPr>
        <w:pStyle w:val="TextBody"/>
        <w:spacing w:lineRule="auto" w:line="240" w:before="0" w:after="120"/>
        <w:jc w:val="both"/>
        <w:rPr/>
      </w:pPr>
      <w:r>
        <w:rPr>
          <w:color w:val="000000"/>
        </w:rPr>
        <w:t>“</w:t>
      </w:r>
      <w:r>
        <w:rPr>
          <w:rFonts w:ascii="Arial;sans-serif" w:hAnsi="Arial;sans-serif"/>
          <w:b w:val="false"/>
          <w:color w:val="000000"/>
          <w:sz w:val="22"/>
        </w:rPr>
        <w:t xml:space="preserve">As announced earlier this month, we are looking forward to presenting additional analyses from the ENHANCE studies at the American Thoracic Society International Conference (“ATS”) taking place May 19-24. We will present 12 abstracts and a clinical trials symposium on subgroup data and pooled analyses from ENHANCE-1 and ENHANCE-2 covering exacerbations, symptoms, quality of life, use of rescue medication, healthcare utilization and safety. An overview of the ENHANCE trial results will be presented as part of the clinical trials symposium reserved for highlighting new breakthroughs. The abstracts are published on the ATS website and in the publication, </w:t>
      </w:r>
      <w:r>
        <w:rPr>
          <w:rFonts w:ascii="Arial;sans-serif" w:hAnsi="Arial;sans-serif"/>
          <w:b w:val="false"/>
          <w:i/>
          <w:color w:val="000000"/>
          <w:sz w:val="22"/>
        </w:rPr>
        <w:t>American Journal of Respiratory and Critical Care Medicine</w:t>
      </w:r>
      <w:r>
        <w:rPr>
          <w:rFonts w:ascii="Arial;sans-serif" w:hAnsi="Arial;sans-serif"/>
          <w:b w:val="false"/>
          <w:color w:val="000000"/>
          <w:sz w:val="22"/>
        </w:rPr>
        <w:t>. We will be hosting a webcast and conference call on Tuesday, May 23, to discuss these data.</w:t>
      </w:r>
    </w:p>
    <w:p>
      <w:pPr>
        <w:pStyle w:val="TextBody"/>
        <w:spacing w:lineRule="auto" w:line="240" w:before="0" w:after="160"/>
        <w:jc w:val="both"/>
        <w:rPr>
          <w:color w:val="000000"/>
        </w:rPr>
      </w:pPr>
      <w:r>
        <w:rPr>
          <w:color w:val="000000"/>
        </w:rPr>
        <w:t>“</w:t>
      </w:r>
      <w:r>
        <w:rPr>
          <w:rFonts w:ascii="Arial;sans-serif" w:hAnsi="Arial;sans-serif"/>
          <w:b w:val="false"/>
          <w:color w:val="000000"/>
          <w:sz w:val="22"/>
        </w:rPr>
        <w:t>Alongside our progress, Nuance Pharma, our development partner in Greater China, enrolled the first subject in its Phase 3 trial evaluating ensifentrine for the maintenance treatment of COPD in China. This is a significant milestone and we are excited about the potential of ensifentrine to address the urgent global need for a novel therapy for COPD. We look forward to updating you on their progress.”</w:t>
      </w:r>
    </w:p>
    <w:p>
      <w:pPr>
        <w:pStyle w:val="TextBody"/>
        <w:spacing w:lineRule="auto" w:line="240" w:before="0" w:after="120"/>
        <w:jc w:val="both"/>
        <w:rPr>
          <w:rFonts w:ascii="Arial;sans-serif" w:hAnsi="Arial;sans-serif"/>
          <w:b/>
          <w:color w:val="000000"/>
          <w:sz w:val="22"/>
        </w:rPr>
      </w:pPr>
      <w:r>
        <w:rPr>
          <w:rFonts w:ascii="Arial;sans-serif" w:hAnsi="Arial;sans-serif"/>
          <w:b/>
          <w:color w:val="000000"/>
          <w:sz w:val="22"/>
        </w:rPr>
        <w:t>Program Updates and Key Milestones</w:t>
      </w:r>
    </w:p>
    <w:p>
      <w:pPr>
        <w:pStyle w:val="TextBody"/>
        <w:spacing w:lineRule="auto" w:line="240" w:before="0" w:after="120"/>
        <w:rPr>
          <w:rFonts w:ascii="Arial;sans-serif" w:hAnsi="Arial;sans-serif"/>
          <w:b w:val="false"/>
          <w:color w:val="000000"/>
          <w:sz w:val="22"/>
          <w:highlight w:val="white"/>
        </w:rPr>
      </w:pPr>
      <w:r>
        <w:rPr>
          <w:rFonts w:ascii="Arial;sans-serif" w:hAnsi="Arial;sans-serif"/>
          <w:b w:val="false"/>
          <w:color w:val="000000"/>
          <w:sz w:val="22"/>
          <w:highlight w:val="white"/>
        </w:rPr>
        <w:t>The Company’s near-term planned milestones include:</w:t>
      </w:r>
    </w:p>
    <w:p>
      <w:pPr>
        <w:pStyle w:val="TextBody"/>
        <w:spacing w:lineRule="auto" w:line="240" w:before="0" w:after="160"/>
        <w:ind w:left="0" w:right="0" w:hanging="360"/>
        <w:jc w:val="both"/>
        <w:rPr/>
      </w:pPr>
      <w:r>
        <w:rPr>
          <w:color w:val="000000"/>
        </w:rPr>
        <w:t>•</w:t>
      </w:r>
      <w:r>
        <w:rPr>
          <w:rFonts w:ascii="Arial;sans-serif" w:hAnsi="Arial;sans-serif"/>
          <w:b w:val="false"/>
          <w:color w:val="000000"/>
          <w:sz w:val="22"/>
          <w:highlight w:val="white"/>
        </w:rPr>
        <w:t>Presentation of 12 abstracts and one symposium demonstrating positive efficacy, symptom, quality of life and safety data from the ENHANCE Phase 3 clinical studies with nebulized ensifentrine in COPD at ATS in May 2023. The Company is holding an investment community webcast and conference call at 4:00 p.m. EDT / 9:00 p.m. BST on Tuesday, May 23, 2023, to discuss these data. To participate, please dial one of the following numbers and ask to join the Verona Pharma call:</w:t>
      </w:r>
    </w:p>
    <w:p>
      <w:pPr>
        <w:pStyle w:val="TextBody"/>
        <w:spacing w:lineRule="auto" w:line="240" w:before="0" w:after="160"/>
        <w:ind w:left="0" w:right="0" w:hanging="360"/>
        <w:jc w:val="both"/>
        <w:rPr/>
      </w:pPr>
      <w:r>
        <w:rPr>
          <w:rFonts w:ascii="Courier New;monospace" w:hAnsi="Courier New;monospace"/>
          <w:b w:val="false"/>
          <w:color w:val="000000"/>
          <w:sz w:val="22"/>
        </w:rPr>
        <w:t>o</w:t>
      </w:r>
      <w:r>
        <w:rPr>
          <w:rFonts w:ascii="Arial;sans-serif" w:hAnsi="Arial;sans-serif"/>
          <w:b w:val="false"/>
          <w:color w:val="000000"/>
          <w:sz w:val="22"/>
        </w:rPr>
        <w:t>+1-833-816-1396 for callers in the United States</w:t>
      </w:r>
    </w:p>
    <w:p>
      <w:pPr>
        <w:pStyle w:val="TextBody"/>
        <w:spacing w:lineRule="auto" w:line="240" w:before="0" w:after="160"/>
        <w:ind w:left="0" w:right="0" w:hanging="360"/>
        <w:jc w:val="both"/>
        <w:rPr/>
      </w:pPr>
      <w:r>
        <w:rPr>
          <w:rFonts w:ascii="Courier New;monospace" w:hAnsi="Courier New;monospace"/>
          <w:b w:val="false"/>
          <w:color w:val="000000"/>
          <w:sz w:val="22"/>
        </w:rPr>
        <w:t>o</w:t>
      </w:r>
      <w:r>
        <w:rPr>
          <w:rFonts w:ascii="Arial;sans-serif" w:hAnsi="Arial;sans-serif"/>
          <w:b w:val="false"/>
          <w:color w:val="000000"/>
          <w:sz w:val="22"/>
        </w:rPr>
        <w:t>+1-412-317-0489 fo</w:t>
      </w:r>
      <w:r>
        <w:rPr>
          <w:rFonts w:ascii="Arial;sans-serif" w:hAnsi="Arial;sans-serif"/>
          <w:b w:val="false"/>
          <w:color w:val="000000"/>
          <w:sz w:val="22"/>
          <w:highlight w:val="white"/>
        </w:rPr>
        <w:t>r international callers</w:t>
      </w:r>
    </w:p>
    <w:p>
      <w:pPr>
        <w:pStyle w:val="TextBody"/>
        <w:spacing w:lineRule="auto" w:line="240" w:before="0" w:after="160"/>
        <w:jc w:val="both"/>
        <w:rPr/>
      </w:pPr>
      <w:r>
        <w:rPr>
          <w:rFonts w:ascii="Arial;sans-serif" w:hAnsi="Arial;sans-serif"/>
          <w:b w:val="false"/>
          <w:color w:val="000000"/>
          <w:sz w:val="22"/>
          <w:highlight w:val="white"/>
        </w:rPr>
        <w:t xml:space="preserve">A live webcast will be available on the Events and Presentations link on the Investors page of the Company’s website, </w:t>
      </w:r>
      <w:r>
        <w:rPr>
          <w:rFonts w:ascii="Arial;sans-serif" w:hAnsi="Arial;sans-serif"/>
          <w:b w:val="false"/>
          <w:color w:val="0000FF"/>
          <w:sz w:val="22"/>
          <w:highlight w:val="white"/>
          <w:u w:val="single"/>
        </w:rPr>
        <w:t>www.veronapharma.com</w:t>
      </w:r>
      <w:r>
        <w:rPr>
          <w:rFonts w:ascii="Arial;sans-serif" w:hAnsi="Arial;sans-serif"/>
          <w:b w:val="false"/>
          <w:color w:val="000000"/>
          <w:sz w:val="22"/>
          <w:highlight w:val="white"/>
        </w:rPr>
        <w:t>, and the audio replay will be available for 90 days.</w:t>
      </w:r>
    </w:p>
    <w:p>
      <w:pPr>
        <w:pStyle w:val="TextBody"/>
        <w:spacing w:lineRule="auto" w:line="240" w:before="0" w:after="160"/>
        <w:ind w:left="0" w:right="0" w:hanging="360"/>
        <w:jc w:val="both"/>
        <w:rPr/>
      </w:pPr>
      <w:r>
        <w:rPr>
          <w:color w:val="000000"/>
        </w:rPr>
        <w:t>•</w:t>
      </w:r>
      <w:r>
        <w:rPr>
          <w:rFonts w:ascii="Arial;sans-serif" w:hAnsi="Arial;sans-serif"/>
          <w:b w:val="false"/>
          <w:color w:val="000000"/>
          <w:sz w:val="22"/>
          <w:highlight w:val="white"/>
        </w:rPr>
        <w:t xml:space="preserve">Submission of an NDA to the US FDA in the second quarter </w:t>
      </w:r>
      <w:r>
        <w:rPr>
          <w:rFonts w:ascii="Arial;sans-serif" w:hAnsi="Arial;sans-serif"/>
          <w:b w:val="false"/>
          <w:color w:val="000000"/>
          <w:sz w:val="22"/>
        </w:rPr>
        <w:t>of 2023 for</w:t>
      </w:r>
      <w:r>
        <w:rPr>
          <w:color w:val="000000"/>
          <w:highlight w:val="white"/>
        </w:rPr>
        <w:t xml:space="preserve"> </w:t>
      </w:r>
      <w:r>
        <w:rPr>
          <w:rFonts w:ascii="Arial;sans-serif" w:hAnsi="Arial;sans-serif"/>
          <w:b w:val="false"/>
          <w:color w:val="000000"/>
          <w:sz w:val="22"/>
          <w:highlight w:val="white"/>
        </w:rPr>
        <w:t>inhaled ensifentrine for the maintenance treatment of patients with COPD.</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120"/>
        <w:jc w:val="both"/>
        <w:rPr>
          <w:rFonts w:ascii="Arial;sans-serif" w:hAnsi="Arial;sans-serif"/>
          <w:b/>
          <w:color w:val="232323"/>
          <w:sz w:val="22"/>
          <w:highlight w:val="white"/>
        </w:rPr>
      </w:pPr>
      <w:r>
        <w:rPr>
          <w:rFonts w:ascii="Arial;sans-serif" w:hAnsi="Arial;sans-serif"/>
          <w:b/>
          <w:color w:val="232323"/>
          <w:sz w:val="22"/>
          <w:highlight w:val="white"/>
        </w:rPr>
        <w:t xml:space="preserve">First Quarter and Recent Highlights </w:t>
      </w:r>
    </w:p>
    <w:p>
      <w:pPr>
        <w:pStyle w:val="TextBody"/>
        <w:spacing w:lineRule="auto" w:line="240" w:before="0" w:after="120"/>
        <w:jc w:val="both"/>
        <w:rPr>
          <w:rFonts w:ascii="Arial;sans-serif" w:hAnsi="Arial;sans-serif"/>
          <w:b/>
          <w:color w:val="000000"/>
          <w:sz w:val="22"/>
          <w:u w:val="single"/>
        </w:rPr>
      </w:pPr>
      <w:r>
        <w:rPr>
          <w:rFonts w:ascii="Arial;sans-serif" w:hAnsi="Arial;sans-serif"/>
          <w:b/>
          <w:color w:val="000000"/>
          <w:sz w:val="22"/>
          <w:u w:val="single"/>
        </w:rPr>
        <w:t>Corporate</w:t>
      </w:r>
    </w:p>
    <w:p>
      <w:pPr>
        <w:pStyle w:val="TextBody"/>
        <w:spacing w:lineRule="auto" w:line="240" w:before="0" w:after="120"/>
        <w:ind w:left="0" w:right="0" w:hanging="360"/>
        <w:jc w:val="both"/>
        <w:rPr/>
      </w:pPr>
      <w:r>
        <w:rPr>
          <w:color w:val="000000"/>
        </w:rPr>
        <w:t>•</w:t>
      </w:r>
      <w:r>
        <w:rPr>
          <w:rFonts w:ascii="Arial;sans-serif" w:hAnsi="Arial;sans-serif"/>
          <w:b w:val="false"/>
          <w:color w:val="000000"/>
          <w:sz w:val="22"/>
        </w:rPr>
        <w:t>In April 2023, the Company held a pre-NDA meeting with the FDA. The submission, comprising data from the Phase 3 ENHANCE studies and other completed ensifentrine clinical studies including data from approximately 3,000 subjects, is on schedule for the second quarter of 2023.</w:t>
      </w:r>
    </w:p>
    <w:p>
      <w:pPr>
        <w:pStyle w:val="TextBody"/>
        <w:spacing w:lineRule="auto" w:line="240" w:before="0" w:after="120"/>
        <w:ind w:left="0" w:right="0" w:hanging="360"/>
        <w:jc w:val="both"/>
        <w:rPr/>
      </w:pPr>
      <w:r>
        <w:rPr>
          <w:color w:val="000000"/>
        </w:rPr>
        <w:t>•</w:t>
      </w:r>
      <w:r>
        <w:rPr>
          <w:rFonts w:ascii="Arial;sans-serif" w:hAnsi="Arial;sans-serif"/>
          <w:b w:val="false"/>
          <w:color w:val="000000"/>
          <w:sz w:val="22"/>
        </w:rPr>
        <w:t>Also in April 2023, the Company’s development partner in Greater China, Nuance Pharma, enrolled the first subject in its pivotal Phase 3 clinical trial evaluating ensifentrine for the maintenance treatment of COPD in China. In 2021, Verona Pharma entered into an agreement with Nuance Pharma for exclusive rights to develop and commercialize ensifentrine in Greater China, with future potential milestone payments up to $179 million plus royalties.</w:t>
      </w:r>
    </w:p>
    <w:p>
      <w:pPr>
        <w:pStyle w:val="TextBody"/>
        <w:spacing w:lineRule="auto" w:line="240" w:before="0" w:after="120"/>
        <w:jc w:val="both"/>
        <w:rPr>
          <w:rFonts w:ascii="Arial;sans-serif" w:hAnsi="Arial;sans-serif"/>
          <w:b/>
          <w:color w:val="000000"/>
          <w:sz w:val="22"/>
        </w:rPr>
      </w:pPr>
      <w:r>
        <w:rPr>
          <w:rFonts w:ascii="Arial;sans-serif" w:hAnsi="Arial;sans-serif"/>
          <w:b/>
          <w:color w:val="000000"/>
          <w:sz w:val="22"/>
        </w:rPr>
        <w:t>First Quarter 2023 Financial Results</w:t>
      </w:r>
    </w:p>
    <w:p>
      <w:pPr>
        <w:pStyle w:val="TextBody"/>
        <w:spacing w:lineRule="auto" w:line="240" w:before="0" w:after="120"/>
        <w:ind w:left="0" w:right="0" w:hanging="360"/>
        <w:jc w:val="both"/>
        <w:rPr/>
      </w:pPr>
      <w:r>
        <w:rPr>
          <w:color w:val="000000"/>
        </w:rPr>
        <w:t>•</w:t>
      </w:r>
      <w:r>
        <w:rPr>
          <w:rFonts w:ascii="Arial;sans-serif" w:hAnsi="Arial;sans-serif"/>
          <w:b/>
          <w:color w:val="000000"/>
          <w:sz w:val="22"/>
        </w:rPr>
        <w:t>Cash position:</w:t>
      </w:r>
      <w:r>
        <w:rPr>
          <w:color w:val="000000"/>
        </w:rPr>
        <w:t xml:space="preserve"> </w:t>
      </w:r>
      <w:r>
        <w:rPr>
          <w:rFonts w:ascii="Arial;sans-serif" w:hAnsi="Arial;sans-serif"/>
          <w:b w:val="false"/>
          <w:color w:val="000000"/>
          <w:sz w:val="22"/>
        </w:rPr>
        <w:t>Cash and cash equivalents at March 31, 2023, were $291.4 million (December 31, 2022: $227.8 million). The Company believes cash and cash equivalents at March 31, 2023, expected cash receipts from the UK tax credit program and funding expected to become available under the $150.0 million debt facility, will enable Verona Pharma to fund planned operating expenses and capital expenditure requirements through at least the end of 2025 including the commercial launch of ensifentrine in the US, if approved.</w:t>
      </w:r>
    </w:p>
    <w:p>
      <w:pPr>
        <w:pStyle w:val="TextBody"/>
        <w:spacing w:lineRule="auto" w:line="240" w:before="0" w:after="120"/>
        <w:ind w:left="0" w:right="0" w:hanging="360"/>
        <w:jc w:val="both"/>
        <w:rPr/>
      </w:pPr>
      <w:r>
        <w:rPr>
          <w:color w:val="000000"/>
        </w:rPr>
        <w:t>•</w:t>
      </w:r>
      <w:r>
        <w:rPr>
          <w:rFonts w:ascii="Arial;sans-serif" w:hAnsi="Arial;sans-serif"/>
          <w:b/>
          <w:color w:val="000000"/>
          <w:sz w:val="22"/>
        </w:rPr>
        <w:t>R&amp;D Expenses:</w:t>
      </w:r>
      <w:r>
        <w:rPr>
          <w:color w:val="000000"/>
        </w:rPr>
        <w:t xml:space="preserve"> </w:t>
      </w:r>
      <w:r>
        <w:rPr>
          <w:rFonts w:ascii="Arial;sans-serif" w:hAnsi="Arial;sans-serif"/>
          <w:b w:val="false"/>
          <w:color w:val="000000"/>
          <w:sz w:val="22"/>
        </w:rPr>
        <w:t>Research and development (“R&amp;D”) expenses were $12.6 million for the first quarter ended March 31, 2023 (Q1 2022: $17.6 million). This decrease was primarily due to a $5.1 million decrease in clinical trial and other development costs as the Phase 3 ENHANCE program is in the final stages of completing data analysis whereas in the same period in the prior year significant costs were incurred associated with active enrollment.</w:t>
      </w:r>
    </w:p>
    <w:p>
      <w:pPr>
        <w:pStyle w:val="TextBody"/>
        <w:spacing w:lineRule="auto" w:line="240" w:before="0" w:after="120"/>
        <w:ind w:left="0" w:right="0" w:hanging="360"/>
        <w:jc w:val="both"/>
        <w:rPr/>
      </w:pPr>
      <w:r>
        <w:rPr>
          <w:color w:val="000000"/>
        </w:rPr>
        <w:t>•</w:t>
      </w:r>
      <w:r>
        <w:rPr>
          <w:rFonts w:ascii="Arial;sans-serif" w:hAnsi="Arial;sans-serif"/>
          <w:b/>
          <w:color w:val="000000"/>
          <w:sz w:val="22"/>
        </w:rPr>
        <w:t>SG&amp;A Expenses:</w:t>
      </w:r>
      <w:r>
        <w:rPr>
          <w:color w:val="000000"/>
        </w:rPr>
        <w:t xml:space="preserve"> </w:t>
      </w:r>
      <w:r>
        <w:rPr>
          <w:rFonts w:ascii="Arial;sans-serif" w:hAnsi="Arial;sans-serif"/>
          <w:b w:val="false"/>
          <w:color w:val="000000"/>
          <w:sz w:val="22"/>
        </w:rPr>
        <w:t>Selling general and administrative expenses (“SG&amp;A”) were $9.6 million for the first quarter ended March 31, 2023 (Q1 2022: $7.4 million). This increase was primarily due to a $2.7 million increase in people related costs, inclusive of share-based compensation, as well as an increase of $0.8 million for costs related to the build out of commercial infrastructure in preparation for a potential commercial launch. The increases were partially offset by a non-recurring $2.0 million charge related to the modification of the assignment and license agreement with Ligand UK Development Limited, which was incurred in the three months ended March 31, 2022.</w:t>
      </w:r>
    </w:p>
    <w:p>
      <w:pPr>
        <w:pStyle w:val="TextBody"/>
        <w:spacing w:lineRule="auto" w:line="240" w:before="0" w:after="160"/>
        <w:ind w:left="0" w:right="0" w:hanging="360"/>
        <w:jc w:val="both"/>
        <w:rPr/>
      </w:pPr>
      <w:r>
        <w:rPr>
          <w:color w:val="000000"/>
        </w:rPr>
        <w:t>•</w:t>
      </w:r>
      <w:r>
        <w:rPr>
          <w:rFonts w:ascii="Arial;sans-serif" w:hAnsi="Arial;sans-serif"/>
          <w:b/>
          <w:color w:val="000000"/>
          <w:sz w:val="22"/>
        </w:rPr>
        <w:t>Net loss:</w:t>
      </w:r>
      <w:r>
        <w:rPr>
          <w:color w:val="000000"/>
        </w:rPr>
        <w:t xml:space="preserve"> </w:t>
      </w:r>
      <w:r>
        <w:rPr>
          <w:rFonts w:ascii="Arial;sans-serif" w:hAnsi="Arial;sans-serif"/>
          <w:b w:val="false"/>
          <w:color w:val="000000"/>
          <w:sz w:val="22"/>
        </w:rPr>
        <w:t>Net loss was $16.7 million for the first quarter ended March 31, 2023 (Q1 2022: net loss $24.8 million).</w:t>
      </w:r>
    </w:p>
    <w:p>
      <w:pPr>
        <w:pStyle w:val="TextBody"/>
        <w:spacing w:lineRule="auto" w:line="240" w:before="0" w:after="120"/>
        <w:jc w:val="both"/>
        <w:rPr>
          <w:rFonts w:ascii="Arial;sans-serif" w:hAnsi="Arial;sans-serif"/>
          <w:b/>
          <w:color w:val="000000"/>
          <w:sz w:val="22"/>
          <w:highlight w:val="white"/>
        </w:rPr>
      </w:pPr>
      <w:r>
        <w:rPr>
          <w:rFonts w:ascii="Arial;sans-serif" w:hAnsi="Arial;sans-serif"/>
          <w:b/>
          <w:color w:val="000000"/>
          <w:sz w:val="22"/>
          <w:highlight w:val="white"/>
        </w:rPr>
        <w:t>Conference Call and Webcast Information</w:t>
      </w:r>
    </w:p>
    <w:p>
      <w:pPr>
        <w:pStyle w:val="TextBody"/>
        <w:spacing w:lineRule="auto" w:line="240" w:before="0" w:after="120"/>
        <w:jc w:val="both"/>
        <w:rPr>
          <w:rFonts w:ascii="Arial;sans-serif" w:hAnsi="Arial;sans-serif"/>
          <w:b w:val="false"/>
          <w:color w:val="000000"/>
          <w:sz w:val="22"/>
          <w:highlight w:val="white"/>
        </w:rPr>
      </w:pPr>
      <w:r>
        <w:rPr>
          <w:rFonts w:ascii="Arial;sans-serif" w:hAnsi="Arial;sans-serif"/>
          <w:b w:val="false"/>
          <w:color w:val="000000"/>
          <w:sz w:val="22"/>
          <w:highlight w:val="white"/>
        </w:rPr>
        <w:t>Verona Pharma will host an investment community webcast and conference call at 9:00 a.m. EDT / 2:00 p.m. BST on Tuesday, May 9, 2023, to discuss the first quarter 2023 financial results and the corporate update.</w:t>
      </w:r>
    </w:p>
    <w:p>
      <w:pPr>
        <w:pStyle w:val="TextBody"/>
        <w:spacing w:lineRule="auto" w:line="240" w:before="0" w:after="160"/>
        <w:jc w:val="both"/>
        <w:rPr>
          <w:rFonts w:ascii="Arial;sans-serif" w:hAnsi="Arial;sans-serif"/>
          <w:b w:val="false"/>
          <w:color w:val="000000"/>
          <w:sz w:val="22"/>
        </w:rPr>
      </w:pPr>
      <w:r>
        <w:rPr>
          <w:rFonts w:ascii="Arial;sans-serif" w:hAnsi="Arial;sans-serif"/>
          <w:b w:val="false"/>
          <w:color w:val="000000"/>
          <w:sz w:val="22"/>
        </w:rPr>
        <w:t>To participate, please dial one of the following numbers and ask to be placed into the Verona Pharma first quarter earnings call:</w:t>
      </w:r>
    </w:p>
    <w:p>
      <w:pPr>
        <w:pStyle w:val="TextBody"/>
        <w:spacing w:lineRule="auto" w:line="240" w:before="0" w:after="160"/>
        <w:ind w:left="0" w:right="0" w:hanging="360"/>
        <w:jc w:val="both"/>
        <w:rPr/>
      </w:pPr>
      <w:r>
        <w:rPr>
          <w:color w:val="000000"/>
        </w:rPr>
        <w:t>•</w:t>
      </w:r>
      <w:r>
        <w:rPr>
          <w:rFonts w:ascii="Arial;sans-serif" w:hAnsi="Arial;sans-serif"/>
          <w:b w:val="false"/>
          <w:color w:val="000000"/>
          <w:sz w:val="22"/>
          <w:highlight w:val="white"/>
        </w:rPr>
        <w:t>+1-833-816-1396 for callers in the United States</w:t>
      </w:r>
    </w:p>
    <w:p>
      <w:pPr>
        <w:pStyle w:val="TextBody"/>
        <w:spacing w:lineRule="auto" w:line="240" w:before="0" w:after="160"/>
        <w:ind w:left="0" w:right="0" w:hanging="360"/>
        <w:jc w:val="both"/>
        <w:rPr/>
      </w:pPr>
      <w:r>
        <w:rPr>
          <w:color w:val="000000"/>
        </w:rPr>
        <w:t>•</w:t>
      </w:r>
      <w:r>
        <w:rPr>
          <w:rFonts w:ascii="Arial;sans-serif" w:hAnsi="Arial;sans-serif"/>
          <w:b w:val="false"/>
          <w:color w:val="000000"/>
          <w:sz w:val="22"/>
          <w:highlight w:val="white"/>
        </w:rPr>
        <w:t>+1-412-317-0489 for international callers</w:t>
      </w:r>
    </w:p>
    <w:p>
      <w:pPr>
        <w:pStyle w:val="TextBody"/>
        <w:spacing w:lineRule="auto" w:line="240" w:before="160" w:after="120"/>
        <w:jc w:val="both"/>
        <w:rPr>
          <w:rFonts w:ascii="Arial;sans-serif" w:hAnsi="Arial;sans-serif"/>
          <w:b w:val="false"/>
          <w:color w:val="000000"/>
          <w:sz w:val="22"/>
        </w:rPr>
      </w:pPr>
      <w:r>
        <w:rPr>
          <w:rFonts w:ascii="Arial;sans-serif" w:hAnsi="Arial;sans-serif"/>
          <w:b w:val="false"/>
          <w:color w:val="000000"/>
          <w:sz w:val="22"/>
        </w:rPr>
        <w:t xml:space="preserve">A live webcast will be available on the Events and Presentations link on the Investors page of the Company's website, www.veronapharma.com, and the audio replay will be available for 90 days. An electronic copy of the first quarter 2023 results press release will also be made available today on the Company’s website. </w:t>
      </w:r>
    </w:p>
    <w:p>
      <w:pPr>
        <w:pStyle w:val="TextBody"/>
        <w:spacing w:lineRule="auto" w:line="333" w:before="120" w:after="120"/>
        <w:jc w:val="both"/>
        <w:rPr>
          <w:rFonts w:ascii="Arial;sans-serif" w:hAnsi="Arial;sans-serif"/>
          <w:b w:val="false"/>
          <w:color w:val="000000"/>
          <w:sz w:val="22"/>
        </w:rPr>
      </w:pPr>
      <w:r>
        <w:rPr>
          <w:rFonts w:ascii="Arial;sans-serif" w:hAnsi="Arial;sans-serif"/>
          <w:b w:val="false"/>
          <w:color w:val="000000"/>
          <w:sz w:val="22"/>
        </w:rPr>
        <w:t>For further information please contact:</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498"/>
        <w:gridCol w:w="2180"/>
        <w:gridCol w:w="2156"/>
        <w:gridCol w:w="1069"/>
        <w:gridCol w:w="1069"/>
        <w:gridCol w:w="1233"/>
      </w:tblGrid>
      <w:tr>
        <w:trPr/>
        <w:tc>
          <w:tcPr>
            <w:tcW w:w="2498"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r>
      <w:tr>
        <w:trPr/>
        <w:tc>
          <w:tcPr>
            <w:tcW w:w="6834" w:type="dxa"/>
            <w:gridSpan w:val="3"/>
            <w:tcBorders>
              <w:top w:val="single" w:sz="6" w:space="0" w:color="CFCFCF"/>
              <w:left w:val="single" w:sz="6" w:space="0" w:color="CFCFCF"/>
            </w:tcBorders>
            <w:shd w:fill="FFFFFF" w:val="clear"/>
            <w:tcMar>
              <w:top w:w="30" w:type="dxa"/>
              <w:left w:w="117" w:type="dxa"/>
              <w:bottom w:w="0" w:type="dxa"/>
              <w:right w:w="0" w:type="dxa"/>
            </w:tcMar>
            <w:vAlign w:val="center"/>
          </w:tcPr>
          <w:p>
            <w:pPr>
              <w:pStyle w:val="TableContents"/>
              <w:spacing w:lineRule="auto" w:line="300" w:before="0" w:after="283"/>
              <w:jc w:val="left"/>
              <w:rPr>
                <w:rFonts w:ascii="Arial;sans-serif" w:hAnsi="Arial;sans-serif"/>
                <w:b/>
                <w:color w:val="000000"/>
                <w:sz w:val="22"/>
              </w:rPr>
            </w:pPr>
            <w:r>
              <w:rPr>
                <w:rFonts w:ascii="Arial;sans-serif" w:hAnsi="Arial;sans-serif"/>
                <w:b/>
                <w:color w:val="000000"/>
                <w:sz w:val="22"/>
              </w:rPr>
              <w:t>Verona Pharma plc</w:t>
            </w:r>
          </w:p>
        </w:tc>
        <w:tc>
          <w:tcPr>
            <w:tcW w:w="3371"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US Tel: +1-833-417-0262</w:t>
            </w:r>
          </w:p>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UK Tel: +44 (0)203 283 4200</w:t>
            </w:r>
          </w:p>
        </w:tc>
      </w:tr>
      <w:tr>
        <w:trPr/>
        <w:tc>
          <w:tcPr>
            <w:tcW w:w="6834" w:type="dxa"/>
            <w:gridSpan w:val="3"/>
            <w:tcBorders>
              <w:top w:val="single" w:sz="6" w:space="0" w:color="CFCFCF"/>
              <w:left w:val="single" w:sz="6" w:space="0" w:color="CFCFCF"/>
            </w:tcBorders>
            <w:shd w:fill="FFFFFF" w:val="clear"/>
            <w:tcMar>
              <w:top w:w="30" w:type="dxa"/>
              <w:left w:w="117" w:type="dxa"/>
              <w:bottom w:w="0" w:type="dxa"/>
              <w:right w:w="0" w:type="dxa"/>
            </w:tcMar>
            <w:vAlign w:val="center"/>
          </w:tcPr>
          <w:p>
            <w:pPr>
              <w:pStyle w:val="TableContents"/>
              <w:spacing w:lineRule="auto" w:line="288" w:before="0" w:after="283"/>
              <w:jc w:val="left"/>
              <w:rPr>
                <w:rFonts w:ascii="Arial;sans-serif" w:hAnsi="Arial;sans-serif"/>
                <w:b w:val="false"/>
                <w:color w:val="000000"/>
                <w:sz w:val="22"/>
              </w:rPr>
            </w:pPr>
            <w:r>
              <w:rPr>
                <w:rFonts w:ascii="Arial;sans-serif" w:hAnsi="Arial;sans-serif"/>
                <w:b w:val="false"/>
                <w:color w:val="000000"/>
                <w:sz w:val="22"/>
              </w:rPr>
              <w:t>Victoria Stewart, Senior Director of Investor Relations and Communications</w:t>
            </w:r>
          </w:p>
        </w:tc>
        <w:tc>
          <w:tcPr>
            <w:tcW w:w="3371"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spacing w:lineRule="auto" w:line="240" w:before="0" w:after="0"/>
              <w:jc w:val="left"/>
              <w:rPr>
                <w:rFonts w:ascii="Arial;sans-serif" w:hAnsi="Arial;sans-serif"/>
                <w:b w:val="false"/>
                <w:color w:val="0000FF"/>
                <w:sz w:val="24"/>
                <w:u w:val="single"/>
              </w:rPr>
            </w:pPr>
            <w:r>
              <w:rPr>
                <w:rFonts w:ascii="Arial;sans-serif" w:hAnsi="Arial;sans-serif"/>
                <w:b w:val="false"/>
                <w:color w:val="0000FF"/>
                <w:sz w:val="24"/>
                <w:u w:val="single"/>
              </w:rPr>
              <w:t>IR@veronapharma.com</w:t>
            </w:r>
          </w:p>
        </w:tc>
      </w:tr>
      <w:tr>
        <w:trPr/>
        <w:tc>
          <w:tcPr>
            <w:tcW w:w="6834" w:type="dxa"/>
            <w:gridSpan w:val="3"/>
            <w:tcBorders>
              <w:top w:val="single" w:sz="6" w:space="0" w:color="CFCFCF"/>
              <w:left w:val="single" w:sz="6" w:space="0" w:color="CFCFCF"/>
            </w:tcBorders>
            <w:shd w:fill="FFFFFF" w:val="clear"/>
            <w:tcMar>
              <w:top w:w="30" w:type="dxa"/>
              <w:bottom w:w="0" w:type="dxa"/>
              <w:right w:w="0" w:type="dxa"/>
            </w:tcMar>
            <w:vAlign w:val="center"/>
          </w:tcPr>
          <w:p>
            <w:pPr>
              <w:pStyle w:val="TableContents"/>
              <w:spacing w:lineRule="auto" w:line="240" w:before="0" w:after="0"/>
              <w:jc w:val="left"/>
              <w:rPr/>
            </w:pPr>
            <w:r>
              <w:rPr>
                <w:rFonts w:ascii="Arial;sans-serif" w:hAnsi="Arial;sans-serif"/>
                <w:b/>
                <w:color w:val="000000"/>
                <w:sz w:val="22"/>
              </w:rPr>
              <w:t>Argot Partners</w:t>
            </w:r>
            <w:r>
              <w:rPr>
                <w:rFonts w:ascii="Arial;sans-serif" w:hAnsi="Arial;sans-serif"/>
                <w:b w:val="false"/>
                <w:color w:val="000000"/>
                <w:sz w:val="22"/>
              </w:rPr>
              <w:br/>
              <w:t>(US Investor Enquiries)</w:t>
            </w:r>
          </w:p>
        </w:tc>
        <w:tc>
          <w:tcPr>
            <w:tcW w:w="3371"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4"/>
              </w:rPr>
              <w:t>Tel: +1-212-600-1902</w:t>
              <w:br/>
            </w:r>
            <w:r>
              <w:rPr>
                <w:rFonts w:ascii="Arial;sans-serif" w:hAnsi="Arial;sans-serif"/>
                <w:b w:val="false"/>
                <w:color w:val="0000FF"/>
                <w:sz w:val="24"/>
                <w:u w:val="single"/>
              </w:rPr>
              <w:t>verona@argotpartners.com</w:t>
            </w:r>
          </w:p>
        </w:tc>
      </w:tr>
      <w:tr>
        <w:trPr/>
        <w:tc>
          <w:tcPr>
            <w:tcW w:w="6834" w:type="dxa"/>
            <w:gridSpan w:val="3"/>
            <w:tcBorders>
              <w:top w:val="single" w:sz="6" w:space="0" w:color="CFCFCF"/>
              <w:left w:val="single" w:sz="6" w:space="0" w:color="CFCFCF"/>
            </w:tcBorders>
            <w:shd w:fill="FFFFFF" w:val="clear"/>
            <w:tcMar>
              <w:top w:w="30" w:type="dxa"/>
              <w:bottom w:w="0" w:type="dxa"/>
              <w:right w:w="0" w:type="dxa"/>
            </w:tcMar>
            <w:vAlign w:val="center"/>
          </w:tcPr>
          <w:p>
            <w:pPr>
              <w:pStyle w:val="TableContents"/>
              <w:spacing w:lineRule="auto" w:line="240" w:before="0" w:after="0"/>
              <w:jc w:val="left"/>
              <w:rPr/>
            </w:pPr>
            <w:r>
              <w:rPr>
                <w:rFonts w:ascii="Arial;sans-serif" w:hAnsi="Arial;sans-serif"/>
                <w:b/>
                <w:color w:val="000000"/>
                <w:sz w:val="22"/>
              </w:rPr>
              <w:t>Optimum Strategic Communications</w:t>
            </w:r>
            <w:r>
              <w:rPr>
                <w:rFonts w:ascii="Arial;sans-serif" w:hAnsi="Arial;sans-serif"/>
                <w:b w:val="false"/>
                <w:color w:val="000000"/>
                <w:sz w:val="22"/>
              </w:rPr>
              <w:br/>
              <w:t>(International Media and European Investor Enquiries)</w:t>
            </w:r>
          </w:p>
        </w:tc>
        <w:tc>
          <w:tcPr>
            <w:tcW w:w="3371" w:type="dxa"/>
            <w:gridSpan w:val="3"/>
            <w:tcBorders>
              <w:top w:val="single" w:sz="6" w:space="0" w:color="CFCFCF"/>
              <w:left w:val="single" w:sz="6" w:space="0" w:color="CFCFCF"/>
              <w:right w:val="single" w:sz="6" w:space="0" w:color="CFCFCF"/>
            </w:tcBorders>
            <w:shd w:fill="FFFFFF" w:val="clear"/>
            <w:tcMar>
              <w:top w:w="30" w:type="dxa"/>
              <w:bottom w:w="0" w:type="dxa"/>
            </w:tcMar>
            <w:vAlign w:val="center"/>
          </w:tcPr>
          <w:p>
            <w:pPr>
              <w:pStyle w:val="TableContents"/>
              <w:spacing w:lineRule="auto" w:line="240" w:before="0" w:after="0"/>
              <w:jc w:val="left"/>
              <w:rPr/>
            </w:pPr>
            <w:r>
              <w:rPr>
                <w:rFonts w:ascii="Arial;sans-serif" w:hAnsi="Arial;sans-serif"/>
                <w:b w:val="false"/>
                <w:color w:val="000000"/>
                <w:sz w:val="24"/>
              </w:rPr>
              <w:t>Tel: +44 (0)203 882 9621</w:t>
              <w:br/>
            </w:r>
            <w:r>
              <w:rPr>
                <w:rFonts w:ascii="Arial;sans-serif" w:hAnsi="Arial;sans-serif"/>
                <w:b w:val="false"/>
                <w:color w:val="0000FF"/>
                <w:sz w:val="24"/>
                <w:u w:val="single"/>
              </w:rPr>
              <w:t>verona@optimumcomms.com</w:t>
            </w:r>
          </w:p>
        </w:tc>
      </w:tr>
      <w:tr>
        <w:trPr/>
        <w:tc>
          <w:tcPr>
            <w:tcW w:w="6834" w:type="dxa"/>
            <w:gridSpan w:val="3"/>
            <w:tcBorders>
              <w:top w:val="single" w:sz="6" w:space="0" w:color="CFCFCF"/>
              <w:left w:val="single" w:sz="6" w:space="0" w:color="CFCFCF"/>
              <w:bottom w:val="single" w:sz="6" w:space="0" w:color="CFCFCF"/>
            </w:tcBorders>
            <w:shd w:fill="FFFFFF" w:val="clear"/>
            <w:tcMar>
              <w:top w:w="30" w:type="dxa"/>
              <w:left w:w="117" w:type="dxa"/>
              <w:bottom w:w="30" w:type="dxa"/>
              <w:right w:w="0" w:type="dxa"/>
            </w:tcMar>
            <w:vAlign w:val="center"/>
          </w:tcPr>
          <w:p>
            <w:pPr>
              <w:pStyle w:val="TableContents"/>
              <w:spacing w:lineRule="auto" w:line="300" w:before="0" w:after="283"/>
              <w:jc w:val="left"/>
              <w:rPr>
                <w:rFonts w:ascii="Arial;sans-serif" w:hAnsi="Arial;sans-serif"/>
                <w:b w:val="false"/>
                <w:color w:val="000000"/>
                <w:sz w:val="22"/>
              </w:rPr>
            </w:pPr>
            <w:r>
              <w:rPr>
                <w:rFonts w:ascii="Arial;sans-serif" w:hAnsi="Arial;sans-serif"/>
                <w:b w:val="false"/>
                <w:color w:val="000000"/>
                <w:sz w:val="22"/>
              </w:rPr>
              <w:t>Mary Clark / Richard Staines / Zoe Bolt</w:t>
            </w:r>
          </w:p>
        </w:tc>
        <w:tc>
          <w:tcPr>
            <w:tcW w:w="3371" w:type="dxa"/>
            <w:gridSpan w:val="3"/>
            <w:tcBorders>
              <w:top w:val="single" w:sz="6" w:space="0" w:color="CFCFCF"/>
              <w:left w:val="single" w:sz="6" w:space="0" w:color="CFCFCF"/>
              <w:bottom w:val="single" w:sz="6" w:space="0" w:color="CFCFCF"/>
              <w:right w:val="single" w:sz="6" w:space="0" w:color="CFCFCF"/>
            </w:tcBorders>
            <w:shd w:fill="FFFFFF"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0" w:after="120"/>
        <w:jc w:val="both"/>
        <w:rPr>
          <w:rFonts w:ascii="Arial;sans-serif" w:hAnsi="Arial;sans-serif"/>
          <w:b/>
          <w:color w:val="000000"/>
          <w:sz w:val="22"/>
        </w:rPr>
      </w:pPr>
      <w:r>
        <w:rPr>
          <w:rFonts w:ascii="Arial;sans-serif" w:hAnsi="Arial;sans-serif"/>
          <w:b/>
          <w:color w:val="000000"/>
          <w:sz w:val="22"/>
        </w:rPr>
        <w:t>About Verona Pharma</w:t>
      </w:r>
    </w:p>
    <w:p>
      <w:pPr>
        <w:pStyle w:val="TextBody"/>
        <w:spacing w:lineRule="auto" w:line="240" w:before="0" w:after="160"/>
        <w:jc w:val="both"/>
        <w:rPr/>
      </w:pPr>
      <w:r>
        <w:rPr>
          <w:rFonts w:ascii="Arial;sans-serif" w:hAnsi="Arial;sans-serif"/>
          <w:b w:val="false"/>
          <w:color w:val="000000"/>
          <w:sz w:val="22"/>
        </w:rPr>
        <w:t xml:space="preserve">Verona Pharma is a clinical-stage biopharmaceutical company focused on developing and commercializing innovative therapies for the treatment of chronic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has evaluated nebulized ensifentrine in its Phase 3 clinical program ENHANCE (“Ensifentrine as a Novel inHAled Nebulized COPD thErapy”) for COPD maintenance treatment. Ensifentrine met the primary endpoint in both ENHANCE-1 and ENHANCE-2 trials demonstrating statistically significant and clinically meaningful improvements in lung function. In addition, ensifentrine significantly reduced the rate and risk of COPD exacerbations in pooled analysis from ENHANCE-1 and ENHANCE-2. Two additional formulations of ensifentrine have been evaluated in Phase 2 studies for the treatment of COPD: dry powder inhaler (“DPI”) and pressurized metered-dose inhaler (“pMDI”). Ensifentrine has potential applications in cystic fibrosis, asthma and other respiratory diseases. For more information, please visit </w:t>
      </w:r>
      <w:r>
        <w:rPr>
          <w:rFonts w:ascii="Arial;sans-serif" w:hAnsi="Arial;sans-serif"/>
          <w:b w:val="false"/>
          <w:color w:val="0000FF"/>
          <w:sz w:val="22"/>
          <w:u w:val="single"/>
        </w:rPr>
        <w:t>www.veronapharma.com</w:t>
      </w:r>
      <w:r>
        <w:rPr>
          <w:rFonts w:ascii="Arial;sans-serif" w:hAnsi="Arial;sans-serif"/>
          <w:b w:val="false"/>
          <w:color w:val="000000"/>
          <w:sz w:val="22"/>
        </w:rPr>
        <w:t>.</w:t>
      </w:r>
    </w:p>
    <w:p>
      <w:pPr>
        <w:pStyle w:val="TextBody"/>
        <w:spacing w:lineRule="auto" w:line="240" w:before="0" w:after="120"/>
        <w:rPr>
          <w:rFonts w:ascii="Arial;sans-serif" w:hAnsi="Arial;sans-serif"/>
          <w:b/>
          <w:color w:val="000000"/>
          <w:sz w:val="22"/>
        </w:rPr>
      </w:pPr>
      <w:r>
        <w:rPr>
          <w:rFonts w:ascii="Arial;sans-serif" w:hAnsi="Arial;sans-serif"/>
          <w:b/>
          <w:color w:val="000000"/>
          <w:sz w:val="22"/>
        </w:rPr>
        <w:t>Forward-Looking Statements</w:t>
      </w:r>
    </w:p>
    <w:p>
      <w:pPr>
        <w:pStyle w:val="TextBody"/>
        <w:spacing w:lineRule="auto" w:line="240" w:before="0" w:after="120"/>
        <w:jc w:val="both"/>
        <w:rPr/>
      </w:pPr>
      <w:r>
        <w:rPr>
          <w:rFonts w:ascii="Arial;sans-serif" w:hAnsi="Arial;sans-serif"/>
          <w:b w:val="false"/>
          <w:color w:val="000000"/>
          <w:sz w:val="22"/>
        </w:rPr>
        <w:t>This press release contains forward-looking statements. All statements contained in this press release that do not relate to matters of historical fact should be considered forward-looking statements, including, but not limited to, statements regarding our operational review, outlook and financial review, the development of ensifentrine and plans to release data from the ENHANCE trials at future scientific conferences, upcoming events and presentations, planned regulatory submissions and timing thereof, including the timing of submission of an NDA for ensifentrine</w:t>
      </w:r>
      <w:r>
        <w:rPr>
          <w:color w:val="000000"/>
        </w:rPr>
        <w:t xml:space="preserve"> </w:t>
      </w:r>
      <w:r>
        <w:rPr>
          <w:rFonts w:ascii="Arial;sans-serif" w:hAnsi="Arial;sans-serif"/>
          <w:b w:val="false"/>
          <w:color w:val="000000"/>
          <w:sz w:val="22"/>
        </w:rPr>
        <w:t xml:space="preserve">and our expectations regarding the content of the submission, the planned US commercial launch of ensifentrine, the potential for ensifentrine to be the first therapy for the treatment of respiratory diseases to combine bronchodilator and non-steroidal anti-inflammatory benefits in one compound, the potential of ensifentrine to change the treatment paradigm for COPD patients, and the potential of ensifentrine in the treatment of cystic fibrosis, asthma and other respiratory diseases, as well as the potential of the DPI and pMDI formulations of ensifentrine, ensifentrine’s compelling benefit risk profile, the funding we expect to become available under the $150.0 million debt financing facility and from cash receipts from UK tax credits, and the sufficiency of cash and cash equivalents, and the cash runway period provided by the sources of financing through to at least the end of 2025 and expected to fully fund the planned commercial launch. </w:t>
      </w:r>
    </w:p>
    <w:p>
      <w:pPr>
        <w:pStyle w:val="TextBody"/>
        <w:spacing w:lineRule="auto" w:line="240"/>
        <w:jc w:val="both"/>
        <w:rPr>
          <w:rFonts w:ascii="Arial;sans-serif" w:hAnsi="Arial;sans-serif"/>
          <w:b w:val="false"/>
          <w:color w:val="000000"/>
          <w:sz w:val="22"/>
        </w:rPr>
      </w:pPr>
      <w:r>
        <w:rPr>
          <w:rFonts w:ascii="Arial;sans-serif" w:hAnsi="Arial;sans-serif"/>
          <w:b w:val="false"/>
          <w:color w:val="000000"/>
          <w:sz w:val="22"/>
        </w:rPr>
        <w:t xml:space="preserve">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we may not be successful in </w:t>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jc w:val="both"/>
        <w:rPr>
          <w:rFonts w:ascii="Arial;sans-serif" w:hAnsi="Arial;sans-serif"/>
          <w:b w:val="false"/>
          <w:color w:val="000000"/>
          <w:sz w:val="22"/>
        </w:rPr>
      </w:pPr>
      <w:r>
        <w:rPr>
          <w:rFonts w:ascii="Arial;sans-serif" w:hAnsi="Arial;sans-serif"/>
          <w:b w:val="false"/>
          <w:color w:val="000000"/>
          <w:sz w:val="22"/>
        </w:rPr>
        <w:t>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geo-political actions and unexpected events, including health epidemics or pandemics like the COVID-19 pandemic, and conflicts such as the Russia-Ukraine conflict, which has and may continue to adversely impact our business. These and other important factors under the caption “Risk Factors” in our Annual Report on Form 10-K for the year ended December 31, 2022, as updated in our Quarterly Report on Form 10-Q for the quarter ended March 31, 2023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120"/>
        <w:jc w:val="center"/>
        <w:rPr>
          <w:rFonts w:ascii="Arial;sans-serif" w:hAnsi="Arial;sans-serif"/>
          <w:b/>
          <w:color w:val="232323"/>
          <w:sz w:val="24"/>
        </w:rPr>
      </w:pPr>
      <w:r>
        <w:rPr>
          <w:rFonts w:ascii="Arial;sans-serif" w:hAnsi="Arial;sans-serif"/>
          <w:b/>
          <w:color w:val="232323"/>
          <w:sz w:val="24"/>
        </w:rPr>
        <w:t>Verona Pharma plc</w:t>
      </w:r>
    </w:p>
    <w:p>
      <w:pPr>
        <w:pStyle w:val="TextBody"/>
        <w:spacing w:lineRule="auto" w:line="333" w:before="0" w:after="120"/>
        <w:jc w:val="center"/>
        <w:rPr>
          <w:rFonts w:ascii="Arial;sans-serif" w:hAnsi="Arial;sans-serif"/>
          <w:b/>
          <w:color w:val="232323"/>
          <w:sz w:val="24"/>
        </w:rPr>
      </w:pPr>
      <w:r>
        <w:rPr>
          <w:rFonts w:ascii="Arial;sans-serif" w:hAnsi="Arial;sans-serif"/>
          <w:b/>
          <w:color w:val="232323"/>
          <w:sz w:val="24"/>
        </w:rPr>
        <w:t>Consolidated Financial Summary</w:t>
      </w:r>
    </w:p>
    <w:p>
      <w:pPr>
        <w:pStyle w:val="TextBody"/>
        <w:spacing w:lineRule="auto" w:line="333" w:before="0" w:after="120"/>
        <w:jc w:val="center"/>
        <w:rPr>
          <w:rFonts w:ascii="Arial;sans-serif" w:hAnsi="Arial;sans-serif"/>
          <w:b/>
          <w:color w:val="232323"/>
          <w:sz w:val="24"/>
          <w:highlight w:val="white"/>
        </w:rPr>
      </w:pPr>
      <w:r>
        <w:rPr>
          <w:rFonts w:ascii="Arial;sans-serif" w:hAnsi="Arial;sans-serif"/>
          <w:b/>
          <w:color w:val="232323"/>
          <w:sz w:val="24"/>
          <w:highlight w:val="white"/>
        </w:rPr>
        <w:t>(unaudited)</w:t>
      </w:r>
    </w:p>
    <w:p>
      <w:pPr>
        <w:pStyle w:val="TextBody"/>
        <w:spacing w:lineRule="auto" w:line="240" w:before="0" w:after="0"/>
        <w:jc w:val="center"/>
        <w:rPr>
          <w:rFonts w:ascii="Arial;sans-serif" w:hAnsi="Arial;sans-serif"/>
          <w:b/>
          <w:color w:val="232323"/>
          <w:sz w:val="20"/>
          <w:highlight w:val="white"/>
        </w:rPr>
      </w:pPr>
      <w:r>
        <w:rPr>
          <w:rFonts w:ascii="Arial;sans-serif" w:hAnsi="Arial;sans-serif"/>
          <w:b/>
          <w:color w:val="232323"/>
          <w:sz w:val="20"/>
          <w:highlight w:val="white"/>
        </w:rPr>
        <w:t>(in thousands, except per share amounts)</w:t>
      </w:r>
    </w:p>
    <w:p>
      <w:pPr>
        <w:pStyle w:val="TextBody"/>
        <w:spacing w:before="0" w:after="0"/>
        <w:jc w:val="center"/>
        <w:rPr/>
      </w:pPr>
      <w:r>
        <w:rPr/>
      </w:r>
    </w:p>
    <w:tbl>
      <w:tblPr>
        <w:tblW w:w="8818" w:type="dxa"/>
        <w:jc w:val="left"/>
        <w:tblInd w:w="0" w:type="dxa"/>
        <w:tblCellMar>
          <w:top w:w="28" w:type="dxa"/>
          <w:left w:w="28" w:type="dxa"/>
          <w:bottom w:w="28" w:type="dxa"/>
          <w:right w:w="28" w:type="dxa"/>
        </w:tblCellMar>
      </w:tblPr>
      <w:tblGrid>
        <w:gridCol w:w="1839"/>
        <w:gridCol w:w="1620"/>
        <w:gridCol w:w="1626"/>
        <w:gridCol w:w="109"/>
        <w:gridCol w:w="109"/>
        <w:gridCol w:w="109"/>
        <w:gridCol w:w="491"/>
        <w:gridCol w:w="403"/>
        <w:gridCol w:w="407"/>
        <w:gridCol w:w="253"/>
        <w:gridCol w:w="253"/>
        <w:gridCol w:w="253"/>
        <w:gridCol w:w="491"/>
        <w:gridCol w:w="353"/>
        <w:gridCol w:w="502"/>
      </w:tblGrid>
      <w:tr>
        <w:trPr/>
        <w:tc>
          <w:tcPr>
            <w:tcW w:w="1839"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top w:val="single" w:sz="8" w:space="0" w:color="000000"/>
              <w:left w:val="single" w:sz="8"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06" w:type="dxa"/>
            <w:gridSpan w:val="9"/>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300" w:before="0" w:after="283"/>
              <w:jc w:val="center"/>
              <w:rPr>
                <w:color w:val="000000"/>
              </w:rPr>
            </w:pPr>
            <w:r>
              <w:rPr>
                <w:color w:val="000000"/>
              </w:rPr>
              <w:t> </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12,610</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17,625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9,589 </w:t>
            </w:r>
          </w:p>
        </w:tc>
        <w:tc>
          <w:tcPr>
            <w:tcW w:w="4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7,440</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22,199 </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top w:w="3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25,065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Operating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(22,199)</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top w:w="3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(25,065)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Other income/(expense)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4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1,302</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2,677 </w:t>
            </w:r>
          </w:p>
        </w:tc>
        <w:tc>
          <w:tcPr>
            <w:tcW w:w="4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(293)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(84)</w:t>
            </w:r>
          </w:p>
        </w:tc>
      </w:tr>
      <w:tr>
        <w:trPr/>
        <w:tc>
          <w:tcPr>
            <w:tcW w:w="50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Foreign exchange gain/(loss)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4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(923)</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Total other income,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5,629 </w:t>
            </w:r>
          </w:p>
        </w:tc>
        <w:tc>
          <w:tcPr>
            <w:tcW w:w="40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top w:w="3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310</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Loss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(16,570)</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top w:w="3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(24,755)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(82)</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(16,743)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top w:val="single" w:sz="8" w:space="0" w:color="000000"/>
              <w:right w:val="single" w:sz="8" w:space="0" w:color="000000"/>
            </w:tcBorders>
            <w:shd w:fill="auto" w:val="clear"/>
            <w:tcMar>
              <w:top w:w="3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(24,837)</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double" w:sz="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6"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 – basic and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621,451</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481,942</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Loss per ordinary share – basic and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(0.05)</w:t>
            </w:r>
          </w:p>
        </w:tc>
      </w:tr>
      <w:tr>
        <w:trPr/>
        <w:tc>
          <w:tcPr>
            <w:tcW w:w="5085" w:type="dxa"/>
            <w:gridSpan w:val="3"/>
            <w:tcBorders>
              <w:left w:val="single" w:sz="8" w:space="0" w:color="000000"/>
            </w:tcBorders>
            <w:shd w:fill="auto" w:val="clear"/>
            <w:tcMar>
              <w:top w:w="0" w:type="dxa"/>
              <w:bottom w:w="0" w:type="dxa"/>
              <w:right w:w="0" w:type="dxa"/>
            </w:tcMar>
            <w:vAlign w:val="center"/>
          </w:tcPr>
          <w:p>
            <w:pPr>
              <w:pStyle w:val="TableContents"/>
              <w:spacing w:before="0" w:after="0"/>
              <w:jc w:val="left"/>
              <w:rPr/>
            </w:pPr>
            <w:r>
              <w:rPr/>
            </w:r>
          </w:p>
          <w:p>
            <w:pPr>
              <w:pStyle w:val="TableContents"/>
              <w:spacing w:lineRule="auto" w:line="240" w:before="0" w:after="0"/>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double" w:sz="6" w:space="0" w:color="000000"/>
            </w:tcBorders>
            <w:shd w:fill="auto" w:val="clear"/>
            <w:tcMar>
              <w:top w:w="3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Mar-31</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6" w:space="0" w:color="000000"/>
              <w:right w:val="single" w:sz="8" w:space="0" w:color="000000"/>
            </w:tcBorders>
            <w:shd w:fill="auto" w:val="clear"/>
            <w:tcMar>
              <w:top w:w="30" w:type="dxa"/>
              <w:left w:w="0" w:type="dxa"/>
              <w:bottom w:w="0" w:type="dxa"/>
            </w:tcMar>
            <w:vAlign w:val="center"/>
          </w:tcPr>
          <w:p>
            <w:pPr>
              <w:pStyle w:val="TableContents"/>
              <w:spacing w:before="0" w:after="0"/>
              <w:jc w:val="center"/>
              <w:rPr/>
            </w:pPr>
            <w:r>
              <w:rPr/>
            </w:r>
          </w:p>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Mar-31</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right w:val="single" w:sz="8" w:space="0" w:color="000000"/>
            </w:tcBorders>
            <w:shd w:fill="auto" w:val="clear"/>
            <w:tcMar>
              <w:top w:w="0" w:type="dxa"/>
              <w:left w:w="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291,415</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132,764</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323,146</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169,315</w:t>
            </w:r>
          </w:p>
        </w:tc>
      </w:tr>
      <w:tr>
        <w:trPr/>
        <w:tc>
          <w:tcPr>
            <w:tcW w:w="5085" w:type="dxa"/>
            <w:gridSpan w:val="3"/>
            <w:tcBorders>
              <w:left w:val="single" w:sz="8" w:space="0" w:color="000000"/>
            </w:tcBorders>
            <w:shd w:fill="auto" w:val="clear"/>
            <w:tcMar>
              <w:top w:w="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gridSpan w:val="2"/>
            <w:tcBorders/>
            <w:shd w:fill="auto" w:val="clear"/>
            <w:tcMar>
              <w:top w:w="0" w:type="dxa"/>
              <w:left w:w="0" w:type="dxa"/>
              <w:bottom w:w="0" w:type="dxa"/>
              <w:right w:w="0"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276,749</w:t>
            </w:r>
          </w:p>
        </w:tc>
        <w:tc>
          <w:tcPr>
            <w:tcW w:w="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5" w:type="dxa"/>
            <w:gridSpan w:val="2"/>
            <w:tcBorders>
              <w:right w:val="single" w:sz="8" w:space="0" w:color="000000"/>
            </w:tcBorders>
            <w:shd w:fill="auto" w:val="clear"/>
            <w:tcMar>
              <w:top w:w="0" w:type="dxa"/>
              <w:left w:w="0" w:type="dxa"/>
              <w:bottom w:w="0" w:type="dxa"/>
              <w:right w:w="75" w:type="dxa"/>
            </w:tcMar>
            <w:vAlign w:val="center"/>
          </w:tcPr>
          <w:p>
            <w:pPr>
              <w:pStyle w:val="TableContents"/>
              <w:spacing w:lineRule="auto" w:line="300" w:before="0" w:after="283"/>
              <w:jc w:val="right"/>
              <w:rPr>
                <w:rFonts w:ascii="Arial;sans-serif" w:hAnsi="Arial;sans-serif"/>
                <w:b w:val="false"/>
                <w:color w:val="000000"/>
                <w:sz w:val="20"/>
              </w:rPr>
            </w:pPr>
            <w:r>
              <w:rPr>
                <w:rFonts w:ascii="Arial;sans-serif" w:hAnsi="Arial;sans-serif"/>
                <w:b w:val="false"/>
                <w:color w:val="000000"/>
                <w:sz w:val="20"/>
              </w:rPr>
              <w:t>126,307</w:t>
            </w:r>
          </w:p>
        </w:tc>
      </w:tr>
      <w:tr>
        <w:trPr/>
        <w:tc>
          <w:tcPr>
            <w:tcW w:w="5085"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0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46" w:type="dxa"/>
            <w:gridSpan w:val="3"/>
            <w:tcBorders>
              <w:bottom w:val="single" w:sz="8" w:space="0" w:color="000000"/>
              <w:right w:val="single" w:sz="8" w:space="0" w:color="000000"/>
            </w:tcBorders>
            <w:shd w:fill="auto" w:val="clear"/>
            <w:tcMar>
              <w:top w:w="0" w:type="dxa"/>
              <w:left w:w="0" w:type="dxa"/>
              <w:right w:w="75" w:type="dxa"/>
            </w:tcMar>
            <w:vAlign w:val="center"/>
          </w:tcPr>
          <w:p>
            <w:pPr>
              <w:pStyle w:val="TableContents"/>
              <w:spacing w:before="0" w:after="283"/>
              <w:rPr>
                <w:sz w:val="4"/>
                <w:szCs w:val="4"/>
              </w:rPr>
            </w:pPr>
            <w:r>
              <w:rPr>
                <w:sz w:val="4"/>
                <w:szCs w:val="4"/>
              </w:rPr>
            </w:r>
          </w:p>
        </w:tc>
      </w:tr>
    </w:tbl>
    <w:p>
      <w:pPr>
        <w:pStyle w:val="TextBody"/>
        <w:spacing w:before="0" w:after="200"/>
        <w:jc w:val="both"/>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Courier New">
    <w:altName w:val="monospace"/>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2747</Words>
  <CharactersWithSpaces>18289</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