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Rickard Kathleen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RIVERSIDE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SE1 2RE</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Verona Pharma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VRNA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00" w:type="dxa"/>
            <w:vAlign w:val="bottom"/>
            <w:tcBorders>
              <w:bottom w:val="single" w:sz="8" w:color="0000EE"/>
            </w:tcBorders>
          </w:tcPr>
          <w:p>
            <w:pPr>
              <w:spacing w:after="0"/>
              <w:rPr>
                <w:sz w:val="3"/>
                <w:szCs w:val="3"/>
                <w:color w:val="auto"/>
              </w:rPr>
            </w:pPr>
          </w:p>
        </w:tc>
        <w:tc>
          <w:tcPr>
            <w:tcW w:w="2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21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08/01/2024</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7"/>
                <w:szCs w:val="17"/>
                <w:color w:val="0000FF"/>
              </w:rPr>
              <w:t>Chief Medical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08/01/2024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(2)</w:t>
            </w:r>
          </w:p>
        </w:tc>
        <w:tc>
          <w:tcPr>
            <w:tcW w:w="8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106,232</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2060" w:type="dxa"/>
            <w:vAlign w:val="bottom"/>
            <w:tcBorders>
              <w:bottom w:val="single" w:sz="8" w:color="2C2C2C"/>
            </w:tcBorders>
            <w:gridSpan w:val="5"/>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2.8325</w:t>
            </w:r>
            <w:r>
              <w:rPr>
                <w:rFonts w:ascii="Times New Roman" w:cs="Times New Roman" w:eastAsia="Times New Roman" w:hAnsi="Times New Roman"/>
                <w:sz w:val="22"/>
                <w:szCs w:val="22"/>
                <w:color w:val="008000"/>
                <w:vertAlign w:val="superscript"/>
              </w:rPr>
              <w:t>(3)</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0000FF"/>
              </w:rPr>
              <w:t>2,515,320</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Ordinary Shares withheld to satisfy the tax withholding obligation in connection with the vesting of certain previously reported Restricted Share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the closing price of the Issuer's ADSs on the Nasdaq Stock Market LLC on July 31, 2024 divided by eight (8).</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635,000 Ordinary Shares underlying Restricted Share Units, each of which represents a contingent right to receive one (1) Ordinary Share of the Issuer (which are represented by 79,375 ADSs); and (ii) 1,880,320 Ordinary Shares underlying 235,040 ADSs.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Andrew Fisher,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661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Kathleen A.</w:t>
      </w:r>
      <w:r>
        <w:rPr>
          <w:sz w:val="20"/>
          <w:szCs w:val="20"/>
          <w:color w:val="auto"/>
        </w:rPr>
        <w:tab/>
      </w:r>
      <w:r>
        <w:rPr>
          <w:rFonts w:ascii="Times New Roman" w:cs="Times New Roman" w:eastAsia="Times New Roman" w:hAnsi="Times New Roman"/>
          <w:sz w:val="17"/>
          <w:szCs w:val="17"/>
          <w:color w:val="0000FF"/>
        </w:rPr>
        <w:t>08/05/2024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Rickard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479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479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16 AND FORM 144</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96" w:lineRule="exact"/>
        <w:rPr>
          <w:sz w:val="20"/>
          <w:szCs w:val="20"/>
          <w:color w:val="auto"/>
        </w:rPr>
      </w:pPr>
    </w:p>
    <w:p>
      <w:pPr>
        <w:jc w:val="both"/>
        <w:ind w:right="20" w:firstLine="640"/>
        <w:spacing w:after="0" w:line="264"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Verona Pharma plc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the undersigned hereby constitutes and appoints the individuals named on </w:t>
      </w:r>
      <w:r>
        <w:rPr>
          <w:rFonts w:ascii="Times New Roman" w:cs="Times New Roman" w:eastAsia="Times New Roman" w:hAnsi="Times New Roman"/>
          <w:sz w:val="18"/>
          <w:szCs w:val="18"/>
          <w:b w:val="1"/>
          <w:bCs w:val="1"/>
          <w:u w:val="single" w:color="auto"/>
          <w:color w:val="auto"/>
        </w:rPr>
        <w:t>Schedule A</w:t>
      </w:r>
      <w:r>
        <w:rPr>
          <w:rFonts w:ascii="Times New Roman" w:cs="Times New Roman" w:eastAsia="Times New Roman" w:hAnsi="Times New Roman"/>
          <w:sz w:val="18"/>
          <w:szCs w:val="18"/>
          <w:color w:val="auto"/>
        </w:rPr>
        <w:t xml:space="preserve"> attached hereto and as may be amended from time to time, or any of them signing singly, with full power of substitution and resubstitution, to act as the undersigned’s true and lawful attorney-in-fact to:</w:t>
      </w:r>
    </w:p>
    <w:p>
      <w:pPr>
        <w:spacing w:after="0" w:line="174" w:lineRule="exact"/>
        <w:rPr>
          <w:sz w:val="20"/>
          <w:szCs w:val="20"/>
          <w:color w:val="auto"/>
        </w:rPr>
      </w:pPr>
    </w:p>
    <w:p>
      <w:pPr>
        <w:jc w:val="both"/>
        <w:ind w:left="1120" w:hanging="474"/>
        <w:spacing w:after="0" w:line="256"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2" w:lineRule="exact"/>
        <w:rPr>
          <w:rFonts w:ascii="Times New Roman" w:cs="Times New Roman" w:eastAsia="Times New Roman" w:hAnsi="Times New Roman"/>
          <w:sz w:val="18"/>
          <w:szCs w:val="18"/>
          <w:color w:val="auto"/>
        </w:rPr>
      </w:pPr>
    </w:p>
    <w:p>
      <w:pPr>
        <w:jc w:val="both"/>
        <w:ind w:left="1120" w:right="20" w:hanging="474"/>
        <w:spacing w:after="0" w:line="256"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spacing w:after="0" w:line="183"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84" w:lineRule="exact"/>
        <w:rPr>
          <w:sz w:val="20"/>
          <w:szCs w:val="20"/>
          <w:color w:val="auto"/>
        </w:rPr>
      </w:pPr>
    </w:p>
    <w:p>
      <w:pPr>
        <w:jc w:val="both"/>
        <w:ind w:right="20" w:firstLine="640"/>
        <w:spacing w:after="0" w:line="261"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178" w:lineRule="exact"/>
        <w:rPr>
          <w:sz w:val="20"/>
          <w:szCs w:val="20"/>
          <w:color w:val="auto"/>
        </w:rPr>
      </w:pPr>
    </w:p>
    <w:p>
      <w:pPr>
        <w:jc w:val="both"/>
        <w:ind w:firstLine="640"/>
        <w:spacing w:after="0" w:line="261"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any Schedule 13D,Schedule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day of May, 2024.</w:t>
      </w:r>
    </w:p>
    <w:p>
      <w:pPr>
        <w:spacing w:after="0" w:line="12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Kathleen Rickard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15875</wp:posOffset>
            </wp:positionV>
            <wp:extent cx="34778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Kathleen Rickard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434975</wp:posOffset>
            </wp:positionV>
            <wp:extent cx="69640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ectPr>
          <w:pgSz w:w="11900" w:h="16838" w:orient="portrait"/>
          <w:cols w:equalWidth="0" w:num="1">
            <w:col w:w="10980"/>
          </w:cols>
          <w:pgMar w:left="460" w:top="359" w:right="459" w:bottom="1440" w:gutter="0" w:footer="0" w:header="0"/>
        </w:sectPr>
      </w:pPr>
    </w:p>
    <w:bookmarkStart w:id="2" w:name="page3"/>
    <w:bookmarkEnd w:id="2"/>
    <w:p>
      <w:pPr>
        <w:jc w:val="center"/>
        <w:ind w:right="-980"/>
        <w:spacing w:after="0"/>
        <w:rPr>
          <w:sz w:val="20"/>
          <w:szCs w:val="20"/>
          <w:color w:val="auto"/>
        </w:rPr>
      </w:pPr>
      <w:r>
        <w:rPr>
          <w:rFonts w:ascii="Times New Roman" w:cs="Times New Roman" w:eastAsia="Times New Roman" w:hAnsi="Times New Roman"/>
          <w:sz w:val="18"/>
          <w:szCs w:val="18"/>
          <w:u w:val="single" w:color="auto"/>
          <w:color w:val="auto"/>
        </w:rPr>
        <w:t>Schedule A</w:t>
      </w:r>
    </w:p>
    <w:p>
      <w:pPr>
        <w:spacing w:after="0" w:line="21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INDIVIDUALS APPOINTED AS ATTORNEY-IN-FACT,</w:t>
      </w:r>
    </w:p>
    <w:p>
      <w:pPr>
        <w:spacing w:after="0" w:line="2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7"/>
          <w:szCs w:val="17"/>
          <w:b w:val="1"/>
          <w:bCs w:val="1"/>
          <w:color w:val="auto"/>
        </w:rPr>
        <w:t>WITH FULL POWER OF SUBSTITUTION AND RESUBSTITUTION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Andrew Fisher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Mark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426720</wp:posOffset>
            </wp:positionV>
            <wp:extent cx="69640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sectPr>
      <w:pgSz w:w="11900" w:h="16838" w:orient="portrait"/>
      <w:cols w:equalWidth="0" w:num="1">
        <w:col w:w="9999"/>
      </w:cols>
      <w:pgMar w:left="460" w:top="8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2" Type="http://schemas.openxmlformats.org/officeDocument/2006/relationships/hyperlink" Target="http://www.sec.gov/cgi-bin/browse-edgar?action=getcompany&amp;CIK=0001836883"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2024-08-05T20:39:27Z</dcterms:created>
  <dcterms:modified xsi:type="dcterms:W3CDTF">2024-08-05T20:39:27Z</dcterms:modified>
</cp:coreProperties>
</file>