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ZACCARDELLI DAVID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 MORE LONDON RIVERSIDE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Verona Pharma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VRNA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SE1 2RE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14,404,752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166,728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7.1625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 xml:space="preserve">  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14,238,024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Reported securities are represented by American Depositary Shares ("ADSs"), each of which represents eight (8) Ordinary Shares of the Issuer.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award of Ordinary Shares upon vesting of Performance Restricted Share Units in connection with the Issuer's first commercial sale of ensifentrine.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number of Ordinary Shares withheld to satisfy the tax withholding obligation in connection with the vesting of certain previously reported Restricted Share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represents the closing price of the Issuer's ADSs on the Nasdaq Stock Market LLC on January 31, 2025 divided by eight (8).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(i) 2,725,000 Ordinary Shares underlying Restricted Share Units, each of which represents a contingent right to receive one (1) Ordinary Share of the Issuer (which are represented by 340,625 ADSs); and (ii) 11,513,024 Ordinary Shares underlying 1,439,128 ADSs.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Andrew Fisher,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David Zaccardelli</w:t>
            </w:r>
          </w:p>
        </w:tc>
        <w:tc>
          <w:tcPr>
            <w:tcW w:w="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27642" TargetMode="External"/><Relationship Id="rId14" Type="http://schemas.openxmlformats.org/officeDocument/2006/relationships/hyperlink" Target="http://www.sec.gov/cgi-bin/browse-edgar?action=getcompany&amp;CIK=00016573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2025-02-04T15:47:16Z</dcterms:created>
  <dcterms:modified xsi:type="dcterms:W3CDTF">2025-02-04T15:47:16Z</dcterms:modified>
</cp:coreProperties>
</file>