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3" w:lineRule="exact"/>
        <w:rPr>
          <w:sz w:val="24"/>
          <w:szCs w:val="24"/>
          <w:color w:val="auto"/>
        </w:rPr>
      </w:pPr>
    </w:p>
    <w:p>
      <w:pPr>
        <w:ind w:left="1480" w:hanging="309"/>
        <w:spacing w:after="0"/>
        <w:tabs>
          <w:tab w:leader="none" w:pos="1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6" w:lineRule="exact"/>
        <w:rPr>
          <w:sz w:val="24"/>
          <w:szCs w:val="24"/>
          <w:color w:val="auto"/>
        </w:rPr>
      </w:pPr>
    </w:p>
    <w:p>
      <w:pPr>
        <w:ind w:left="1480" w:hanging="314"/>
        <w:spacing w:after="0"/>
        <w:tabs>
          <w:tab w:leader="none" w:pos="1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 TO 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001-38067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Verona Pharma plc</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5"/>
                <w:szCs w:val="15"/>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w w:val="99"/>
              </w:rPr>
              <w:t>United Kingdom</w:t>
            </w:r>
          </w:p>
        </w:tc>
        <w:tc>
          <w:tcPr>
            <w:tcW w:w="3640" w:type="dxa"/>
            <w:vAlign w:val="bottom"/>
          </w:tcPr>
          <w:p>
            <w:pPr>
              <w:spacing w:after="0"/>
              <w:rPr>
                <w:sz w:val="16"/>
                <w:szCs w:val="16"/>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4"/>
                <w:szCs w:val="14"/>
                <w:b w:val="1"/>
                <w:bCs w:val="1"/>
                <w:color w:val="auto"/>
              </w:rPr>
              <w:t>98-1489389</w:t>
            </w:r>
          </w:p>
        </w:tc>
      </w:tr>
      <w:tr>
        <w:trPr>
          <w:trHeight w:val="151"/>
        </w:trPr>
        <w:tc>
          <w:tcPr>
            <w:tcW w:w="7420" w:type="dxa"/>
            <w:vAlign w:val="bottom"/>
            <w:gridSpan w:val="2"/>
          </w:tcPr>
          <w:p>
            <w:pPr>
              <w:jc w:val="center"/>
              <w:ind w:right="2155"/>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40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3 More London Riverside</w:t>
            </w:r>
          </w:p>
        </w:tc>
        <w:tc>
          <w:tcPr>
            <w:tcW w:w="3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London SE1 2RE United Kingdom</w:t>
            </w:r>
          </w:p>
        </w:tc>
        <w:tc>
          <w:tcPr>
            <w:tcW w:w="3640" w:type="dxa"/>
            <w:vAlign w:val="bottom"/>
          </w:tcPr>
          <w:p>
            <w:pPr>
              <w:spacing w:after="0"/>
              <w:rPr>
                <w:sz w:val="16"/>
                <w:szCs w:val="16"/>
                <w:color w:val="auto"/>
              </w:rPr>
            </w:pPr>
          </w:p>
        </w:tc>
        <w:tc>
          <w:tcPr>
            <w:tcW w:w="3840" w:type="dxa"/>
            <w:vAlign w:val="bottom"/>
          </w:tcPr>
          <w:p>
            <w:pPr>
              <w:jc w:val="center"/>
              <w:ind w:right="1236"/>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72"/>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640" w:type="dxa"/>
            <w:vAlign w:val="bottom"/>
          </w:tcPr>
          <w:p>
            <w:pPr>
              <w:spacing w:after="0"/>
              <w:rPr>
                <w:sz w:val="14"/>
                <w:szCs w:val="14"/>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15"/>
        </w:trPr>
        <w:tc>
          <w:tcPr>
            <w:tcW w:w="3780" w:type="dxa"/>
            <w:vAlign w:val="bottom"/>
          </w:tcPr>
          <w:p>
            <w:pPr>
              <w:spacing w:after="0"/>
              <w:rPr>
                <w:sz w:val="18"/>
                <w:szCs w:val="18"/>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+44 203 283 4200</w:t>
            </w:r>
          </w:p>
        </w:tc>
        <w:tc>
          <w:tcPr>
            <w:tcW w:w="3840" w:type="dxa"/>
            <w:vAlign w:val="bottom"/>
          </w:tcPr>
          <w:p>
            <w:pPr>
              <w:spacing w:after="0"/>
              <w:rPr>
                <w:sz w:val="18"/>
                <w:szCs w:val="18"/>
                <w:color w:val="auto"/>
              </w:rPr>
            </w:pPr>
          </w:p>
        </w:tc>
      </w:tr>
      <w:tr>
        <w:trPr>
          <w:trHeight w:val="186"/>
        </w:trPr>
        <w:tc>
          <w:tcPr>
            <w:tcW w:w="3780" w:type="dxa"/>
            <w:vAlign w:val="bottom"/>
          </w:tcPr>
          <w:p>
            <w:pPr>
              <w:spacing w:after="0"/>
              <w:rPr>
                <w:sz w:val="16"/>
                <w:szCs w:val="16"/>
                <w:color w:val="auto"/>
              </w:rPr>
            </w:pPr>
          </w:p>
        </w:tc>
        <w:tc>
          <w:tcPr>
            <w:tcW w:w="364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16"/>
                <w:szCs w:val="16"/>
                <w:color w:val="auto"/>
              </w:rPr>
            </w:pPr>
          </w:p>
        </w:tc>
      </w:tr>
      <w:tr>
        <w:trPr>
          <w:trHeight w:val="319"/>
        </w:trPr>
        <w:tc>
          <w:tcPr>
            <w:tcW w:w="3780" w:type="dxa"/>
            <w:vAlign w:val="bottom"/>
            <w:tcBorders>
              <w:bottom w:val="single" w:sz="8" w:color="auto"/>
            </w:tcBorders>
          </w:tcPr>
          <w:p>
            <w:pPr>
              <w:jc w:val="center"/>
              <w:ind w:left="109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Borders>
              <w:bottom w:val="single" w:sz="8" w:color="auto"/>
            </w:tcBorders>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80" w:type="dxa"/>
            <w:vAlign w:val="bottom"/>
          </w:tcPr>
          <w:p>
            <w:pPr>
              <w:jc w:val="center"/>
              <w:ind w:left="1115"/>
              <w:spacing w:after="0"/>
              <w:rPr>
                <w:sz w:val="20"/>
                <w:szCs w:val="20"/>
                <w:color w:val="auto"/>
              </w:rPr>
            </w:pPr>
            <w:r>
              <w:rPr>
                <w:rFonts w:ascii="Times New Roman" w:cs="Times New Roman" w:eastAsia="Times New Roman" w:hAnsi="Times New Roman"/>
                <w:sz w:val="11"/>
                <w:szCs w:val="11"/>
                <w:color w:val="auto"/>
              </w:rPr>
              <w:t>Ordinary shares, nominal value £0.05 per share*</w:t>
            </w:r>
          </w:p>
        </w:tc>
        <w:tc>
          <w:tcPr>
            <w:tcW w:w="3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VRNA</w:t>
            </w:r>
          </w:p>
        </w:tc>
        <w:tc>
          <w:tcPr>
            <w:tcW w:w="3840" w:type="dxa"/>
            <w:vAlign w:val="bottom"/>
          </w:tcPr>
          <w:p>
            <w:pPr>
              <w:jc w:val="center"/>
              <w:ind w:right="1056"/>
              <w:spacing w:after="0"/>
              <w:rPr>
                <w:sz w:val="20"/>
                <w:szCs w:val="20"/>
                <w:color w:val="auto"/>
              </w:rPr>
            </w:pPr>
            <w:r>
              <w:rPr>
                <w:rFonts w:ascii="Times New Roman" w:cs="Times New Roman" w:eastAsia="Times New Roman" w:hAnsi="Times New Roman"/>
                <w:sz w:val="11"/>
                <w:szCs w:val="11"/>
                <w:color w:val="auto"/>
              </w:rPr>
              <w:t>The Nasdaq Stock Market LLC (Nasdaq Global Market)</w:t>
            </w:r>
          </w:p>
        </w:tc>
      </w:tr>
    </w:tbl>
    <w:p>
      <w:pPr>
        <w:spacing w:after="0" w:line="150" w:lineRule="exact"/>
        <w:rPr>
          <w:sz w:val="24"/>
          <w:szCs w:val="24"/>
          <w:color w:val="auto"/>
        </w:rPr>
      </w:pPr>
    </w:p>
    <w:p>
      <w:pPr>
        <w:ind w:right="440" w:firstLine="5"/>
        <w:spacing w:after="0" w:line="300" w:lineRule="auto"/>
        <w:tabs>
          <w:tab w:leader="none" w:pos="85"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53" w:lineRule="exact"/>
        <w:rPr>
          <w:sz w:val="24"/>
          <w:szCs w:val="24"/>
          <w:color w:val="auto"/>
        </w:rPr>
      </w:pPr>
    </w:p>
    <w:p>
      <w:pPr>
        <w:ind w:right="1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4"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April 23, 2025, the registrant had 681,056,022 ordinary shares, nominal value £0.05 per share, outstanding, which if all held in ADS form, would be represented by 85,132,003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728980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1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Page</w:t>
            </w:r>
          </w:p>
        </w:tc>
      </w:tr>
      <w:tr>
        <w:trPr>
          <w:trHeight w:val="160"/>
        </w:trPr>
        <w:tc>
          <w:tcPr>
            <w:tcW w:w="2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PART I - FINANCIAL INFORMATION</w:t>
            </w:r>
          </w:p>
        </w:tc>
        <w:tc>
          <w:tcPr>
            <w:tcW w:w="1080" w:type="dxa"/>
            <w:vAlign w:val="bottom"/>
          </w:tcPr>
          <w:p>
            <w:pPr>
              <w:spacing w:after="0"/>
              <w:rPr>
                <w:sz w:val="13"/>
                <w:szCs w:val="13"/>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0"/>
        </w:trPr>
        <w:tc>
          <w:tcPr>
            <w:tcW w:w="20" w:type="dxa"/>
            <w:vAlign w:val="bottom"/>
            <w:shd w:val="clear" w:color="auto" w:fill="CCEEFF"/>
          </w:tcPr>
          <w:p>
            <w:pPr>
              <w:spacing w:after="0"/>
              <w:rPr>
                <w:sz w:val="15"/>
                <w:szCs w:val="15"/>
                <w:color w:val="auto"/>
              </w:rPr>
            </w:pPr>
          </w:p>
        </w:tc>
        <w:tc>
          <w:tcPr>
            <w:tcW w:w="10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1080" w:type="dxa"/>
            <w:vAlign w:val="bottom"/>
            <w:shd w:val="clear" w:color="auto" w:fill="CCEEFF"/>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1A.</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5</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6</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916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II, Item 1A. “Risk Factors” in this Quarterly Report on Form 10-Q. You should carefully consider these risks and uncertainties when investing in our ADSs. The principal risks and uncertainties affecting our business include the following:</w:t>
      </w:r>
    </w:p>
    <w:p>
      <w:pPr>
        <w:spacing w:after="0" w:line="50"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have not generated any significant product revenue.</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credit facility place restrictions on our operating and financial flexibility, and our existing and any future indebtedness could adversely affect our ability to operate our business;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solely on the success of ensifentrine, which was recently approved by the FDA as Ohtuvayre. If we are unable to continue to commercialize Ohtuvayre, or successfully develop ensifentrine for other indications, our ability to generate revenue and our financial condition will be adversely affected;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additional costs or experience delays in completing, or ultimately be unable to complete, the development and commercialization of our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and product candidates may have serious adverse, undesirable or unacceptable side effects which may delay or prevent marketing approval;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enroll patients in our clinical trials for other indications, or enrollment is slower than anticipated, our research and development efforts could be adversely affected;</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exposed to costly and damaging liability claims, either when testing ensifentrine in the clinic or at the commercial stage, and our product liability insurance may not cover all damages from such claims;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 processes are lengthy, time consuming and inherently unpredictable, and if we are ultimately unable to obtain regulatory approval for our product candidates, our business will be substantially harmed;</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Enacted and future legislation may increase the difficulty and cost for us to obtain marketing approval of and commercialize our product candidates and may affect the prices we may set;</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and rapidly changing industry, which may result in others discovering, developing or commercializing competing products before or more successfully than we do;</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products, including Ohtuvayre, do not gain market acceptance or if we fail to accurately forecast demand or manage our inventories, our business will suffer because we might not be able to fund future operations;</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capabilities and infrastructure, including sales, marketing, operations, manufacturing, distribution, and reimbursement infrastructure, may not be adequate to successfully commercialize Ohtuvayre;</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including independent clinical investigators and clinical research organizations, to conduct our pre-clinical studies and clinical trials;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enter into new strategic relationships for ensifentrine, our business, research and development and commercialization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3" w:name="page4"/>
    <w:bookmarkEnd w:id="3"/>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party manufacturers and suppliers for production of the active pharmaceutical ingredient ensifentrine and formulated drug products derived therefrom. Our dependence on these third parties may impair continued commercialization of Ohtuvayre and the advancement of our research and development programs;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for the sales, marketing, reimbursement and distribution of our drug products, and a failure by these third parties to adequately perform would adversely affect our business;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our manufacturers’, suppliers’ and other critical third parties’ cybersecurity risk management program and processes may not be effective in protecting our systems, networks and Confidential Information;</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patents and other intellectual property rights to protect ensifentrine, the enforcement, defense and maintenance of which may be challenging and costly;</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6"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and ability to compete depends on our ability to retain our key personnel and recruit additional qualified personnel;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development, regulatory and sales and marketing capabilities, and as a result, we may encounter difficulties in managing our growth, which could disrupt our operations;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American Depositary Shares may be volatile and may fluctuate due to factors beyond our control;</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continue to incur increased costs as a result of operating as a public company in the United States, and our senior management are required to devote substantial time to new compliance initiatives and corporate governance practices; and</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could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 w:name="page5"/>
    <w:bookmarkEnd w:id="4"/>
    <w:p>
      <w:pPr>
        <w:jc w:val="right"/>
        <w:ind w:right="303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4"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2"/>
                <w:szCs w:val="12"/>
                <w:color w:val="auto"/>
              </w:rPr>
            </w:pPr>
          </w:p>
        </w:tc>
        <w:tc>
          <w:tcPr>
            <w:tcW w:w="11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30"/>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401,415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399,757</w:t>
            </w: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62,159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31,496</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7,573</w:t>
            </w: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incentive receivable</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5,762</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6,249</w:t>
            </w:r>
          </w:p>
        </w:tc>
        <w:tc>
          <w:tcPr>
            <w:tcW w:w="0" w:type="dxa"/>
            <w:vAlign w:val="bottom"/>
          </w:tcPr>
          <w:p>
            <w:pPr>
              <w:spacing w:after="0"/>
              <w:rPr>
                <w:sz w:val="1"/>
                <w:szCs w:val="1"/>
                <w:color w:val="auto"/>
              </w:rPr>
            </w:pPr>
          </w:p>
        </w:tc>
      </w:tr>
      <w:tr>
        <w:trPr>
          <w:trHeight w:val="168"/>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12,955</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w:t>
            </w:r>
          </w:p>
        </w:tc>
        <w:tc>
          <w:tcPr>
            <w:tcW w:w="0" w:type="dxa"/>
            <w:vAlign w:val="bottom"/>
          </w:tcPr>
          <w:p>
            <w:pPr>
              <w:spacing w:after="0"/>
              <w:rPr>
                <w:sz w:val="1"/>
                <w:szCs w:val="1"/>
                <w:color w:val="auto"/>
              </w:rPr>
            </w:pPr>
          </w:p>
        </w:tc>
      </w:tr>
      <w:tr>
        <w:trPr>
          <w:trHeight w:val="163"/>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501,025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453,572</w:t>
            </w:r>
          </w:p>
        </w:tc>
        <w:tc>
          <w:tcPr>
            <w:tcW w:w="0" w:type="dxa"/>
            <w:vAlign w:val="bottom"/>
          </w:tcPr>
          <w:p>
            <w:pPr>
              <w:spacing w:after="0"/>
              <w:rPr>
                <w:sz w:val="1"/>
                <w:szCs w:val="1"/>
                <w:color w:val="auto"/>
              </w:rPr>
            </w:pPr>
          </w:p>
        </w:tc>
      </w:tr>
      <w:tr>
        <w:trPr>
          <w:trHeight w:val="127"/>
        </w:trPr>
        <w:tc>
          <w:tcPr>
            <w:tcW w:w="8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Furniture and equipment, net</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Inventory, long-term</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interest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68"/>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Right-of-use assets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0" w:type="dxa"/>
            <w:vAlign w:val="bottom"/>
          </w:tcPr>
          <w:p>
            <w:pPr>
              <w:spacing w:after="0"/>
              <w:rPr>
                <w:sz w:val="1"/>
                <w:szCs w:val="1"/>
                <w:color w:val="auto"/>
              </w:rPr>
            </w:pPr>
          </w:p>
        </w:tc>
      </w:tr>
      <w:tr>
        <w:trPr>
          <w:trHeight w:val="163"/>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24,911</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20,670</w:t>
            </w:r>
          </w:p>
        </w:tc>
        <w:tc>
          <w:tcPr>
            <w:tcW w:w="0" w:type="dxa"/>
            <w:vAlign w:val="bottom"/>
          </w:tcPr>
          <w:p>
            <w:pPr>
              <w:spacing w:after="0"/>
              <w:rPr>
                <w:sz w:val="1"/>
                <w:szCs w:val="1"/>
                <w:color w:val="auto"/>
              </w:rPr>
            </w:pPr>
          </w:p>
        </w:tc>
      </w:tr>
      <w:tr>
        <w:trPr>
          <w:trHeight w:val="158"/>
        </w:trPr>
        <w:tc>
          <w:tcPr>
            <w:tcW w:w="8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525,936</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474,242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83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408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9,077</w:t>
            </w:r>
          </w:p>
        </w:tc>
        <w:tc>
          <w:tcPr>
            <w:tcW w:w="16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32,335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16,757</w:t>
            </w: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Royalties payable</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Revenue interest purchase security agreement</w:t>
            </w: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 payable</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0" w:type="dxa"/>
            <w:vAlign w:val="bottom"/>
          </w:tcPr>
          <w:p>
            <w:pPr>
              <w:spacing w:after="0"/>
              <w:rPr>
                <w:sz w:val="1"/>
                <w:szCs w:val="1"/>
                <w:color w:val="auto"/>
              </w:rPr>
            </w:pPr>
          </w:p>
        </w:tc>
      </w:tr>
      <w:tr>
        <w:trPr>
          <w:trHeight w:val="168"/>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0" w:type="dxa"/>
            <w:vAlign w:val="bottom"/>
          </w:tcPr>
          <w:p>
            <w:pPr>
              <w:spacing w:after="0"/>
              <w:rPr>
                <w:sz w:val="1"/>
                <w:szCs w:val="1"/>
                <w:color w:val="auto"/>
              </w:rPr>
            </w:pPr>
          </w:p>
        </w:tc>
      </w:tr>
      <w:tr>
        <w:trPr>
          <w:trHeight w:val="163"/>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56,544</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42,681</w:t>
            </w:r>
          </w:p>
        </w:tc>
        <w:tc>
          <w:tcPr>
            <w:tcW w:w="0" w:type="dxa"/>
            <w:vAlign w:val="bottom"/>
          </w:tcPr>
          <w:p>
            <w:pPr>
              <w:spacing w:after="0"/>
              <w:rPr>
                <w:sz w:val="1"/>
                <w:szCs w:val="1"/>
                <w:color w:val="auto"/>
              </w:rPr>
            </w:pPr>
          </w:p>
        </w:tc>
      </w:tr>
      <w:tr>
        <w:trPr>
          <w:trHeight w:val="127"/>
        </w:trPr>
        <w:tc>
          <w:tcPr>
            <w:tcW w:w="8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 loan</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241,742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120,341</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Revenue interest purchase security agreement</w:t>
            </w: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105,420</w:t>
            </w:r>
          </w:p>
        </w:tc>
        <w:tc>
          <w:tcPr>
            <w:tcW w:w="0" w:type="dxa"/>
            <w:vAlign w:val="bottom"/>
          </w:tcPr>
          <w:p>
            <w:pPr>
              <w:spacing w:after="0"/>
              <w:rPr>
                <w:sz w:val="1"/>
                <w:szCs w:val="1"/>
                <w:color w:val="auto"/>
              </w:rPr>
            </w:pPr>
          </w:p>
        </w:tc>
      </w:tr>
      <w:tr>
        <w:trPr>
          <w:trHeight w:val="168"/>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0" w:type="dxa"/>
            <w:vAlign w:val="bottom"/>
          </w:tcPr>
          <w:p>
            <w:pPr>
              <w:spacing w:after="0"/>
              <w:rPr>
                <w:sz w:val="1"/>
                <w:szCs w:val="1"/>
                <w:color w:val="auto"/>
              </w:rPr>
            </w:pPr>
          </w:p>
        </w:tc>
      </w:tr>
      <w:tr>
        <w:trPr>
          <w:trHeight w:val="163"/>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242,797</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227,002</w:t>
            </w:r>
          </w:p>
        </w:tc>
        <w:tc>
          <w:tcPr>
            <w:tcW w:w="0" w:type="dxa"/>
            <w:vAlign w:val="bottom"/>
          </w:tcPr>
          <w:p>
            <w:pPr>
              <w:spacing w:after="0"/>
              <w:rPr>
                <w:sz w:val="1"/>
                <w:szCs w:val="1"/>
                <w:color w:val="auto"/>
              </w:rPr>
            </w:pPr>
          </w:p>
        </w:tc>
      </w:tr>
      <w:tr>
        <w:trPr>
          <w:trHeight w:val="158"/>
        </w:trPr>
        <w:tc>
          <w:tcPr>
            <w:tcW w:w="832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299,341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269,683</w:t>
            </w:r>
          </w:p>
        </w:tc>
        <w:tc>
          <w:tcPr>
            <w:tcW w:w="0" w:type="dxa"/>
            <w:vAlign w:val="bottom"/>
          </w:tcPr>
          <w:p>
            <w:pPr>
              <w:spacing w:after="0"/>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Ordinary £0.05 par value shares; 703,189,462 and 703,189,462 issued, and 681,056,022 and 677,008,254 outstanding, at March 31, 2025 and December 31,</w:t>
            </w:r>
          </w:p>
        </w:tc>
        <w:tc>
          <w:tcPr>
            <w:tcW w:w="2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45,021</w:t>
            </w:r>
          </w:p>
        </w:tc>
        <w:tc>
          <w:tcPr>
            <w:tcW w:w="0" w:type="dxa"/>
            <w:vAlign w:val="bottom"/>
          </w:tcPr>
          <w:p>
            <w:pPr>
              <w:spacing w:after="0"/>
              <w:rPr>
                <w:sz w:val="1"/>
                <w:szCs w:val="1"/>
                <w:color w:val="auto"/>
              </w:rPr>
            </w:pPr>
          </w:p>
        </w:tc>
      </w:tr>
      <w:tr>
        <w:trPr>
          <w:trHeight w:val="102"/>
        </w:trPr>
        <w:tc>
          <w:tcPr>
            <w:tcW w:w="8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 respectively</w:t>
            </w:r>
          </w:p>
        </w:tc>
        <w:tc>
          <w:tcPr>
            <w:tcW w:w="2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3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3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766,369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728,199</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Ordinary shares held in treasury</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0" w:type="dxa"/>
            <w:vAlign w:val="bottom"/>
          </w:tcPr>
          <w:p>
            <w:pPr>
              <w:spacing w:after="0"/>
              <w:rPr>
                <w:sz w:val="1"/>
                <w:szCs w:val="1"/>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(578,792)</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(562,401)</w:t>
            </w:r>
          </w:p>
        </w:tc>
        <w:tc>
          <w:tcPr>
            <w:tcW w:w="0" w:type="dxa"/>
            <w:vAlign w:val="bottom"/>
          </w:tcPr>
          <w:p>
            <w:pPr>
              <w:spacing w:after="0"/>
              <w:rPr>
                <w:sz w:val="1"/>
                <w:szCs w:val="1"/>
                <w:color w:val="auto"/>
              </w:rPr>
            </w:pPr>
          </w:p>
        </w:tc>
      </w:tr>
      <w:tr>
        <w:trPr>
          <w:trHeight w:val="158"/>
        </w:trPr>
        <w:tc>
          <w:tcPr>
            <w:tcW w:w="8320" w:type="dxa"/>
            <w:vAlign w:val="bottom"/>
            <w:tcBorders>
              <w:bottom w:val="single" w:sz="8" w:color="CCEEFF"/>
            </w:tcBorders>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226,595</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204,559</w:t>
            </w:r>
          </w:p>
        </w:tc>
        <w:tc>
          <w:tcPr>
            <w:tcW w:w="0" w:type="dxa"/>
            <w:vAlign w:val="bottom"/>
          </w:tcPr>
          <w:p>
            <w:pPr>
              <w:spacing w:after="0"/>
              <w:rPr>
                <w:sz w:val="1"/>
                <w:szCs w:val="1"/>
                <w:color w:val="auto"/>
              </w:rPr>
            </w:pPr>
          </w:p>
        </w:tc>
      </w:tr>
      <w:tr>
        <w:trPr>
          <w:trHeight w:val="185"/>
        </w:trPr>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525,936</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474,242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2360" w:type="dxa"/>
            <w:vAlign w:val="bottom"/>
            <w:gridSpan w:val="4"/>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r>
      <w:tr>
        <w:trPr>
          <w:trHeight w:val="30"/>
        </w:trPr>
        <w:tc>
          <w:tcPr>
            <w:tcW w:w="8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41"/>
        </w:trPr>
        <w:tc>
          <w:tcPr>
            <w:tcW w:w="83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r>
      <w:tr>
        <w:trPr>
          <w:trHeight w:val="30"/>
        </w:trPr>
        <w:tc>
          <w:tcPr>
            <w:tcW w:w="8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68"/>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Product sales, net</w:t>
            </w:r>
          </w:p>
        </w:tc>
        <w:tc>
          <w:tcPr>
            <w:tcW w:w="880" w:type="dxa"/>
            <w:vAlign w:val="bottom"/>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71,256</w:t>
            </w:r>
          </w:p>
        </w:tc>
        <w:tc>
          <w:tcPr>
            <w:tcW w:w="100" w:type="dxa"/>
            <w:vAlign w:val="bottom"/>
          </w:tcPr>
          <w:p>
            <w:pPr>
              <w:spacing w:after="0"/>
              <w:rPr>
                <w:sz w:val="14"/>
                <w:szCs w:val="14"/>
                <w:color w:val="auto"/>
              </w:rPr>
            </w:pPr>
          </w:p>
        </w:tc>
        <w:tc>
          <w:tcPr>
            <w:tcW w:w="860" w:type="dxa"/>
            <w:vAlign w:val="bottom"/>
          </w:tcPr>
          <w:p>
            <w:pPr>
              <w:jc w:val="right"/>
              <w:ind w:right="71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revenue</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36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revenue, net</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76,256</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68"/>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6,764</w:t>
            </w:r>
          </w:p>
        </w:tc>
      </w:tr>
      <w:tr>
        <w:trPr>
          <w:trHeight w:val="168"/>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69,112</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20,434</w:t>
            </w:r>
          </w:p>
        </w:tc>
      </w:tr>
      <w:tr>
        <w:trPr>
          <w:trHeight w:val="16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86,573</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27,198</w:t>
            </w:r>
          </w:p>
        </w:tc>
      </w:tr>
      <w:tr>
        <w:trPr>
          <w:trHeight w:val="158"/>
        </w:trPr>
        <w:tc>
          <w:tcPr>
            <w:tcW w:w="83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(27,198)</w:t>
            </w:r>
          </w:p>
        </w:tc>
      </w:tr>
      <w:tr>
        <w:trPr>
          <w:trHeight w:val="17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income/(expense):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8"/>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 development tax credit</w:t>
            </w:r>
          </w:p>
        </w:tc>
        <w:tc>
          <w:tcPr>
            <w:tcW w:w="88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r>
      <w:tr>
        <w:trPr>
          <w:trHeight w:val="17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w:t>
            </w:r>
          </w:p>
        </w:tc>
      </w:tr>
      <w:tr>
        <w:trPr>
          <w:trHeight w:val="17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r>
      <w:tr>
        <w:trPr>
          <w:trHeight w:val="168"/>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Foreign exchange gain/(loss)</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(expense)/income, net</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(6,241)</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r>
      <w:tr>
        <w:trPr>
          <w:trHeight w:val="158"/>
        </w:trPr>
        <w:tc>
          <w:tcPr>
            <w:tcW w:w="83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(25,040)</w:t>
            </w:r>
          </w:p>
        </w:tc>
      </w:tr>
      <w:tr>
        <w:trPr>
          <w:trHeight w:val="17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benefit/(expense)</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r>
      <w:tr>
        <w:trPr>
          <w:trHeight w:val="139"/>
        </w:trPr>
        <w:tc>
          <w:tcPr>
            <w:tcW w:w="8360" w:type="dxa"/>
            <w:vAlign w:val="bottom"/>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880" w:type="dxa"/>
            <w:vAlign w:val="bottom"/>
            <w:tcBorders>
              <w:bottom w:val="single" w:sz="8" w:color="auto"/>
            </w:tcBorders>
          </w:tcPr>
          <w:p>
            <w:pPr>
              <w:jc w:val="right"/>
              <w:ind w:right="739"/>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(16,319)</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718"/>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(25,794)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6"/>
        </w:trPr>
        <w:tc>
          <w:tcPr>
            <w:tcW w:w="8360" w:type="dxa"/>
            <w:vAlign w:val="bottom"/>
            <w:tcBorders>
              <w:bottom w:val="single" w:sz="8" w:color="CCEEFF"/>
            </w:tcBorders>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Loss per ordinary share - basic and diluted</w:t>
            </w:r>
          </w:p>
        </w:tc>
        <w:tc>
          <w:tcPr>
            <w:tcW w:w="880" w:type="dxa"/>
            <w:vAlign w:val="bottom"/>
            <w:tcBorders>
              <w:bottom w:val="single" w:sz="8" w:color="auto"/>
            </w:tcBorders>
            <w:shd w:val="clear" w:color="auto" w:fill="CCEEFF"/>
          </w:tcPr>
          <w:p>
            <w:pPr>
              <w:jc w:val="right"/>
              <w:ind w:right="739"/>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718"/>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(0.04)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Weighted-average shares outstanding - basic and diluted</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679,405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645,701</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8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6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tcPr>
          <w:p>
            <w:pPr>
              <w:spacing w:after="0"/>
              <w:rPr>
                <w:sz w:val="12"/>
                <w:szCs w:val="12"/>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0"/>
        </w:trPr>
        <w:tc>
          <w:tcPr>
            <w:tcW w:w="2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703,189,462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728,199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(4,601)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204,559</w:t>
            </w:r>
          </w:p>
        </w:tc>
        <w:tc>
          <w:tcPr>
            <w:tcW w:w="0" w:type="dxa"/>
            <w:vAlign w:val="bottom"/>
          </w:tcPr>
          <w:p>
            <w:pPr>
              <w:spacing w:after="0"/>
              <w:rPr>
                <w:sz w:val="1"/>
                <w:szCs w:val="1"/>
                <w:color w:val="auto"/>
              </w:rPr>
            </w:pPr>
          </w:p>
        </w:tc>
      </w:tr>
      <w:tr>
        <w:trPr>
          <w:trHeight w:val="89"/>
        </w:trPr>
        <w:tc>
          <w:tcPr>
            <w:tcW w:w="23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(16,319)</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share units vested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 options exercised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5,165</w:t>
            </w: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Common shares withheld for taxes on</w:t>
            </w: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(4,287)</w:t>
            </w:r>
          </w:p>
        </w:tc>
        <w:tc>
          <w:tcPr>
            <w:tcW w:w="0" w:type="dxa"/>
            <w:vAlign w:val="bottom"/>
          </w:tcPr>
          <w:p>
            <w:pPr>
              <w:spacing w:after="0"/>
              <w:rPr>
                <w:sz w:val="1"/>
                <w:szCs w:val="1"/>
                <w:color w:val="auto"/>
              </w:rPr>
            </w:pPr>
          </w:p>
        </w:tc>
      </w:tr>
      <w:tr>
        <w:trPr>
          <w:trHeight w:val="102"/>
        </w:trPr>
        <w:tc>
          <w:tcPr>
            <w:tcW w:w="23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vested stock awards</w:t>
            </w:r>
          </w:p>
        </w:tc>
        <w:tc>
          <w:tcPr>
            <w:tcW w:w="1380" w:type="dxa"/>
            <w:vAlign w:val="bottom"/>
            <w:gridSpan w:val="2"/>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20" w:type="dxa"/>
            <w:vAlign w:val="bottom"/>
            <w:vMerge w:val="continue"/>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37,477</w:t>
            </w:r>
          </w:p>
        </w:tc>
        <w:tc>
          <w:tcPr>
            <w:tcW w:w="0" w:type="dxa"/>
            <w:vAlign w:val="bottom"/>
          </w:tcPr>
          <w:p>
            <w:pPr>
              <w:spacing w:after="0"/>
              <w:rPr>
                <w:sz w:val="1"/>
                <w:szCs w:val="1"/>
                <w:color w:val="auto"/>
              </w:rPr>
            </w:pPr>
          </w:p>
        </w:tc>
      </w:tr>
      <w:tr>
        <w:trPr>
          <w:trHeight w:val="23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703,189,462</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45,021</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766,369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(4,601)</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(578,792)</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226,595</w:t>
            </w:r>
          </w:p>
        </w:tc>
        <w:tc>
          <w:tcPr>
            <w:tcW w:w="0" w:type="dxa"/>
            <w:vAlign w:val="bottom"/>
          </w:tcPr>
          <w:p>
            <w:pPr>
              <w:spacing w:after="0"/>
              <w:rPr>
                <w:sz w:val="1"/>
                <w:szCs w:val="1"/>
                <w:color w:val="auto"/>
              </w:rPr>
            </w:pPr>
          </w:p>
        </w:tc>
      </w:tr>
      <w:tr>
        <w:trPr>
          <w:trHeight w:val="93"/>
        </w:trPr>
        <w:tc>
          <w:tcPr>
            <w:tcW w:w="2320" w:type="dxa"/>
            <w:vAlign w:val="bottom"/>
            <w:tcBorders>
              <w:bottom w:val="single" w:sz="8" w:color="CCEEFF"/>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6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6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tcPr>
          <w:p>
            <w:pPr>
              <w:spacing w:after="0"/>
              <w:rPr>
                <w:sz w:val="12"/>
                <w:szCs w:val="12"/>
                <w:color w:val="auto"/>
              </w:rPr>
            </w:pPr>
          </w:p>
        </w:tc>
        <w:tc>
          <w:tcPr>
            <w:tcW w:w="116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0"/>
        </w:trPr>
        <w:tc>
          <w:tcPr>
            <w:tcW w:w="2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667,659,630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42,771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(4,601)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(388,433)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249,283</w:t>
            </w:r>
          </w:p>
        </w:tc>
        <w:tc>
          <w:tcPr>
            <w:tcW w:w="0" w:type="dxa"/>
            <w:vAlign w:val="bottom"/>
          </w:tcPr>
          <w:p>
            <w:pPr>
              <w:spacing w:after="0"/>
              <w:rPr>
                <w:sz w:val="1"/>
                <w:szCs w:val="1"/>
                <w:color w:val="auto"/>
              </w:rPr>
            </w:pPr>
          </w:p>
        </w:tc>
      </w:tr>
      <w:tr>
        <w:trPr>
          <w:trHeight w:val="89"/>
        </w:trPr>
        <w:tc>
          <w:tcPr>
            <w:tcW w:w="23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(25,794)</w:t>
            </w:r>
          </w:p>
        </w:tc>
        <w:tc>
          <w:tcPr>
            <w:tcW w:w="0" w:type="dxa"/>
            <w:vAlign w:val="bottom"/>
          </w:tcPr>
          <w:p>
            <w:pPr>
              <w:spacing w:after="0"/>
              <w:rPr>
                <w:sz w:val="1"/>
                <w:szCs w:val="1"/>
                <w:color w:val="auto"/>
              </w:rPr>
            </w:pPr>
          </w:p>
        </w:tc>
      </w:tr>
      <w:tr>
        <w:trPr>
          <w:trHeight w:val="172"/>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share units vested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options exercised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Common shares withheld for taxes on</w:t>
            </w: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w:t>
            </w:r>
          </w:p>
        </w:tc>
        <w:tc>
          <w:tcPr>
            <w:tcW w:w="0" w:type="dxa"/>
            <w:vAlign w:val="bottom"/>
          </w:tcPr>
          <w:p>
            <w:pPr>
              <w:spacing w:after="0"/>
              <w:rPr>
                <w:sz w:val="1"/>
                <w:szCs w:val="1"/>
                <w:color w:val="auto"/>
              </w:rPr>
            </w:pPr>
          </w:p>
        </w:tc>
      </w:tr>
      <w:tr>
        <w:trPr>
          <w:trHeight w:val="102"/>
        </w:trPr>
        <w:tc>
          <w:tcPr>
            <w:tcW w:w="2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 stock awards</w:t>
            </w:r>
          </w:p>
        </w:tc>
        <w:tc>
          <w:tcPr>
            <w:tcW w:w="140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00" w:type="dxa"/>
            <w:vAlign w:val="bottom"/>
            <w:vMerge w:val="continue"/>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3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auto"/>
              </w:rPr>
              <w:t>Equity settled share-based</w:t>
            </w: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3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127"/>
        </w:trPr>
        <w:tc>
          <w:tcPr>
            <w:tcW w:w="23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auto"/>
              </w:rPr>
              <w:t>compensation reclassified as cash-</w:t>
            </w:r>
          </w:p>
        </w:tc>
        <w:tc>
          <w:tcPr>
            <w:tcW w:w="14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settled</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w:t>
            </w: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667,659,630</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42,771</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602,497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(4,601)</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(414,397)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224,988</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2460" w:type="dxa"/>
            <w:vAlign w:val="bottom"/>
            <w:gridSpan w:val="4"/>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82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(25,794)</w:t>
            </w:r>
          </w:p>
        </w:tc>
        <w:tc>
          <w:tcPr>
            <w:tcW w:w="0" w:type="dxa"/>
            <w:vAlign w:val="bottom"/>
          </w:tcPr>
          <w:p>
            <w:pPr>
              <w:spacing w:after="0"/>
              <w:rPr>
                <w:sz w:val="1"/>
                <w:szCs w:val="1"/>
                <w:color w:val="auto"/>
              </w:rPr>
            </w:pPr>
          </w:p>
        </w:tc>
      </w:tr>
      <w:tr>
        <w:trPr>
          <w:trHeight w:val="169"/>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Adjustments to reconcile net income to net cash used in operating activities: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 exchange (gain)/loss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6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Accretion of RIPSA</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Accretion of redemption premium on debt</w:t>
            </w:r>
          </w:p>
        </w:tc>
        <w:tc>
          <w:tcPr>
            <w:tcW w:w="8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69"/>
        </w:trPr>
        <w:tc>
          <w:tcPr>
            <w:tcW w:w="8260" w:type="dxa"/>
            <w:vAlign w:val="bottom"/>
          </w:tcPr>
          <w:p>
            <w:pPr>
              <w:ind w:left="260"/>
              <w:spacing w:after="0"/>
              <w:rPr>
                <w:sz w:val="20"/>
                <w:szCs w:val="20"/>
                <w:color w:val="auto"/>
              </w:rPr>
            </w:pPr>
            <w:r>
              <w:rPr>
                <w:rFonts w:ascii="Times New Roman" w:cs="Times New Roman" w:eastAsia="Times New Roman" w:hAnsi="Times New Roman"/>
                <w:sz w:val="13"/>
                <w:szCs w:val="13"/>
                <w:i w:val="1"/>
                <w:iCs w:val="1"/>
                <w:color w:val="auto"/>
              </w:rPr>
              <w:t>Changes in operating assets and liabilities: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Tax incentive receivable</w:t>
            </w:r>
          </w:p>
        </w:tc>
        <w:tc>
          <w:tcPr>
            <w:tcW w:w="8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68"/>
        </w:trPr>
        <w:tc>
          <w:tcPr>
            <w:tcW w:w="8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Inventory</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0" w:type="dxa"/>
            <w:vAlign w:val="bottom"/>
          </w:tcPr>
          <w:p>
            <w:pPr>
              <w:spacing w:after="0"/>
              <w:rPr>
                <w:sz w:val="1"/>
                <w:szCs w:val="1"/>
                <w:color w:val="auto"/>
              </w:rPr>
            </w:pPr>
          </w:p>
        </w:tc>
      </w:tr>
      <w:tr>
        <w:trPr>
          <w:trHeight w:val="168"/>
        </w:trPr>
        <w:tc>
          <w:tcPr>
            <w:tcW w:w="8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4,762</w:t>
            </w:r>
          </w:p>
        </w:tc>
        <w:tc>
          <w:tcPr>
            <w:tcW w:w="0" w:type="dxa"/>
            <w:vAlign w:val="bottom"/>
          </w:tcPr>
          <w:p>
            <w:pPr>
              <w:spacing w:after="0"/>
              <w:rPr>
                <w:sz w:val="1"/>
                <w:szCs w:val="1"/>
                <w:color w:val="auto"/>
              </w:rPr>
            </w:pPr>
          </w:p>
        </w:tc>
      </w:tr>
      <w:tr>
        <w:trPr>
          <w:trHeight w:val="168"/>
        </w:trPr>
        <w:tc>
          <w:tcPr>
            <w:tcW w:w="8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Royalties payable</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68"/>
        </w:trPr>
        <w:tc>
          <w:tcPr>
            <w:tcW w:w="8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(13,610)</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Purchases of furniture and equipment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3"/>
        </w:trPr>
        <w:tc>
          <w:tcPr>
            <w:tcW w:w="8260" w:type="dxa"/>
            <w:vAlign w:val="bottom"/>
            <w:shd w:val="clear" w:color="auto" w:fill="CCEEFF"/>
          </w:tcPr>
          <w:p>
            <w:pPr>
              <w:ind w:left="320"/>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9"/>
        </w:trPr>
        <w:tc>
          <w:tcPr>
            <w:tcW w:w="8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Term Loans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122,500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8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RIPSA</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of withholding taxes from share-based awards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(3,575)</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share options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5,165</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0" w:type="dxa"/>
            <w:vAlign w:val="bottom"/>
          </w:tcPr>
          <w:p>
            <w:pPr>
              <w:spacing w:after="0"/>
              <w:rPr>
                <w:sz w:val="1"/>
                <w:szCs w:val="1"/>
                <w:color w:val="auto"/>
              </w:rPr>
            </w:pPr>
          </w:p>
        </w:tc>
      </w:tr>
      <w:tr>
        <w:trPr>
          <w:trHeight w:val="158"/>
        </w:trPr>
        <w:tc>
          <w:tcPr>
            <w:tcW w:w="8260" w:type="dxa"/>
            <w:vAlign w:val="bottom"/>
            <w:tcBorders>
              <w:bottom w:val="single" w:sz="8" w:color="CCEEFF"/>
            </w:tcBorders>
          </w:tcPr>
          <w:p>
            <w:pPr>
              <w:ind w:left="320"/>
              <w:spacing w:after="0" w:line="146" w:lineRule="exact"/>
              <w:rPr>
                <w:sz w:val="20"/>
                <w:szCs w:val="20"/>
                <w:color w:val="auto"/>
              </w:rPr>
            </w:pPr>
            <w:r>
              <w:rPr>
                <w:rFonts w:ascii="Times New Roman" w:cs="Times New Roman" w:eastAsia="Times New Roman" w:hAnsi="Times New Roman"/>
                <w:sz w:val="13"/>
                <w:szCs w:val="13"/>
                <w:color w:val="auto"/>
              </w:rPr>
              <w:t>Net cash provided by/(used in) financing activities</w:t>
            </w: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13,457</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(3,123)</w:t>
            </w:r>
          </w:p>
        </w:tc>
        <w:tc>
          <w:tcPr>
            <w:tcW w:w="0" w:type="dxa"/>
            <w:vAlign w:val="bottom"/>
          </w:tcPr>
          <w:p>
            <w:pPr>
              <w:spacing w:after="0"/>
              <w:rPr>
                <w:sz w:val="1"/>
                <w:szCs w:val="1"/>
                <w:color w:val="auto"/>
              </w:rPr>
            </w:pPr>
          </w:p>
        </w:tc>
      </w:tr>
      <w:tr>
        <w:trPr>
          <w:trHeight w:val="16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changes on cash and cash equivalents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58"/>
        </w:trPr>
        <w:tc>
          <w:tcPr>
            <w:tcW w:w="826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Net change in cash and cash equivalents</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(16,890)</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the period</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399,757</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271,772</w:t>
            </w:r>
          </w:p>
        </w:tc>
        <w:tc>
          <w:tcPr>
            <w:tcW w:w="0" w:type="dxa"/>
            <w:vAlign w:val="bottom"/>
          </w:tcPr>
          <w:p>
            <w:pPr>
              <w:spacing w:after="0"/>
              <w:rPr>
                <w:sz w:val="1"/>
                <w:szCs w:val="1"/>
                <w:color w:val="auto"/>
              </w:rPr>
            </w:pPr>
          </w:p>
        </w:tc>
      </w:tr>
      <w:tr>
        <w:trPr>
          <w:trHeight w:val="15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the period</w:t>
            </w:r>
          </w:p>
        </w:tc>
        <w:tc>
          <w:tcPr>
            <w:tcW w:w="88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401,415</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254,882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paid</w:t>
            </w:r>
          </w:p>
        </w:tc>
        <w:tc>
          <w:tcPr>
            <w:tcW w:w="880" w:type="dxa"/>
            <w:vAlign w:val="bottom"/>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description of business operations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is a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June 26, 2024, the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Verona is commercializing Ohtuvayre for the maintenance treatment of COPD in the U.S. Outside the U.S., the Company continues to progress the regulatory activities for the potential marketing authorization application submissions for Ohtuvayre for the maintenance treatment of COPD in the European Union (“EU”) and in the UK.</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Verona intends to license Ohtuvayre to companies with expertise and experience in developing and commercializing products in those regions. To that end, the Company has entered into a strategic collaboration with Nuance Pharma Limited, a Shanghai-based specialty pharmaceutical company (“Nuance Pharma”), to develop and commercialize ensifentrine, including Ohtuvayre, in Greater China. In February 2025, Nuance Pharma announced that Ohtuvayre was approved in Macau, the first approval outside of the U.S., for the maintenance treatment of COPD in adult patients. In addition, in September 2024, Nuance Pharma completed enrollment in its own pivotal Phase 3 trial evaluating ensifentrine for the maintenance treatment of COPD in China and results are expected in the second quarter of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Pipeline</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plans to start a dose-ranging Phase 2b trial to assess the safety and efficacy of a fixed-dose nebulized combination of ensifentrine with glycopyrrolate, a Long-Acting Muscarinic Antagonist (“LAMA”), for the maintenance treatment of patients with COPD in the second half of 2025. The Company has successfully completed a dose-ranging Phase 2 trial with glycopyrrolate to support this program.</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Additionally, based on the clinical results of ensifentrine observed in patients with COPD, including improvements in lung function and symptoms of cough and sputum, the Company believes ensifentrine could potentially be an effective treatment for non-cystic fibrosis bronchiectasis (“bronchiectasis”). In the third quarter of 2024, the Company commenced a Phase 2 clinical trial to assess the efficacy and safety of nebulized ensifentrine in patients with bronchiectasis.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has incurred recurring losses and negative cash flows from operations since inception, and has an accumulated deficit of $578.8 million as of March 31, 2025. The Company may incur additional losses and negative cash flows from operations until its products reach commercial profitability, if at all.</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expects that its cash and cash equivalents as of March 31, 2025, its anticipated product sales and funding expected to become available under the Term Loans (as defined in Note 7) will enable the Company to fund planned operating expenses and capital expenditure requirements for at least the next 12 months from the date of issuance.</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Additionally, the Company may enter into out-licensing transactions from time to time but there can be no assurance that the Company can secure such transactions in the future. Accordingly, the Company may need to obtain substantial additional funds to achieve its business objectives including to further advance clinical and regulatory activities, to fund launch related costs and to create an effective sales and marketing organization to commercialize Ohtuvayre. Any such funding will need to be obtained through public or private financings,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collaboration or licensing arrangements or other arrangements. However, there is no guarantee the Company will be successful in securing additional capital on acceptable terms, or at 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summary of significant accounting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consolidation</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unaudited condensed consolidated financial statements include the accounts of Verona Pharma plc and its wholly-owned subsidiary Verona Pharma, Inc. All inter-company balances and transactions have been eliminated.</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February 27, 2025 (the “2024 Form 10-K”). The Consolidated Balance Sheet as of December 31, 2024, was derived from audited consolidated financial statements included in the 2024 Form 10-K but does not include all disclosures required by U.S. GAAP for complete financial statements. The Company’s significant accounting policies are described in Note 2 to those consolidated financial statements.</w:t>
      </w:r>
    </w:p>
    <w:p>
      <w:pPr>
        <w:spacing w:after="0" w:line="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 has determined that the Chief Executive Officer (“CEO”) is the Company’s CODM as the CEO makes decisions as it relates to allocation of resources and key market strategies. The Company has one operating and reportable segment, the development and commercialization of pharmaceutical products. The CODM uses consolidated Net loss to assess financial performance and allocate resources. The significant expenses within Net Loss are separately presented on the Company’s Consolidated Statements of Operations and Comprehensive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risk</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For the three months ended March 31, 2025 the Company relied on five specialty pharmacies to purchase and supply Ohtuvayre to patients. These five specialty pharmacies accounted for 100% of all Ohtuvayre net product sales in the three months ended March 31, 2025 and accounted for all of the Company's outstanding accounts receivable from product sales as of March 31, 2025. The Company’s five specialty pharmacy customers accounted for 49%, 26%, 9%, 15% and 2% of product sales, net for the three months ended March 31, 2025. The loss, or a significant change in the buying patterns of any one of these specialty pharmacies could negatively impact net sales of Ohtuvayre.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gross-to-net revenue adjustments, amortization and carrying value of the revenue interest purchase and sale agreement (“RIPSA”),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 not yet adopted</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December 2023, the FASB issued ASU No. 2023-09, Improvements to Income Tax Disclosures, which requires disaggregated information about a reporting entity's effective tax rate reconciliation as well as information on</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income taxes paid. The standard is intended to benefit investors by providing more detailed income tax disclosures that would be useful in making capital allocation decisions. The amendments in this ASU are effective for annual periods beginning after December 15, 2024,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November 2024, the FASB issued ASU No. 2024-03: Disaggregation of Income Statement Expenses ("DISE"). The ASU requires additional disclosure of the nature of expenses included in the income statement. The ASU is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extent of the impact of this ASU on disclosures in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Inventory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classes of inventory as of March 31, 2025 and December 31, 2024 are summarized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30"/>
        </w:trPr>
        <w:tc>
          <w:tcPr>
            <w:tcW w:w="8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11,929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7,993</w:t>
            </w: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13,752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inventory was written down as a result of excess, obsolescence, scrap, or other reasons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Equity interest</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entered into a collaboration and license agreement (the “Nuance Agreement”) with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three months ended March 31, 2025.</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March 2025, Nuance Pharma completed the last treatment of the last patient under the Phase 3 Clinical Study of ensifentrine at which point the Company was due $5.0 million as a development milestone under the Nuance Agreement. This amount is due within 30 days and is included within Other current assets on the Condensed Consolidated Condensed Balance Sheets and as Other revenue in the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Accrued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30"/>
        </w:trPr>
        <w:tc>
          <w:tcPr>
            <w:tcW w:w="8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Rebates and other sales deductions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13,250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6,178</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VAT due to Ligand</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 and other development costs</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 and general corporate costs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People related costs</w:t>
            </w: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32,335</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16,757</w:t>
            </w:r>
          </w:p>
        </w:tc>
      </w:tr>
      <w:tr>
        <w:trPr>
          <w:trHeight w:val="20"/>
        </w:trPr>
        <w:tc>
          <w:tcPr>
            <w:tcW w:w="8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Ligand license agreement obligations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contingent liability assumed included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of the acquisition the contingent liability was not recognized as part of the acquisition accounting as it was immaterial.</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 obligated to pay low single digit royalties based on the net sales of all Ligand Licensed Products and expenses all costs related to royalty amounts as a cost of sales within the income statement.</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is also obligated to pay Ligand 25% of any milestones received and, due to the milestone payment from Nuance Pharma discussed in Note 4 - Equity Interest above, has recorded $1.3 million in Selling, general and administrative expense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On May 9, 2024 (the “2024 Effective Date”), Verona Pharma, Inc. (the “Borrower”) entered into a term loan facility of up to $400.0 million (the “2024 Term Loans” or “2024 Loan Agreement”), consisting of a term loan advance in an aggregate amount of $55.0 million funded on the 2024 Effective Date (the “Tranche A Term Loan”) and four additional term loan advances subject to certain terms and conditions, as discussed below, in the amounts of $70.0 million (the “Tranche B Term Loan”), $75.0 million (the “Tranche C Term Loan”), $100.0 million (the “Tranche D Term Loan”) and $100.0 million (the “Tranche E Term Loan”) with each tranche issued subject to an original issue discount of 2.0%. The 2024 Loan Agreement was entered into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The net proceeds of the 2024 Term Loans will be used for general corporate and working capital purposes and a portion of the proceeds from the Tranche A Term Loan was used by the Borrower on the 2024 Effective Date to repay, in full, the existing outstanding indebtedness owed under the term loan facility entered into in 2023 (the “2023 Term Loan”).</w:t>
      </w:r>
    </w:p>
    <w:p>
      <w:pPr>
        <w:spacing w:after="0" w:line="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Tranche B Term Loan was available, subject to customary terms and conditions, during the period commencing on the date the Company received approval from the FDA for its new drug application for ensifentrine through and including the earliest of (i) the date that is 30 days immediately following the date the Company receives such approval and (ii) September 30, 2024. The Tranche C Term Loan will be available, subject to customary terms and conditions (including the prior borrowing of the Tranche B Term Loan), during the period commencing on the first business day following the achievement of a specified net sales milestone for ensifentrine and ending on December 31, 2025. The Tranche D Term Loan will be available, subject to customary terms and conditions (including the prior borrowing of the Tranche C Term Loan), during the period commencing on the first business day following the achievement of a specified net sales milestone for ensifentrine and ending on June 30, 2026. The Tranche E Term Loan will be available, subject to customary terms and conditions (including the prior borrowing of the Tranche D Term Loan) at the 2024 Lenders sole discretion and upon the Company’s request.</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received $52.8 million in net proceeds at closing of the 2024 Loan Agreement and draw of the Tranche A Term Loan, which consisted of the Tranche A Term Loan face value of $55.0 million less the original issue discount of $1.1 million and lender and third-party fees related to the 2024 Loan Agreement and RIPSA, as defined and discussed below, of $1.1 million. $52.4 million of the net cash proceeds from the Tranche A Term Loan were used for the repayment in full of the existing outstanding indebtedness owed by the Company under the 2023 Term Loan of $52.3 million and interest amounts related to the 2023 Term Loan of $0.1 million.</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June 28, 2024, the Company received $68.6 million in net proceeds related to the Tranche B Term Loan, which was available upon FDA approval for Ohtuvayre. The amount received consisted of the Tranche B Term Loan face value of $70.0 million less the original issue discount of $1.4 million.</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2024 Term Loans will mature on May 9, 2029 and each advance under the 2024 Loan Agreement accrues interest at a fixed per annum rate of 11.00%. The 2024 Loan Agreement provides for interest-only payments on a quarterly basis until maturity. Upon repayment (whether at maturity, upon acceleration or by prepayment or otherwise), the Borrower shall pay an exit fee to the 2024 Lenders in the amount of 2.50% of the aggregate principal amount of the 2024 Term Loans to be paid (the “Exit Fee”). The Borrower may prepay the 2024 Term Loans in full or in part provided that the Borrower (i) provides at least two (2) business days’ prior written notice to the Agent, (ii) pays on the date of such prepayment (A) all outstanding principal to be prepaid plus accrued and unpaid interest, (B) a prepayment fee of 7.00% of the 2024 Term Loans so prepaid if paid on or before the first anniversary of the 2024 Effective Date; 5.00% of the 2024 Term Loans so prepaid if paid after the first anniversary of the 2024 Effective Date and on or before the second anniversary of the 2024 Effective Date; 2.00% of the 2024 Term Loans so prepaid if paid after the second anniversary of the 2024 Effective Date and on or before the third anniversary of the 2024 Effective Date or 1.00% of the 2024 Term Loans so prepaid if paid after the third anniversary of the 2024 Effective Date and on or before the fourth anniversary of the 2024 Effective Date, (C) the Exit Fee and (D) all other sums, if any, that shall become due and payable under the 2024 Loan Agreement, including interest at the default rate with respect to any past due amounts. Amounts outstanding during an event of default are due upon the Majority Lenders’ (as defined in the 2024 Loan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2024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shall be an aggregate amount at least equal to $5.0 million in a denomination that is a whole number multiple of $1.0 million in excess thereof.</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2024 Term Loans are secured by a lien on substantially all of the assets of the Borrower and the Company, including intellectual property, subject to customary exclusions and exceptions.</w:t>
      </w:r>
    </w:p>
    <w:p>
      <w:pPr>
        <w:spacing w:after="0" w:line="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2024 Loan Agreement contains customary representations and warranties, covenants and events of default, including two financial covenants: (i) commencing on the 2024 Effective Date, the Borrower is required to maintain certain levels of cash, and, after the Account Control Agreement Completion Date (as defined in the Loan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2024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2024 Loan Agreement also contains other customary provisions, such as expense reimbursement, as well as indemnification rights for the benefit of the Agent and the 2024 Lenders.</w:t>
      </w:r>
    </w:p>
    <w:p>
      <w:pPr>
        <w:spacing w:after="0" w:line="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March 27, 2025 (the “First Amendment Effective Date”), Verona Pharma Inc. entered into the first amendment (the “First Amendment”) to the 2024 Loan Agreement (the 2024 Term Loan Agreement as amended by the First Amendment, the “Term Loan Agreement” and the term loans borrowed thereunder, the “Term Loans”). The First Amendment provides for, among other things: (i) an increase to the commitments under the Tranche C Term Loan from $75.0 million to $125.0 million, which was drawn on the First Amendment Effective Date, (ii) a decrease in the interest rate applicable to all term loans borrowed under the Term Loan Agreement from 11.0% to 9.7% per annum, with a further step down to 9.35% per annum after the Company has met certain Net Sales (as defined in the Term Loan Agreement) milestones (and such step down to apply commencing the first day of the applicable fiscal quarter in which the Borrower certifies such condition has been met), and (iii) a $75.0 million basket for a future working capital facility, subject to certain terms and conditions.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2025, the effective interest rate was approximately 11% per annum and there was no material difference between the carrying value and the estimated fair value of the Term Loans.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Interest Purchase and Sale Agreement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May 9, 2024, the Company and Verona Pharma, Inc. (collectively the “Sellers”) entered into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and 5% on certain proceeds the Sellers receive from licensees engaged during the term of the RIPSA outside of the U.S. (the “Ex-U.S. Payments”).</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June 28, 2024, the Company received the Tranche A Purchase Price of $100.0 million. On March 25, 2025, the Company exercised its buy-out option under the RIPSA and repurchased the Tranche A obligation with reduced repayment fees.</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accounted for the exercise of the buy-out option of the RIPSA Agreement and the First Amendment as a debt modification for the existing lenders who participated in both agreements by performing an analysis on a lender by lender basis under ASC 470-50 Debt modifications and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Share-based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allocation of share-based compensation between research and development and selling, general and administrative costs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2400" w:type="dxa"/>
            <w:vAlign w:val="bottom"/>
            <w:gridSpan w:val="4"/>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to inventory</w:t>
            </w:r>
          </w:p>
        </w:tc>
        <w:tc>
          <w:tcPr>
            <w:tcW w:w="880" w:type="dxa"/>
            <w:vAlign w:val="bottom"/>
            <w:vMerge w:val="restart"/>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30,359</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37,477</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tables show the activity of each type of share-based compensation and are presented in ordinary shares. The Company’s ADSs that are listed on Nasdaq each represent eight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options activity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9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share options</w:t>
            </w:r>
          </w:p>
        </w:tc>
        <w:tc>
          <w:tcPr>
            <w:tcW w:w="0" w:type="dxa"/>
            <w:vAlign w:val="bottom"/>
          </w:tcPr>
          <w:p>
            <w:pPr>
              <w:spacing w:after="0"/>
              <w:rPr>
                <w:sz w:val="1"/>
                <w:szCs w:val="1"/>
                <w:color w:val="auto"/>
              </w:rPr>
            </w:pPr>
          </w:p>
        </w:tc>
      </w:tr>
      <w:tr>
        <w:trPr>
          <w:trHeight w:val="149"/>
        </w:trPr>
        <w:tc>
          <w:tcPr>
            <w:tcW w:w="99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9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32,873,392</w:t>
            </w:r>
          </w:p>
        </w:tc>
        <w:tc>
          <w:tcPr>
            <w:tcW w:w="0" w:type="dxa"/>
            <w:vAlign w:val="bottom"/>
          </w:tcPr>
          <w:p>
            <w:pPr>
              <w:spacing w:after="0"/>
              <w:rPr>
                <w:sz w:val="1"/>
                <w:szCs w:val="1"/>
                <w:color w:val="auto"/>
              </w:rPr>
            </w:pP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1,269,600</w:t>
            </w:r>
          </w:p>
        </w:tc>
        <w:tc>
          <w:tcPr>
            <w:tcW w:w="0" w:type="dxa"/>
            <w:vAlign w:val="bottom"/>
          </w:tcPr>
          <w:p>
            <w:pPr>
              <w:spacing w:after="0"/>
              <w:rPr>
                <w:sz w:val="1"/>
                <w:szCs w:val="1"/>
                <w:color w:val="auto"/>
              </w:rPr>
            </w:pP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(343,280)</w:t>
            </w:r>
          </w:p>
        </w:tc>
        <w:tc>
          <w:tcPr>
            <w:tcW w:w="0" w:type="dxa"/>
            <w:vAlign w:val="bottom"/>
          </w:tcPr>
          <w:p>
            <w:pPr>
              <w:spacing w:after="0"/>
              <w:rPr>
                <w:sz w:val="1"/>
                <w:szCs w:val="1"/>
                <w:color w:val="auto"/>
              </w:rPr>
            </w:pPr>
          </w:p>
        </w:tc>
      </w:tr>
      <w:tr>
        <w:trPr>
          <w:trHeight w:val="180"/>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(2,885,032)</w:t>
            </w:r>
          </w:p>
        </w:tc>
        <w:tc>
          <w:tcPr>
            <w:tcW w:w="0" w:type="dxa"/>
            <w:vAlign w:val="bottom"/>
          </w:tcPr>
          <w:p>
            <w:pPr>
              <w:spacing w:after="0"/>
              <w:rPr>
                <w:sz w:val="1"/>
                <w:szCs w:val="1"/>
                <w:color w:val="auto"/>
              </w:rPr>
            </w:pPr>
          </w:p>
        </w:tc>
      </w:tr>
      <w:tr>
        <w:trPr>
          <w:trHeight w:val="196"/>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30,914,680</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 (“RSU”) activity</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90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99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RSUs</w:t>
            </w:r>
          </w:p>
        </w:tc>
        <w:tc>
          <w:tcPr>
            <w:tcW w:w="0" w:type="dxa"/>
            <w:vAlign w:val="bottom"/>
          </w:tcPr>
          <w:p>
            <w:pPr>
              <w:spacing w:after="0"/>
              <w:rPr>
                <w:sz w:val="1"/>
                <w:szCs w:val="1"/>
                <w:color w:val="auto"/>
              </w:rPr>
            </w:pPr>
          </w:p>
        </w:tc>
      </w:tr>
      <w:tr>
        <w:trPr>
          <w:trHeight w:val="149"/>
        </w:trPr>
        <w:tc>
          <w:tcPr>
            <w:tcW w:w="99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9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14,830,112</w:t>
            </w:r>
          </w:p>
        </w:tc>
        <w:tc>
          <w:tcPr>
            <w:tcW w:w="0" w:type="dxa"/>
            <w:vAlign w:val="bottom"/>
          </w:tcPr>
          <w:p>
            <w:pPr>
              <w:spacing w:after="0"/>
              <w:rPr>
                <w:sz w:val="1"/>
                <w:szCs w:val="1"/>
                <w:color w:val="auto"/>
              </w:rPr>
            </w:pP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(84,152)</w:t>
            </w:r>
          </w:p>
        </w:tc>
        <w:tc>
          <w:tcPr>
            <w:tcW w:w="0" w:type="dxa"/>
            <w:vAlign w:val="bottom"/>
          </w:tcPr>
          <w:p>
            <w:pPr>
              <w:spacing w:after="0"/>
              <w:rPr>
                <w:sz w:val="1"/>
                <w:szCs w:val="1"/>
                <w:color w:val="auto"/>
              </w:rPr>
            </w:pP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(984,416)</w:t>
            </w:r>
          </w:p>
        </w:tc>
        <w:tc>
          <w:tcPr>
            <w:tcW w:w="0" w:type="dxa"/>
            <w:vAlign w:val="bottom"/>
          </w:tcPr>
          <w:p>
            <w:pPr>
              <w:spacing w:after="0"/>
              <w:rPr>
                <w:sz w:val="1"/>
                <w:szCs w:val="1"/>
                <w:color w:val="auto"/>
              </w:rPr>
            </w:pPr>
          </w:p>
        </w:tc>
      </w:tr>
      <w:tr>
        <w:trPr>
          <w:trHeight w:val="171"/>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13,761,544</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 (“PRSU”) activity</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PRSUs will begin to vest upon achievement of certain performance conditions and are subject to continued service. The fair value of PRSUs will be recognized over the remaining service period using the graded-vesting method once the performance conditions are determined to be probable of occurring. The total compensation cost not yet recognized as of March 31, 2025 related to PRSUs was $90.6 million, which will be recognized over a weighted-average period of approximately one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PRSU activity for the period ended March 31, 2025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900" w:type="dxa"/>
            <w:vAlign w:val="bottom"/>
          </w:tcPr>
          <w:p>
            <w:pPr>
              <w:spacing w:after="0"/>
              <w:rPr>
                <w:sz w:val="11"/>
                <w:szCs w:val="11"/>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Number of PRSUs</w:t>
            </w:r>
          </w:p>
        </w:tc>
      </w:tr>
      <w:tr>
        <w:trPr>
          <w:trHeight w:val="149"/>
        </w:trPr>
        <w:tc>
          <w:tcPr>
            <w:tcW w:w="9900" w:type="dxa"/>
            <w:vAlign w:val="bottom"/>
          </w:tcPr>
          <w:p>
            <w:pPr>
              <w:spacing w:after="0"/>
              <w:rPr>
                <w:sz w:val="12"/>
                <w:szCs w:val="12"/>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outstanding</w:t>
            </w:r>
          </w:p>
        </w:tc>
      </w:tr>
      <w:tr>
        <w:trPr>
          <w:trHeight w:val="30"/>
        </w:trPr>
        <w:tc>
          <w:tcPr>
            <w:tcW w:w="9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1"/>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30,561,974</w:t>
            </w: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(307,482)</w:t>
            </w: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(776,936)</w:t>
            </w:r>
          </w:p>
        </w:tc>
      </w:tr>
      <w:tr>
        <w:trPr>
          <w:trHeight w:val="171"/>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29,477,556</w:t>
            </w:r>
          </w:p>
        </w:tc>
      </w:tr>
      <w:tr>
        <w:trPr>
          <w:trHeight w:val="20"/>
        </w:trPr>
        <w:tc>
          <w:tcPr>
            <w:tcW w:w="9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Net loss per share</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Net loss per share is calculated on an ordinary share basis. The Company’s ADSs that are listed on Nasdaq each represent eight ordinary shares. The following table shows the computation of basic and diluted net loss per share for the three months ended March 31, 2025 and 2024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2"/>
                <w:szCs w:val="12"/>
                <w:color w:val="auto"/>
              </w:rPr>
            </w:pPr>
          </w:p>
        </w:tc>
        <w:tc>
          <w:tcPr>
            <w:tcW w:w="2700" w:type="dxa"/>
            <w:vAlign w:val="bottom"/>
            <w:gridSpan w:val="5"/>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30"/>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1"/>
        </w:trPr>
        <w:tc>
          <w:tcPr>
            <w:tcW w:w="8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(16,319)</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(25,794)</w:t>
            </w:r>
          </w:p>
        </w:tc>
      </w:tr>
      <w:tr>
        <w:trPr>
          <w:trHeight w:val="18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 and diluted</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679,405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645,701</w:t>
            </w:r>
          </w:p>
        </w:tc>
      </w:tr>
      <w:tr>
        <w:trPr>
          <w:trHeight w:val="196"/>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three months ended March 31, 2025 and 2024, outstanding share options, RSUs and PRSUs over 74.2 million and 51.9 million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2024 filed with the Securities and Exchange Commission on February 27, 2025 (the “2024 Form 10-K”).</w:t>
      </w:r>
    </w:p>
    <w:p>
      <w:pPr>
        <w:spacing w:after="0" w:line="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commercialization of Ohtuvayre, the development of our product candidates, including statements regarding the expected initiation, timing, progress and availability of data from our clinical trials, including our recently initiated Phase 2 clinical trials, the timing and availability of data from Nuance Pharma’s Phase 3 clinical trial, potential regulatory approvals, research and development costs, timing and likelihood of success, potential collaborations, the duration of our patent portfolio, our estimates regarding expenses, future revenues, milestone payments, capital requirements, debt service obligations and our need for additional financing, the funding we expect to become available under our various financing agreements and from cash receipts from U.K. tax credits, and the sufficiency of our cash and cash equivalents to fund operations, are forward-looking statements.</w:t>
      </w: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i w:val="1"/>
          <w:iCs w:val="1"/>
          <w:color w:val="auto"/>
        </w:rPr>
        <w:t>The forward-looking statements in this Quarterly Report on Form 10-Q are only predictions and are based largely on our management’s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2024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biopharmaceutical company focused on developing and commercializing innovative therapeutics for the treatment of respiratory diseases with significant unmet medical needs.</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June 26, 2024, the U.S. Food and Drug Administration (“FDA”) approved Ohtuvayre (ensifentrine) for the maintenance treatment of chronic obstructive pulmonary disease (“COPD”) in adult patients and we launched Ohtuvayre in the U.S. through an exclusive network of accredited specialty pharmacies in August 2024. Ohtuvayre is our first commercial product and the first inhaled therapy with a novel mechanism of action available for the maintenance treatment of COPD in more than 20 years. We believe Ohtuvayre is an important advancement in the treatment of COPD and will redefine the treatment paradigm for COPD.</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Ohtuvayre is a first-in-class selective dual inhibitor of the enzymes phosphodiesterase 3 and 4 (“PDE3” and “PDE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commercializing Ohtuvayre for the maintenance treatment of COPD in the U.S. Outside the U.S., the Company continues to progress the regulatory activities for the potential marketing authorization application submissions for Ohtuvayre for the maintenance treatment of COPD in the European Union (“EU”) and in the UK.</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intend to license Ohtuvayre to companies with expertise and experience in developing and commercializing products in those regions. To that end, we have entered into a strategic collaboration (the “Nuance Agreement”) with Nuance Pharma Limited, a Shanghai-based specialty pharmaceutical company (“Nuance Pharma”), to develop and commercialize ensifentrine, including Ohtuvayre, in Greater China. In February 2025, Nuance Pharma announced that Ohtuvayre was approved in Macau, the first approval outside of the U.S., for the maintenance treatment of COPD in adult patients. In addition, in September 2024, Nuance Pharma completed enrollment in its own pivotal Phase 3 trial evaluating ensifentrine for the maintenance treatment of COPD in China and results are expected in the second quarter of 2025.</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approval of Ohtuvayre in the United States (“U.S.”) was based on extensive data including the Phase 3 ENHANCE (“Ensifentrine as a Novel inHAled Nebulized COPD thErapy”) trials, the results of which were published in the American Journal of Respiratory and Critical Care Medicine.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we plan to start a dose-ranging Phase 2b trial to assess the safety and efficacy of a fixed-dose nebulized combination of ensifentrine with glycopyrrolate, a Long-Acting Muscarinic Antagonist (“LAMA”), for the maintenance treatment of patients with COPD in the second half of 2025. We have successfully completed a dose-ranging Phase 2 trial with glycopyrrolate to support this program.</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enrolling subjects into a Phase 2 trial to assess the efficacy and safety of nebulized ensifentrine in patients with non-cystic fibrosis bronchiectasis (“bronchiectasis”).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and have an accumulated deficit of $578.8 million as of March 31, 2025. We expect to incur additional losses and negative cash flows from operations until our product or product candidates potentially reach commercial profitability, if at all.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significant expenses in connection with our ongoing activities, if and as we:</w:t>
      </w:r>
    </w:p>
    <w:p>
      <w:pPr>
        <w:spacing w:after="0" w:line="72" w:lineRule="exact"/>
        <w:rPr>
          <w:sz w:val="20"/>
          <w:szCs w:val="20"/>
          <w:color w:val="auto"/>
        </w:rPr>
      </w:pPr>
    </w:p>
    <w:p>
      <w:pPr>
        <w:ind w:left="260" w:hanging="255"/>
        <w:spacing w:after="0" w:line="271"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operate a sales, marketing and distribution infrastructure, continue to increase production to commercial scale with our manufacturing and other Chemistry, Manufacturing and Controls activities to commercialize Ohtuvayre as well as any additional products for which we may obtain regulatory approval;</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clinical development of a fixed-dose combination of ensifentrine and a LAMA as well as our DPI and pMDI formulations of ensifentrine and research and development of other formulations of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8" w:name="page19"/>
    <w:bookmarkEnd w:id="18"/>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further clinical trials for ensifentrine for the treatment of bronchiectasis, acute COPD, CF or any other indication;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progress pre-clinical studies relating to other potential indications of ensifentrine;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additional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of our product candidates that successfully complete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commercialization efforts and to support our continuing operations as a U.S. public company; and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any issues from any of the above, including but not limited to failed studies, complex results, safety issues or other regulatory challenges.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that our cash and cash equivalents as of March 31, 2025, our anticipated product sales and funding expected to become available under the Term Loans will enable us to fund our planned operating expenses and capital expenditure requirements for at least the next 12 months. The remaining advances under the Term Loans are contingent upon the achievement of commercial milestones and other specified conditions, and in the case of the Tranche E Term Loan (as defined in the Term Loans) under the Term Loans, at the sole discretion of the lenders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Clinical development update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Phase 3 ENHANCE program</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U.S. approval of Ohtuvayre was based on extensive data including the Phase 3 ENHANCE trials, the results of which were published in the American Journal of Respiratory and Critical Care Medicine.</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reported positive top-line results from ENHANCE-2 and ENHANCE-1 in August and December 2022, respectively. Ohtuvayre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Ohtuvayre substantially reduced the rate and risk of moderate to severe COPD exacerbations and was well tolerated in both trials.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ENHANCE trials were designed to evaluate Ohtuvayre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demographics and disease characteristics were well balanced between treatment groups in both trials.</w:t>
      </w:r>
    </w:p>
    <w:p>
      <w:pPr>
        <w:spacing w:after="0" w:line="83" w:lineRule="exact"/>
        <w:rPr>
          <w:sz w:val="20"/>
          <w:szCs w:val="20"/>
          <w:color w:val="auto"/>
        </w:rPr>
      </w:pPr>
    </w:p>
    <w:p>
      <w:pPr>
        <w:ind w:left="260" w:hanging="255"/>
        <w:spacing w:after="0" w:line="271"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ENHANCE-1 approximately 69% of subjects received background COPD therapy, either a LAMA or a long-acting beta-antagonist (“LABA”). Additionally, approximately 20% of all subjects received inhaled corticosteroids (“ICS”) with concomitant LAMA or LABA.</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ENHANCE-2 approximately 55% of subjects received background COPD therapy, either a LAMA or a LABA. Additionally, approximately 15% of all subjects received ICS with concomitant LAMA or 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223520</wp:posOffset>
            </wp:positionV>
            <wp:extent cx="5173980" cy="278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3980" cy="278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Clinical Development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Ensifentrine / Long-Acting Muscarinic Antagonist fixed-dose combination</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developing a fixed-dose combination formulation with ensifentrine and glycopyrrolate, a LAMA, for the maintenance treatment of patients with COPD via delivery in a nebulizer. We have filed patent applications in multiple jurisdictions including the U.S. We plan to start a dose-ranging Phase 2b trial to assess the safety and efficacy of the fixed-dose combination in the second half of 2025. We have successfully completed a dose-ranging Phase 2 trial with glycopyrrolate to support this program.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Non-cystic fibrosis bronchiectasis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Bronchiectasis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Based on the clinical results of ensifentrine observed in patients with COPD, including improvements in lung function and symptoms of cough and sputum, we believe that ensifentrine could potentially be an effective treatment for bronchiectasis. In the third quarter of 2024, we commenced a Phase 2 clinical trial to assess the efficacy and safety of nebulized ensifentrine in patients with bronchiectasis.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Nuance Pharma</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2021, we entered into an agreement with Nuance Pharma for exclusive rights to develop and commercialize ensifentrine in Greater China, with future potential milestone payments up to $179 million plus royalties. In August 2022, Nuance Pharma received clearance from the Center of Drug Evaluation for its IND application to conduct both Phase 1 and Phase 3 studies with ensifentrine for the maintenance treatment of COPD in mainland China. Nuance Pharma initiated a Phase 1 trial with ensifentrine in healthy volunteers in March 2023, and, in September 2024, Nuance completed enrollment in its own pivotal Phase 3 trial evaluating ensifentrine for the maintenance treatment of COPD in China with results expected in the second quarter of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Completion of treatment in the Phase 3 trial in March 2025 triggered a milestone payment of $5.0 million to the Company. This amount is due within 30 days.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February 2025, Nuance announced that Ohtuvayre was approved in Macau, the first approval outside of the U.S., for the maintenance treatment of COPD in adult patients.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changes to the Company’s critical accounting estimates described in the Company’s 2024 Form 10-K during the three months ended March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sales, net</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With the FDA approval of Ohtuvayre and our commercial launch in the third quarter of 2024, we began to recognize product sales. We record product sales net of estimated distribution fees, government rebates and chargebacks, commercial chargebacks, product returns, co-pay assistance costs and other fees.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revenue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revenue consists of revenue unrelated to product sales of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began to recognize cost of sales after the commercial launch of Ohtuvayre in the third quarter of 2024. Cost of sales includes the cost of producing inventory related to Ohtuvayre including manufacturing, freight and overhead as well as sales-based royalties due to Ligand.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Research and development costs consist of salary and personnel related costs and third party costs for our research and development activities for ensifentrine. Personnel related costs include a share-based compensation charge relating to our share-based compensation. The largest component of third party costs is for clinical trials, as well as manufacturing for clinical supplies and associated development, and pre-clinical studies. Prior to obtaining regulatory approval for Ohtuvayre, we expensed costs relating to production of pre-launch inventory as research and development expense in our condensed consolidated statements of operations and comprehensive loss in the period incurred. All other research and development costs are expensed as incurred.</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our research and development costs to increase in future years related to our additional trials for a fixed-dose combination formulation for COPD patients and nebulized ensifentrine in patients with bronchiectasis.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the nature of research and development, the expected costs are inherently uncertain and may vary significantly from our current expectations.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costs consist of salary and personnel related costs, including share-based compensation, expenses relating to the launch of Ohtuvayre and other commercial activities, expenses relating to operating as a public company, including professional fees, insurance and commercial related costs, as well as other operating expenses.</w:t>
      </w:r>
    </w:p>
    <w:p>
      <w:pPr>
        <w:spacing w:after="0" w:line="29" w:lineRule="exact"/>
        <w:rPr>
          <w:sz w:val="20"/>
          <w:szCs w:val="20"/>
          <w:color w:val="auto"/>
        </w:rPr>
      </w:pPr>
    </w:p>
    <w:p>
      <w:pPr>
        <w:ind w:right="2000"/>
        <w:spacing w:after="0" w:line="363" w:lineRule="auto"/>
        <w:rPr>
          <w:sz w:val="20"/>
          <w:szCs w:val="20"/>
          <w:color w:val="auto"/>
        </w:rPr>
      </w:pPr>
      <w:r>
        <w:rPr>
          <w:rFonts w:ascii="Times New Roman" w:cs="Times New Roman" w:eastAsia="Times New Roman" w:hAnsi="Times New Roman"/>
          <w:sz w:val="14"/>
          <w:szCs w:val="14"/>
          <w:color w:val="auto"/>
        </w:rPr>
        <w:t xml:space="preserve">As we continue to develop our knowledge of the market and refine our commercial operations, expected costs may vary significantly from our current expectations. </w:t>
      </w:r>
      <w:r>
        <w:rPr>
          <w:rFonts w:ascii="Times New Roman" w:cs="Times New Roman" w:eastAsia="Times New Roman" w:hAnsi="Times New Roman"/>
          <w:sz w:val="14"/>
          <w:szCs w:val="14"/>
          <w:i w:val="1"/>
          <w:iCs w:val="1"/>
          <w:color w:val="auto"/>
        </w:rPr>
        <w:t>Other income/(expense)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Other income/(expense) are driven by interest income and expense, foreign exchange movements on cash and cash equivalents and taxes receivable, and, historically, the U.K. research and development tax credits (the “R&amp;D tax credit”).</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historically participated in the U.K. Small and Medium Enterprises research and development tax relief program. The tax credits are calculated as a percentage of qualifying research and development expenditure and are payable in cash by the U.K. government to us on the basis that the Company is loss making. Credits recorded related to the 2023 and 2024 financial years are expected to be received in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Taxation</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Our effective tax rate varies from the statutory U.K. tax rate in each period presented primarily due to the recording of a valuation allowance for our deferred tax assets. We assess the available positive and negative evidence to estimate whether sufficient future taxable income will be generated to permit use of the existing deferred tax assets. A significant piece of objective negative evidence evaluated was the cumulative consolidated loss incurred over the three-year period ended December 31, 2024. Such objective evidence limits the ability to consider other subjective evidence, such as our projections for future growth. We have determined that the reversal of future taxable temporary differences corresponding to our deferred tax liabilities will not provide a sufficient source of income for realization of our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March 31, 2025 and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statements of operations for the three months ended March 31, 2025 and 2024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sales, net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71,256</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revenue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76,256</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76,256</w:t>
            </w:r>
          </w:p>
        </w:tc>
        <w:tc>
          <w:tcPr>
            <w:tcW w:w="0" w:type="dxa"/>
            <w:vAlign w:val="bottom"/>
          </w:tcPr>
          <w:p>
            <w:pPr>
              <w:spacing w:after="0"/>
              <w:rPr>
                <w:sz w:val="1"/>
                <w:szCs w:val="1"/>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0" w:type="dxa"/>
            <w:vAlign w:val="bottom"/>
          </w:tcPr>
          <w:p>
            <w:pPr>
              <w:spacing w:after="0"/>
              <w:rPr>
                <w:sz w:val="1"/>
                <w:szCs w:val="1"/>
                <w:color w:val="auto"/>
              </w:rPr>
            </w:pPr>
          </w:p>
        </w:tc>
      </w:tr>
      <w:tr>
        <w:trPr>
          <w:trHeight w:val="265"/>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23"/>
                <w:szCs w:val="2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0" w:type="dxa"/>
            <w:vAlign w:val="bottom"/>
          </w:tcPr>
          <w:p>
            <w:pPr>
              <w:spacing w:after="0"/>
              <w:rPr>
                <w:sz w:val="1"/>
                <w:szCs w:val="1"/>
                <w:color w:val="auto"/>
              </w:rPr>
            </w:pPr>
          </w:p>
        </w:tc>
      </w:tr>
      <w:tr>
        <w:trPr>
          <w:trHeight w:val="85"/>
        </w:trPr>
        <w:tc>
          <w:tcPr>
            <w:tcW w:w="6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69,112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48,678</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59,375</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16,881</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(8,609)</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(expense)/income, net</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benefit/(expense)</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(25,794)</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sales, net</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Ohtuvayre received FDA approval on June 26, 2024 and the product was commercially available in August 2024. Product sales, net for Ohtuvayre was $71.3 million for the three months ended March 31,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revenue</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Other revenue was $5.0 million for the three months ended March 31, 2025, due to a milestone earned by the Company for Nuance Pharma’s completion of treatment in the Phase 3 trial development under the Nuance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Cost of sales was $3.4 million for the three months ended March 31, 2025 which includes Ohtuvayre manufacturing costs incurred after FDA approval, inventory overhead costs and sales-based royalties due to Ligand.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Research and development costs were $14.1 million for the three months ended March 31, 2025, compared to $6.8 million for the three months ended March 31, 2024, an increase of $7.3 million. This increase was primarily due to a $5.5 million increase in share-based compensation as well as an increase of $1.9 million for clinical trial and other development costs as we incurred costs related to the two Phase 2 studies initiated in the third quarter of 2024 related to the combination of ensifentrine and glycopyrrolate and Ohtuvayre in patients with bronchiectasis.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Selling, general and administrative costs were $69.1 million for the three months ended March 31, 2025, compared to $20.4 million for the three months ended March 31, 2024, an increase of $48.7 million. This increase was driven primarily by a $9.3 million increase in people-related costs and $27.1 million in share-based compensation, each of which were impacted by the hiring of our field sales team in mid-2024 in the lead-up to the launch of Ohtuvayre. Additionally, our marketing and other commercial related activities, including travel, increased by $7.8 million as we continue to incur costs supporting the launch of Ohtuvayre. We also had an increase of $2.7 million related to professional and consulting fees, information technology costs, other support costs due to the continued buildout of our commercial organization as well as an increase of $1.0 million related to third party costs related to our RIPSA repurchase and the amendment and draw of Tranche C of the Term Loans.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Other income/(expense), net for the three months ended March 31, 2025 was expense of $6.2 million compared to income of $2.2 million for the three months ended March 31, 2024, a change of $8.4 million. This increase in net expense was primarily due to an increase in interest expense of $8.6 million related to our higher average debt balance and the noncash interest expense recognized on the RIPSA, which was repurchased in the first quarter of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three months ended March 31, 2025 and 2024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2340" w:type="dxa"/>
            <w:vAlign w:val="bottom"/>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30"/>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1"/>
        </w:trPr>
        <w:tc>
          <w:tcPr>
            <w:tcW w:w="69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30"/>
        </w:trPr>
        <w:tc>
          <w:tcPr>
            <w:tcW w:w="69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399,757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127,985</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by/(used in) financing activities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16,580</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401,415</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254,882</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146,533</w:t>
            </w:r>
          </w:p>
        </w:tc>
      </w:tr>
      <w:tr>
        <w:trPr>
          <w:trHeight w:val="20"/>
        </w:trPr>
        <w:tc>
          <w:tcPr>
            <w:tcW w:w="6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Net cash used in operating activities was $11.6 million in the three months ended March 31, 2025, compared to $13.6 million during the three months ended March 31, 2024, a decrease of $2.0 million. The decrease in cash used in operating activities was primarily due to our cash received from product sales of Ohtuvayre which was partially offset by the increase of commercial costs of Ohtuvayre and the related increase in people-related costs for the field sales team and commercial and corporate support functions.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Net cash provided by financing activities was $13.5 million in the three months ended March 31, 2025, compared to net cash used of $3.1 million in the three months ended March 31, 2024, a change of $16.6 million. The increase in cash provided by financing activities was primarily due to current period net proceeds of $12.6 million from Tranche C draw under the Term Loans and RIPSA repurchase and increase of $4.3 million for the cash received from the exercise of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we have financed our operations primarily through the issuances of our equity securities, from borrowings under term loan facilities, from product sales and from the Nuance Agreement.</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incurred recurring losses since inception, including net losses of $16.3 million for the three months ended March 31, 2025, and $173.4 million for the year ended December 31, 2024. As of March 31, 2025, we had an accumulated deficit of $578.8 million. We may incur additional losses and negative cash flows from operations until we reach profitability, if at all, and we may continue to incur operating losses in the future as we have expenses related to our commercial efforts as well as costs to expand our research and development efforts, advance our clinical development of ensifentrine in other formulations or for other indications, acquire and develop additional assets and seek to obtain regulatory approval for and commercialization of our pipeline.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ongoing material financing commitments, such as lines of credit or guarantees, that are expected to affect our liquidity over the next five years, other than leases and the Term Loans.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Financing and Capital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2025, we had the following financing transactions:</w:t>
      </w:r>
    </w:p>
    <w:p>
      <w:pPr>
        <w:spacing w:after="0" w:line="168"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the Term Loans decreasing the interest rate from 11.0% to 9.7% and increasing the Tranche C draw under the Term Loans from $75.0 million to $125.0 million;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Repurchased the RIPSA in full.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also to Note 7 - Debt to the unaudited condensed consolidated financial statements for additional information on the Term Loans and RIPSA.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Funding requirements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believe that our cash and cash equivalents as of March 31, 2025, our product sales and funding expected to become available under the Term Loans, will enable us to fund planned operating expenses and capital expenditure requirements for at least the next 12 months from the date of issuance of our condensed consolidated financial statements included elsewhere in this Form 10-Q. Future advances under the Term Loans are contingent upon achievement of certain commercial milestones and other specified conditions, and in the case of the Tranche E Term Loan, at the sole discretion of the lenders.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may exceed insured limits.</w:t>
      </w:r>
    </w:p>
    <w:p>
      <w:pPr>
        <w:spacing w:after="0" w:line="1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may require additional capital to research and develop additional indications or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financings, collaboration or licensing agreements and other arrangements. However, there is no guarantee that we will be successful in securing additional capital on acceptable terms, or at all. In addition, the magnitude and duration of the global instability due to the United States political environment, disruptions and extreme volatility in the global economy, including rising inflation and interest rates, declines in economic growth, and the ongoing conflicts in Europe and the Middle East and their impact on our liquidity and future funding requirements is uncertain as of the filing date of this Quarterly Report on Form 10-Q, as the situation continues to evolve.</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expect to finance our cash needs through a combination of the proceeds from Ohtuvayre product sales, securities offerings, debt financings, license and collaboration agreements and research grants. If we raise capital through equity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5" w:name="page26"/>
    <w:bookmarkEnd w:id="25"/>
    <w:p>
      <w:pPr>
        <w:jc w:val="both"/>
        <w:spacing w:after="0" w:line="241" w:lineRule="auto"/>
        <w:rPr>
          <w:sz w:val="20"/>
          <w:szCs w:val="20"/>
          <w:color w:val="auto"/>
        </w:rPr>
      </w:pPr>
      <w:r>
        <w:rPr>
          <w:rFonts w:ascii="Times New Roman" w:cs="Times New Roman" w:eastAsia="Times New Roman" w:hAnsi="Times New Roman"/>
          <w:sz w:val="14"/>
          <w:szCs w:val="14"/>
          <w:color w:val="auto"/>
        </w:rPr>
        <w:t>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83" w:lineRule="exact"/>
        <w:rPr>
          <w:sz w:val="20"/>
          <w:szCs w:val="20"/>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studies required to support the commercial positioning of Ohtuvayre for the maintenance treatment of COPD in adult patients and any future product candidates;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 new product candidates we decide to in-license and develop;</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the ensifentrine active ingredient and derived formulated drug products and for other formulations of ensifentrine in development;</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growing our organization to the size needed to allow for the research, development and commercialization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current and future commercialization activities, including manufacturing, marketing, sales and distribution, for Ohtuvayre;</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and availability of adequate third-party coverage and reimbursement for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our products;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licensing or milestone fees we might have to pay during future development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2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 we may derive either directly or in the form of royalty payments from future sales of Ohtuvayre or any future product candidates, including ensifentrine in other indications;</w:t>
      </w:r>
    </w:p>
    <w:p>
      <w:pPr>
        <w:spacing w:after="0" w:line="232"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develop a sales, marketing and distribution infrastructure and scale up external manufacturing capabilities to commercialize Ohtuvayre and any product candidates for which we may obtain regulatory approval; and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6" w:name="page27"/>
    <w:bookmarkEnd w:id="26"/>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exposed to market risk related to changes in interest rates. As of March 31, 2025 and December 31, 2024, we had cash and cash equivalents of $401.4 million and $399.8 million, respectively, consisting primarily of money market funds.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three months ended March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Risk</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is exposed to foreign exchange risk as a result of transactions in currencies other than its functional currency, the U.S. dollar. The Company’s expenses in the three months ended March 31, 2025 were incurred primarily in U.S. dollars, but also included euros and pound sterling. As at March 31, 2025, approximately 2% of cash and cash equivalents and 5% of accounts payable were denominated in foreign currencies. In addition, the R&amp;D tax credit receivable is in pound sterling. Due to the relative magnitude of our foreign currency holdings, a change of 1% in foreign exchange rates would not have a material effect on our business, financial condition or results of operations.</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2025, our disclosure controls and procedures were effective at the reasonable assurance level.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Rules 13a-15(f) and 15d-15(f) under the Exchange Act) occurred during the quarter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currently subject to any material legal proceedings.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auto"/>
        </w:rPr>
        <w:t>Investing in our ADSs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have not generated any significant product revenue.</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a biopharmaceutical company with a limited operating history, and have incurred significant operating losses since our inception. We had net losses of $16.3 million for the three months ended March 31, 2025, and $173.4 million for the year ended December 31, 2024. As of March 31, 2025, we had an accumulated deficit of $578.8 million. Our losses have resulted principally from expenses incurred in research and development of ensifentrine,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and support the commercialization of ensifentrine under the brand name Ohtuvayre™ (ensifentrine), which was approved by the FDA on June 26, 2024 for the maintenance treatment of chronic obstructive pulmonary disease ("COPD”) in adult patients. We generally use “Ohtuvayre” when referring to our FDA-approved version of ensifentrine, and “ensifentrine” when referring to our investigational programs for ensifentrine. We anticipate that our expenses will increase substantially as we:</w:t>
      </w:r>
    </w:p>
    <w:p>
      <w:pPr>
        <w:spacing w:after="0" w:line="60"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trials of ensifentrine for the treatment of non-cystic fibrosis bronchiectasis (“bronchiectasis”), cystic fibrosis (“CF”), asthma or other indications;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pharmacology studies with any formulation;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or in-license additional respiratory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pre-clinical studies to support ensifentrine and potentially other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the manufacturing processes and produce clinical and commercial supplies of the ensifentrine active pharmaceutical ingredient and formulated drug products derived from it;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additional regulatory approvals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maintain or obtain freedom to operate for our in-licensed technologies and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commercialization efforts;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operations to support commercialization and research activities in the U.S. and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4" w:right="319" w:bottom="1440" w:gutter="0" w:footer="0" w:header="0"/>
        </w:sectPr>
      </w:pPr>
    </w:p>
    <w:bookmarkStart w:id="28" w:name="page29"/>
    <w:bookmarkEnd w:id="28"/>
    <w:p>
      <w:pPr>
        <w:jc w:val="both"/>
        <w:spacing w:after="0" w:line="271" w:lineRule="auto"/>
        <w:rPr>
          <w:sz w:val="20"/>
          <w:szCs w:val="20"/>
          <w:color w:val="auto"/>
        </w:rPr>
      </w:pPr>
      <w:r>
        <w:rPr>
          <w:rFonts w:ascii="Times New Roman" w:cs="Times New Roman" w:eastAsia="Times New Roman" w:hAnsi="Times New Roman"/>
          <w:sz w:val="14"/>
          <w:szCs w:val="14"/>
          <w:color w:val="auto"/>
        </w:rPr>
        <w:t>Our expenses may also increase substantially if we experience any delays or encounter any issues with any of the above, including, but not limited to, failed pre-clinical studies or clinical trials, complex results, safety issues, manufacturing difficulties, inadequate quantity or quality of ensifentrine for our clinical trials or finished drug product, or regulatory challenges.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devoted substantially all of our financial resources and efforts to the research and development, pre-clinical studies and clinical trials, and commercialization of Ohtuvayre for the maintenance treatment of COPD of adults in the U.S. We are continuing the development of ensifentrine in other formulations and for other targeted indications, and to support commercialization of Ohtuvayre in other territories, if and when approved in such territories.</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To become and remain profitable, we must succeed in developing our product candidates and commercializing our product, Ohtuvayre, and any other products for which we may receive regulatory approval that generate significant revenue. This will require us to be successful in a range of challenging activities, including completing clinical trials of ensifentrine in other formulations and other targeted indications, discovering and developing additional product candidates, obtaining additional regulatory approvals for ensifentrine and for any future product candidates that successfully complete clinical trials, establishing manufacturing, commercial and marketing capabilities and ultimately distributing and selling any products for which we obtain regulatory approval, including our approved product Ohtuvayre. We are only in the preliminary stages of some of these activities, such as the commercialization of Ohtuvayre. We may never succeed in these activities and, even if we do, we may never generate revenue that is significant enough to achieve profitability.</w:t>
      </w:r>
    </w:p>
    <w:p>
      <w:pPr>
        <w:spacing w:after="0" w:line="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planned clinical trials or the development of ensifentrine in additional formulations or for other targeted indications, or any other product candidates, our expenses could increase and revenue could be further delayed.</w:t>
      </w:r>
    </w:p>
    <w:p>
      <w:pPr>
        <w:spacing w:after="0" w:line="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Ohtuvayre is our only product approved for marketing. It is approved in the U.S. and Macau but is not approved in any other jurisdiction, and may never receive approval in other jurisdictions. We may not be successful in obtaining regulatory approval for any additional products, and Ohtuvayre may never generate revenues sufficient to achieve or sustain profitability. The net losses we incur may fluctuate significantly from quarter to quarter and year to year. Our failure to achieve or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part of their investment.</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and planned activities, particularly as we continue to commercialize Ohtuvayre, and conduct clinical trials of ensifentrine in other formulations and for other targeted indications.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U.S. and maintaining a listing on the Nasdaq Global Market, or Nasdaq. Accordingly, we may need to obtain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estimate that our existing cash resources, our product sales and additional funding received and expected to become available under the 2024 Term Loans (as defined below) will be sufficient to fund our operating expenses and capital expenditure requirements for at least the next 12 months from the date of issuance of our unaudited condensed consolidated financial statements included elsewhere in this Quarterly Report on Form 10-Q. Future advances under the 2024 Term Loans are contingent upon achievement of certain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9" w:name="page30"/>
    <w:bookmarkEnd w:id="29"/>
    <w:p>
      <w:pPr>
        <w:jc w:val="both"/>
        <w:spacing w:after="0" w:line="246" w:lineRule="auto"/>
        <w:rPr>
          <w:sz w:val="20"/>
          <w:szCs w:val="20"/>
          <w:color w:val="auto"/>
        </w:rPr>
      </w:pPr>
      <w:r>
        <w:rPr>
          <w:rFonts w:ascii="Times New Roman" w:cs="Times New Roman" w:eastAsia="Times New Roman" w:hAnsi="Times New Roman"/>
          <w:sz w:val="14"/>
          <w:szCs w:val="14"/>
          <w:color w:val="auto"/>
        </w:rPr>
        <w:t>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83" w:lineRule="exact"/>
        <w:rPr>
          <w:sz w:val="20"/>
          <w:szCs w:val="20"/>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studies required to support the commercial positioning of Ohtuvayre for the maintenance treatment of COPD in adult patients and any future product candidates;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 new product candidates we in-license and develop;</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the ensifentrine active ingredient and derived formulated drug products and for other formulations of ensifentrine in development;</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growing our organization to the size needed to allow for the research, development and commercialization of ensifentrine or any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current and future commercialization activities, including manufacturing, marketing, sales and distribution, for Ohtuvayre;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and availability of adequate third-party coverage and reimbursement for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our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licensing or milestone fees we might have to pay during future development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50"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 we may derive either directly or in the form of royalty payments from future sales of Ohtuvayre or any future product candidates, including ensifentrine in other indications;</w:t>
      </w:r>
    </w:p>
    <w:p>
      <w:pPr>
        <w:spacing w:after="0" w:line="221"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fully developing a sales, marketing and distribution infrastructure and scale up of external manufacturing capabilities to commercialize Ohtuvayre and any product candidates for which we may obtain regulatory approval; and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operate as a public company.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Any additional fundraising efforts may divert our management from their day-to-day activities, which may adversely affect our ability to develop and commercialize Ohtuvayre or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14"/>
          <w:szCs w:val="14"/>
          <w:color w:val="auto"/>
        </w:rPr>
        <w:t>We depend solely on the commercial success of Ohtuvayre. If we are unable to generate significant revenue from the sale of Ohtuvayre or successfully develop ensifentrine for other indications, our financial condition will be adversely affected.</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FDA approved our New Drug Application (“NDA”) for Ohtuvayre for the maintenance treatment of COPD in adult patients on June 26, 2024, and we began generating revenue from the sale of Ohtuvayre in August 2024. We have invested substantially all of our efforts and financial resources on the development of Ohtuvayre and preparation for its commercial launch, including costs related to commercial drug supply, sales, and marketing, and it is our sole source of revenue. Our ability to achieve profitability depends heavily on its successful commercialization. In addition, we have not submitted a marketing authorization application (“MAA”) to the EMA or comparable applications to other regulatory authorities for Ohtuvayre. The success of Ohtuvayre will depend on many factors, including the following:</w:t>
      </w:r>
    </w:p>
    <w:p>
      <w:pPr>
        <w:spacing w:after="0" w:line="62"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efficacy and potential advantages over alternative treatments, including over direct competitors;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including any limitations or warnings contained in a product’s approved labeling;</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and ease of administration;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to prescribe these therapies;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 and timing of market introduction of competitive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Ohtuvayre for sale at a competitive price;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publicity concerning our product, or competing products and treatments;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coverage and adequate reimbursement for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occurrence of adverse clinical findings or decreased effectiveness of our product over time identified during continued monitoring and evaluation of patients;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 together with other medications;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CMOs and supply chain to maintain sufficient quantity and quality, and uninterrupted supply, of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timely scale up manufacturing capabilities through current or additional sources to support any increase in market demand;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manufacturing issues, product performance issues or stability issues;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interactions of our product with other medicines patients are taking;</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private and governmental payers coverage, particularly if the percentage of patients receiving reimbursement from state Medicaid is high since such process can be slower to reimburse; and</w:t>
      </w:r>
    </w:p>
    <w:p>
      <w:pPr>
        <w:spacing w:after="0" w:line="50"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efforts of governmental and other third-party payors to contain, reduce or shift the costs of healthcare through various means, including an increased emphasis on managed care and attempts to limit or regulate the price of medical products and services, particularly for new and innovative products and therapies, any of which may result in downward pressure on pricing, reimbursement and utilization, which may adversely affect our product sales and results of operations.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Even if a product displays a favorable efficacy and safety profile in clinical studies, market acceptance of the product will not be known until some period after it is launched. Our efforts to educate the medical community and payers on the benefits of Ohtuvayre may require significant resources and may never be successful. Our efforts to educate the marketplace may require more resources than are required by the conventional technologies marketed by our competitors. Any of these factors may cause Ohtuvayre to be unsuccessful or less successful than anticipated.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 of any product candidates, including our planned and ongoing development programs for ensifentrine, will depend on many factors, including the following:</w:t>
      </w:r>
    </w:p>
    <w:p>
      <w:pPr>
        <w:spacing w:after="0" w:line="83"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that a product candidate is safe and effective as a treatment for our targeted indications to the satisfaction of the applicable regulatory authorities;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1"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1" w:name="page32"/>
    <w:bookmarkEnd w:id="31"/>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require additional pre-clinical or clinical trials, which would increase our costs and prolong our development;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of a product candidate may not meet the level of statistical or clinical significance required by the applicable regulatory authorities for marketing approval;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disagree with the number, design, size, conduct or implementation of our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research organizations (“CROs”) that we retain to conduct clinical trials may take actions outside of our control that materially adversely impact our clinical trials;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not find the data from pre-clinical studies and clinical trials sufficient to demonstrate that the clinical and other benefits of a product candidate outweigh its safety risks or may disagree with our interpretation of data;</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a non-clinical safety profile that is acceptable to the applicable regulatory authorities;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operational or clinical issues may prevent completion or interpretation of clinical study results;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manufacturing issues, product performance issues or stability issues may delay or otherwise adversely affect the progress of our clinical development program;</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regulatory authorities determine that inspections of the manufacturing facilities or clinical sites for our product candidates are required in connection with a marketing application, and such regulatory authorities are unable to conduct such inspections, whether due to travel restrictions or geopolitical conflict, including war and terrorism, such as the ongoing conflicts in Europe and the Middle East;</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not accept data generated at our clinical trial sites due to Good Clinical Practice (“GCP”) compliance issues, misconduct, or other reasons;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require development of a risk evaluation and mitigation strategy (“REMS”) or similar risk management measures as a condition of approval;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identify deficiencies in the manufacturing processes or facilities of our third-party manufacturers;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change their approval policies or adopt new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license a product candidate to others, the efforts of those parties in completing clinical trials of, receiving regulatory approval for, and commercializing that product candidate;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our clinical trials, we may discover factors that limit the commercial viability of a product candidate or make the commercialization of such product candidate unfeasible;</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retain rights under a collaboration agreement for a product candidate, our efforts in completing pre-clinical studies and clinical trials of, receiving marketing approvals for, establishing commercial manufacturing capabilities for, and commercializing such product candidate; and</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approved, acceptance of a product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unfavorable outcome in any of these factors could result in our experiencing significant delays or an inability to successfully commercialize our product candidates.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received FDA approval to commercialize ensifentrine in the U.S. for the maintenance treatment of COPD in adult patients under the brand name Ohtuvayre. We may in the future seek regulatory approval to commercialize ensifentrine in the European Union (“EU”) and additional countries. While the scope of regulatory approval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2" w:name="page33"/>
    <w:bookmarkEnd w:id="32"/>
    <w:p>
      <w:pPr>
        <w:jc w:val="both"/>
        <w:spacing w:after="0" w:line="271" w:lineRule="auto"/>
        <w:rPr>
          <w:sz w:val="20"/>
          <w:szCs w:val="20"/>
          <w:color w:val="auto"/>
        </w:rPr>
      </w:pPr>
      <w:r>
        <w:rPr>
          <w:rFonts w:ascii="Times New Roman" w:cs="Times New Roman" w:eastAsia="Times New Roman" w:hAnsi="Times New Roman"/>
          <w:sz w:val="14"/>
          <w:szCs w:val="14"/>
          <w:color w:val="auto"/>
        </w:rPr>
        <w:t>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investors to evaluate the success of our business to date and to assess our future viability.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with different formulations of ensifentrine and for different indications, and two registrational Phase 3 clinical trials with nebulized ensifentrine for the maintenance treatment of COPD. While we have received approval for marketing ensifentrine in the U.S. for the maintenance treatment of COPD in adults, we are in the early stages of sales, marketing and distribution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May 9, 2024 (the “2024 Effective Date”), Verona Pharma, Inc. entered into a term loan facility of up to $400.0 million (“2024 Term Loan Agreement”), with Oaktree Fund Administration, LLC, a Delaware limited liability company, as administrative agent, (in such capacity, the “Agent”) and certain funds managed by each of Oaktree Capital Management, L.P. (“Oaktree”) and OCM Life Sciences Portfolio LP (“OMERS”) party thereto (collectively the “Lenders”). On March 27, 2025 (the “First Amendment Effective Date”), we entered into the first amendment (the “First Amendment”) to the 2024 Term Loan Agreement with the Agent and the Lenders to, among other things, increase the Tranche C Term Loan commitment thereunder from $75.0 million to $125.0 million (increasing the overall term loan facility thereunder to a total of $450.0 million) and add a provision allowing us to incur a working capital credit facility of up to $75.0 million (the 2024 Term Loan Agreement as amended by the First Amendment, the “Term Loan Agreement” and the term loans borrowed thereunder, the “Term Loans”).</w:t>
      </w:r>
    </w:p>
    <w:p>
      <w:pPr>
        <w:spacing w:after="0" w:line="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the 2024 Effective Date, we received net proceeds of $52.8 million related to the Tranche A Term Loan under the 2024 Term Loan Agreement. We received net proceeds of $68.6 million related to the Tranche B Term Loan on June 28, 2024 following FDA approval of Ohtuvayre. On the First Amendment Effective Date, we drew down the full $125 million ($122.5 million in net proceeds) from the Tranche C Term Loans under the Term Loan Agreement. Pursuant to the First Amendment, the interest rate on the Term Loans was reduced from 11.0% per annum to 9.70% per annum, with a further reduction to 9.35% per annum upon achievement of certain sales milestones.</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outstanding indebtedness, including any additional indebtedness incurred beyond our borrowings under the Term Loans, combined with our other financial obligations and contractual commitments could have significant adverse consequences, including:</w:t>
      </w:r>
    </w:p>
    <w:p>
      <w:pPr>
        <w:spacing w:after="0" w:line="50" w:lineRule="exact"/>
        <w:rPr>
          <w:sz w:val="20"/>
          <w:szCs w:val="20"/>
          <w:color w:val="auto"/>
        </w:rPr>
      </w:pPr>
    </w:p>
    <w:p>
      <w:pPr>
        <w:ind w:left="260" w:hanging="255"/>
        <w:spacing w:after="0" w:line="271"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market conditions;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restrictive covenants that may reduce our ability to take certain corporate actions or obtain further debt or equity financing;</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need to meet minimum net sales requirements when our future sales are uncertain;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industry in which we compete;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competitors that have less debt or better debt servicing options.</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intend to satisfy our current and future debt service obligations with our then existing cash and cash equivalents. However, we may not have sufficient funds, and may be unable to arrange for additional financing, to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3" w:name="page34"/>
    <w:bookmarkEnd w:id="33"/>
    <w:p>
      <w:pPr>
        <w:jc w:val="both"/>
        <w:spacing w:after="0" w:line="243" w:lineRule="auto"/>
        <w:rPr>
          <w:sz w:val="20"/>
          <w:szCs w:val="20"/>
          <w:color w:val="auto"/>
        </w:rPr>
      </w:pPr>
      <w:r>
        <w:rPr>
          <w:rFonts w:ascii="Times New Roman" w:cs="Times New Roman" w:eastAsia="Times New Roman" w:hAnsi="Times New Roman"/>
          <w:sz w:val="14"/>
          <w:szCs w:val="14"/>
          <w:color w:val="auto"/>
        </w:rPr>
        <w:t>amounts due under the 2024 Term Loans or any other debt instruments. Failure to satisfy our current and future debt obligations, including covenants to take or avoid specific actions, under the 2024 Term Loan Agreement could result in an event of default and, as a result, the 2024 Lenders could accelerate all of the amounts due. In the event of an acceleration of amounts due under the 2024 Term Loan Agreement as a result of an event of default, we may not have sufficient funds or may be unable to arrange for additional financing to repay our indebtedness while still pursuing our current business strategy. In addition, the 2024 Lenders could seek to enforce their security interests in any collateral securing such indebtedness.</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if we are liquidated, the 2024 Lenders’ right to repayment would be senior to the rights of holders of our ADSs or our ordinary shares to receive any proceeds from the liquidation. Any declaration by the 2024 Lenders of an event of default could significantly harm our business and prospects and could cause the price of our ADS to decline. In addition, the covenants under the 2024 Term Loan Agreement,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holders, restrict our operations or require us to relinquish rights to our technologies or product candidates.</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become subject to economic, political, regulatory and other risks associated with international operations.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company based in the U.K. and whose securities are listed on Nasdaq, our business is subject to risks associated with conducting business internationally. Many of our suppliers and collaborative and clinical trial relationships are located outside the U.K. and the U.S. Accordingly, our future results could be harmed by a variety of factors, including:</w:t>
      </w:r>
    </w:p>
    <w:p>
      <w:pPr>
        <w:spacing w:after="0" w:line="40"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rising inflation and interest rates, or political instability in particular non-U.S. economies and markets;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for drug approvals in non-U.S. countries;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jurisdictions could present different issues for securing, maintaining or obtaining freedom to operate in such jurisdictions;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reduced protection for intellectual property rights;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non-U.S. regulations and customs, tariffs and trade barriers;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non-U.S. currency exchange rates of the euro and currency controls;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country’s or region’s political or economic environment;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reimbursement regimes and price controls in certain non-U.S.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4" w:name="page35"/>
    <w:bookmarkEnd w:id="34"/>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consequences from changes in tax laws, the imposition of tariffs, or trade wars;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associated with staffing and managing international operations, including differing labor relations;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ongoing conflicts in Europe and the Middle East, natural disasters including earthquakes, typhoons, floods and fires, or public health emergencies.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rate fluctuations may materially affect our results of operations and financial condition.</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Although we are based in the U.K., our financial statements are denominated in U.S. dollars and many of our business activities are carried out with partners outside the U.S. and U.K.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and Regulatory Approval</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Clinical drug development is a lengthy and expensive process with uncertain timelines and uncertain outcomes. If clinical trials of our product candidates, including our ensifentrine programs for additional targeted indications and formulations, are prolonged or delayed, or if such clinical trials fail to show the safety and efficacy required by regulatory authorities, we or our collaborators may be unable to obtain required regulatory approvals and be unable to commercialize our product candidates on a timely basis, or at all.</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To obtain the requisite regulatory approvals to market and sell our product candidates, we or any collaborator must demonstrate through extensive pre-clinical studies and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product candidates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wish to commercialize ensifentrine in territories other than the U.S., the regulatory authorities in such territories may require us to conduct additional pre-clinical studies or clinical trials beyond those we successfully completed to obtain FDA approval of Ohtuvayre, and if we wish to commercialize ensifentrine in other formulations or for other targeted indications, we will also be required to conduct further clinical studies in the U.S. to support potential FDA approvals for such targeted indications and formulations.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experience delays in clinical trials of ensifentrine in different formulations, including fixed-dose combinations,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41"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generate sufficient preclinical, toxicology, drug product characterizations or other in vivo or in vitro data to support the initiation or continuation of clinical trials;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42"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5" w:name="page36"/>
    <w:bookmarkEnd w:id="35"/>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regulatory agreement on clinical trial design or implementation, including dose and frequency of administration;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regulatory authorization to commence a trial;</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39" w:lineRule="exact"/>
        <w:rPr>
          <w:rFonts w:ascii="Times New Roman" w:cs="Times New Roman" w:eastAsia="Times New Roman" w:hAnsi="Times New Roman"/>
          <w:sz w:val="14"/>
          <w:szCs w:val="14"/>
          <w:color w:val="auto"/>
        </w:rPr>
      </w:pPr>
    </w:p>
    <w:p>
      <w:pPr>
        <w:ind w:left="260" w:hanging="255"/>
        <w:spacing w:after="0" w:line="247"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a CRO to meet their contracted obligations regarding subject enrollment, data collection, data monitoring, laboratory sample management, programming and analysis or other activities;</w:t>
      </w:r>
    </w:p>
    <w:p>
      <w:pPr>
        <w:spacing w:after="0" w:line="22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institutional review board (“IRB”), or ethics committee approval or positive opinion at each site;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recruit suitable patients to participate in a trial;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have patients complete a trial or return for post-treatment follow-up;</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trial protocol or dropping out of a trial or committing gross misconduct or fraud;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to the addition of new clinical trial sites;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achieve or maintain double-blinding, when required by the applicable clinical trial protocol;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technical issues during manufacture;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variability in drug product performance and/or stability;</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discoveries that may reduce the commercial viability of the product candidate;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manufacture sufficient quantities of the applicable product candidates for use in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or stability of the product candidate falling below acceptable standards for either safety or efficacy;</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actions claiming infringement by the product candidate in clinical trials and obtaining injunctions interfering with our progress;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ongoing conflicts in Europe and the Middle East, or natural disasters and other extreme weather-related events including earthquakes, hurricanes, typhoons, floods and fires;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sanctions imposed by the U.S. or other governments impacting our ability to transfer money to certain countries, such as Russia, to pay clinical trials sites in those countries;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or tolerability concerns causing us or our collaborators, as applicable, to suspend or terminate a trial if we or our collaborators find that the participants are being exposed to unacceptable health risks;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guidelines;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retention rates of patients and volunteers in clinical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research contractors to comply with regulatory requirements or to meet their contractual obligations to us in a timely manner, or at all;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certain countries in identifying the populations that we are trying to evaluate in a particular trial, which may delay enrollment.</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6" w:name="page37"/>
    <w:bookmarkEnd w:id="36"/>
    <w:p>
      <w:pPr>
        <w:jc w:val="both"/>
        <w:spacing w:after="0" w:line="241" w:lineRule="auto"/>
        <w:rPr>
          <w:sz w:val="20"/>
          <w:szCs w:val="20"/>
          <w:color w:val="auto"/>
        </w:rPr>
      </w:pPr>
      <w:r>
        <w:rPr>
          <w:rFonts w:ascii="Times New Roman" w:cs="Times New Roman" w:eastAsia="Times New Roman" w:hAnsi="Times New Roman"/>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any product candidate.</w:t>
      </w:r>
    </w:p>
    <w:p>
      <w:pPr>
        <w:spacing w:after="0" w:line="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the product candidate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It is currently unclear to what extent the U.K. will seek to align its regulations with the EU. The U.K. regulatory framework in relation to clinical trials is derived from the now-repealed EU Clinical Trials Directive (as implemented into U.K. law, through the Medicines for Human Use (Clinical Trials) Regulations 2004, as amended).</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extent to which the regulation of clinical trials in the U.K. will mirror the (EU) CTR in the long term is not yet certain, however, on December 12, 2024, the U.K. government introduced a legislative proposal - the Medicines for Human Use (Clinical Trials) Amendment Regulations 2024 - that, if implemented, will replace the current regulatory framework for clinical trials in the U.K. The U.K. government has provided the legislative proposal to the U.K. Parliament for its review and approval. Once the legislative proposal is approved (with or without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7" w:name="page38"/>
    <w:bookmarkEnd w:id="37"/>
    <w:p>
      <w:pPr>
        <w:jc w:val="both"/>
        <w:spacing w:after="0" w:line="271" w:lineRule="auto"/>
        <w:rPr>
          <w:sz w:val="20"/>
          <w:szCs w:val="20"/>
          <w:color w:val="auto"/>
        </w:rPr>
      </w:pPr>
      <w:r>
        <w:rPr>
          <w:rFonts w:ascii="Times New Roman" w:cs="Times New Roman" w:eastAsia="Times New Roman" w:hAnsi="Times New Roman"/>
          <w:sz w:val="14"/>
          <w:szCs w:val="14"/>
          <w:color w:val="auto"/>
        </w:rPr>
        <w:t>it will be adopted into U.K. law which is expected in early 2026. A decision by the U.K. not to closely align its regulations with the new approach that has been adopted in the EU may have an effect on the cost of conducting clinical trials in the U.K. compared with other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are slow or unable to adapt to changes in existing requirements or the adoption of new requirements or policies governing clinical trials, our development plans may be impacted.</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Undesirable side effects that may be caused by a product or product candidate could cause us or regulatory authorities to interrupt, delay or halt clinical trials and could result in a more restrictive or less desirable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twenty Phase 1, 2 and 3 clinical trials of ensifentrine. In these trials, some patients have experienced mild to moderate adverse reactions, including urinary tract infection, back pain, hypertension, and diarrhea. An increase in psychiatric adverse events were reported with use of ensifentrine, although such events were rare and a causal relationship between ensifentrine and increased rates of psychiatric events could not be established at the time of FDA approval of Ohtuvayre.</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Additionally, if we or others identify undesirable or unacceptable side effects following regulatory approval, a number of potentially significant negative consequences could result, including:</w:t>
      </w:r>
    </w:p>
    <w:p>
      <w:pPr>
        <w:spacing w:after="0" w:line="48" w:lineRule="exact"/>
        <w:rPr>
          <w:sz w:val="20"/>
          <w:szCs w:val="20"/>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approvals of such products and require us to take them off the market;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specific warnings, a contraindication or field alerts to physicians and pharmacies;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is administered, conduct additional clinical trials or change the labeling of the product;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limitations on how we may promote a product;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sales may be adversely impacted;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litigation or product liability claims;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Any of these events could prevent us or any collaborators from achieving or maintaining market acceptance of any approved products, including Ohtuvayre, or could have significant negative consequences on the commercialization of such products, which in turn could delay or prevent us from generating significant revenue from the sale of such products.</w:t>
      </w:r>
    </w:p>
    <w:p>
      <w:pPr>
        <w:spacing w:after="0" w:line="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develop ensifentrine in different formulations, including fixed-dose combinations, and/or for other targeted indications, including bronchiectasis, CF, asthma or other respiratory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8" w:name="page39"/>
    <w:bookmarkEnd w:id="38"/>
    <w:p>
      <w:pPr>
        <w:jc w:val="both"/>
        <w:spacing w:after="0" w:line="238" w:lineRule="auto"/>
        <w:rPr>
          <w:sz w:val="20"/>
          <w:szCs w:val="20"/>
          <w:color w:val="auto"/>
        </w:rPr>
      </w:pPr>
      <w:r>
        <w:rPr>
          <w:rFonts w:ascii="Times New Roman" w:cs="Times New Roman" w:eastAsia="Times New Roman" w:hAnsi="Times New Roman"/>
          <w:sz w:val="14"/>
          <w:szCs w:val="14"/>
          <w:color w:val="auto"/>
        </w:rPr>
        <w:t>Part of our strategy is to continue to develop ensifentrine in different formulations and in indications other than COPD, such as bronchiectasis, CF and asthma and other formulations including fixed-dose combinations, MDI and DPI. Although our research and development efforts to date have suggested that ensifentrine has the potential to treat bronchiectasis, CF and asthma, we may not be able to successfully develop ensifentrine to address these or any other diseases or conditions.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We may find that it may not be feasible to develop an acceptable combination of ensifentrine with other products, including LAMAs, or that chemical stability or drug product stability does not support further development. If we do not continue to successfully develop, obtain regulatory approval for, and begin to commercialize ensifentrine for additional indications or formulations, we will face difficulty in obtaining product revenues in future periods, which could significantly harm our financial position.</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depend on enrollment of patients in our clinical trials. If we are unable to enroll patients in our clinical trials, or enrollment is slower than anticipated, our research and development efforts could be adversely affected.</w:t>
      </w:r>
    </w:p>
    <w:p>
      <w:pPr>
        <w:spacing w:after="0" w:line="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Successful and timely completion of clinical trials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will increase our costs, slow down our development and delay or potentially jeopardize our ability to commence product sales and generate revenue. In addition, some of the factors that cause, or lead to, a delay in the commencement or completion of clinical trials may also ultimately lead to the denial of regulatory approval.</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are exposed to potential product liability and professional indemnity risks that are inherent in the research, development, manufacturing, marketing and use of pharmaceutical products. The current and future use of product candidates by us and any collaborators in clinical trials, and the commercial sale of Ohtuvayre by us or partners, may expose us to liability claims. These claims might be made by patients that use the product, healthcare providers, pharmaceutical companies, our collaborators or others selling Ohtuvayre. Any claims against us, regardless of their merit, could be difficult and costly to defend and could adversely affect the market for Ohtuvayre or any prospects for commercialization of other product candidates. In addition, regardless of the merits or eventual outcome, liability claims may result in:</w:t>
      </w:r>
    </w:p>
    <w:p>
      <w:pPr>
        <w:spacing w:after="0" w:line="62"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Ohtuvayre;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the reputation of Ohtuvayre in the market;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related litigation;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time and our resources;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 product recalls or withdrawals, or labeling, marketing or promotional restrictions;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or promote any approved products, including Ohtuvayre.</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and patients may not comply with warnings that identify known potential adverse effects and patients who should not use a product.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Although we maintain product liability insurance for our product candidates and commercial products including Ohtuvayre, it is possible that our liabilities could exceed our insurance coverage.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outside of the U.S. and it is possible that ensifentrine or any product candidates we may develop in the future will never obtain the necessary or desired regulatory approvals.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Prior to obtaining approval to commercialize a product candidate in the U.S.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applicable regulatory authority. The FDA or foreign regulatory agencies may also require us to conduct additional preclinical studies or clinical trials prior to or post-approval, or it may object to elements of our clinical development program.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 candidates could fail to receive regulatory approval for many reasons, including the following:</w:t>
      </w:r>
    </w:p>
    <w:p>
      <w:pPr>
        <w:spacing w:after="0" w:line="72" w:lineRule="exact"/>
        <w:rPr>
          <w:sz w:val="20"/>
          <w:szCs w:val="20"/>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the EMA or comparable foreign regulatory authorities that a product candidate is safe and effective for its proposed indication;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benefits outweigh its safety risks;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our interpretation of data from pre-clinical studies or clinical trials or may find the data to be unacceptable;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may, for various reasons, be considered insufficient to support the submission or approval of an NDA or supplemental NDA in the U.S., an MAA or variation in the EU, or other comparable submission to obtain regulatory approval in other countries;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fail to approve the manufacturing processes or facilities of third-party manufacturers with which we contract for clinical and commercial supplies;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the design or implementation of our clinical trials;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our proposed product specifications and performance characteristics.</w:t>
      </w:r>
    </w:p>
    <w:p>
      <w:pPr>
        <w:spacing w:after="0" w:line="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future clinical trial results may result in our failing to obtain the necessary or desired regulatory approvals for our product candidates. The FDA, the EMA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0" w:name="page41"/>
    <w:bookmarkEnd w:id="40"/>
    <w:p>
      <w:pPr>
        <w:jc w:val="both"/>
        <w:spacing w:after="0" w:line="271" w:lineRule="auto"/>
        <w:rPr>
          <w:sz w:val="20"/>
          <w:szCs w:val="20"/>
          <w:color w:val="auto"/>
        </w:rPr>
      </w:pPr>
      <w:r>
        <w:rPr>
          <w:rFonts w:ascii="Times New Roman" w:cs="Times New Roman" w:eastAsia="Times New Roman" w:hAnsi="Times New Roman"/>
          <w:sz w:val="14"/>
          <w:szCs w:val="14"/>
          <w:color w:val="auto"/>
        </w:rPr>
        <w:t>regulatory authorities have substantial discretion in the approval process, and determining when or whether regulatory approval will be obtained for our products. Even if we believe the data collected from our clinical trials are promising, such data may not be sufficient to support approval by the FDA, the European Commission or any other regulatory authority.</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even if we receive regulatory approvals for our product candidates, regulatory authorities may approve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successful commercialization. Any of the foregoing scenarios could materially harm the commercial prospects for our product candidates, if approved at all.</w:t>
      </w:r>
    </w:p>
    <w:p>
      <w:pPr>
        <w:spacing w:after="0" w:line="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and our business in the long term.</w:t>
      </w:r>
    </w:p>
    <w:p>
      <w:pPr>
        <w:spacing w:after="0" w:line="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staffing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 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Separately, in response to the COVID-19 pandemic, the FDA postponed most inspections at domestic and foreign manufacturing facilities at various points. If a prolonged government shutdown occurs, or if funding shortages, staffing limitations, or renewed global health concerns otherwise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Even though the FDA has approved Ohtuvayre, we remain subject to ongoing obligations and continued regulatory review, which may result in significant additional expense. Additionally, Ohtuvayre and any other approved products could be subject to labeling and other restrictions, or market withdrawal, and we may be subject to penalties if we fail to comply with regulatory requirements or experience unanticipated problems.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With respect to any products approved by the FDA or a comparable foreign regulatory, including Ohtuvayre, the manufacturing processes, labeling, packaging, distribution, adverse event reporting, storage, advertising, promotion and record keeping for such product remains subject to extensive and ongoing regulatory requirements. These requirements include, among other things, payment of annual user fees, submissions of safety and other post-marketing information and reports, facility registration and drug listing, as well as continued compliance with cGMP and similar foreign requirements for the manufacture of the product and GCP requirements for any clinical trials that we conduct post-approval, all of which may result in significant expense and limit our ability to commercialize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1" w:name="page42"/>
    <w:bookmarkEnd w:id="41"/>
    <w:p>
      <w:pPr>
        <w:jc w:val="both"/>
        <w:spacing w:after="0" w:line="271" w:lineRule="auto"/>
        <w:rPr>
          <w:sz w:val="20"/>
          <w:szCs w:val="20"/>
          <w:color w:val="auto"/>
        </w:rPr>
      </w:pPr>
      <w:r>
        <w:rPr>
          <w:rFonts w:ascii="Times New Roman" w:cs="Times New Roman" w:eastAsia="Times New Roman" w:hAnsi="Times New Roman"/>
          <w:sz w:val="14"/>
          <w:szCs w:val="14"/>
          <w:color w:val="auto"/>
        </w:rPr>
        <w:t>approved products, including Ohtuvayre. In addition, any approval we may obtain could include significant limitations related to use, restrictions for specified age groups, warnings, precautions or contraindications, and may include burdensome post-approval study or risk management requirements.</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and our contract manufacturers will also be subject to periodic inspection by the FDA and other regulatory authorities to monitor compliance with these requirements.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59"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the rejection of product approvals;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conduct clinical trials, including full or partial clinical holds on ongoing or planned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products, manufacturers or manufacturing process;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seizures, detentions or import bans;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and publicity requirements;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restrictions on operations, including costly new manufacturing requirements.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products and generate revenue and could require us to expend significant time and resources in response and could generate negative publicity.</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If we are found to have improperly promoted off-label uses for our products, we may become subject to significant liability. 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For example, the FDA has approved Ohtuvayre for the maintenance treatment of COPD in adult patients, and we are not permitted to promote Ohtuvayre for any other uses.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Ohtuvayre and any other products for which we may obtain regulatory approval, we could become subject to significant liability, which would materially adversely affect our business and financial condition.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never obtain approval or commercialize ensifentrine in other major markets outside of the U.S., which would limit our ability to realize its full market potential.</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While we have received approval in the U.S. for Ohtuvayre for the maintenance treatment of COPD in adult patients, and in Macau for the maintenance treatment of COPD in adult patients in collaboration with Nuance Pharma, we currently do not have any product candidates approved for sale in any other jurisdiction, whether in the EU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compromised.</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14"/>
          <w:szCs w:val="14"/>
          <w:color w:val="auto"/>
        </w:rPr>
        <w:t>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Healthcare Laws and Other Legal Compliance Matters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Enacted and future legislation and regulation may increase the difficulty and cost for us to commercialize our products and may affect the prices we may set.</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the U.S.,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48" w:lineRule="exact"/>
        <w:rPr>
          <w:sz w:val="20"/>
          <w:szCs w:val="20"/>
          <w:color w:val="auto"/>
        </w:rPr>
      </w:pPr>
    </w:p>
    <w:p>
      <w:pPr>
        <w:ind w:left="260" w:hanging="255"/>
        <w:spacing w:after="0" w:line="271"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statutory minimum rebates a manufacturer must pay under the Medicaid Drug Rebate Program (the “MDRP”);</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methodology by which rebates owed by manufacturers under the MDRP are calculated for drugs that are inhaled, infused, instilled, implanted or injected and not generally distributed through the retail channel;</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 of a manufacturer’s Medicaid rebate liability to covered drugs dispensed to individuals who are enrolled in Medicaid managed care organizations;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Patient-Centered Outcomes Research Institute to oversee, identify priorities in, and conduct comparative clinical effectiveness research, along with funding for such research; and</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Other legislative changes have been proposed and adopted in the U.S. since the ACA was enacted. For example, the Budget Control Act of 2011 has, among other things, led to aggregate reductions of Medicare payments to providers, which, due to subsequent legislative amendments to the statute, will remain in effect through 2032, unless additional action is taken by Congress. The American Taxpayer Relief Act of 2012, among other things, further reduced Medicare payments to several types of providers, including hospitals, imaging centers and cancer treatment centers, and increased the statute of limitations period for the government to recover overpayments to providers from three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4" w:name="page45"/>
    <w:bookmarkEnd w:id="44"/>
    <w:p>
      <w:pPr>
        <w:jc w:val="both"/>
        <w:spacing w:after="0" w:line="246" w:lineRule="auto"/>
        <w:rPr>
          <w:sz w:val="20"/>
          <w:szCs w:val="20"/>
          <w:color w:val="auto"/>
        </w:rPr>
      </w:pPr>
      <w:r>
        <w:rPr>
          <w:rFonts w:ascii="Times New Roman" w:cs="Times New Roman" w:eastAsia="Times New Roman" w:hAnsi="Times New Roman"/>
          <w:sz w:val="14"/>
          <w:szCs w:val="14"/>
          <w:color w:val="auto"/>
        </w:rPr>
        <w:t>five years. In addition, the American Rescue Plan Act of 2021 eliminated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Most significantly, in August 2022, the Inflation Reduction Act of 2022, or IRA, was signed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our company and the pharmaceutical industry cannot yet be fully determined but is likely to be significant.</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new and changing laws, regulations, executive orders and other governmental actions may also create uncertainty about how laws and regulations will be interpreted and applied. Regulatory changes and other actions that materially affect our business may be announced with little or no advance notice, and we may be unable to effectively mitigate all adverse impacts from such measures.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pacing w:after="0" w:line="20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products, if approved. In international markets, reimbursement and healthcare payment systems vary significantly by country, and many countries have instituted price ceilings on specific products and therapies.</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(“HTA”) amending Directive 2011/24/EU, was adopted. The Regulation entered into force in January 2022 and has been applicable since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14"/>
          <w:szCs w:val="14"/>
          <w:color w:val="auto"/>
        </w:rPr>
        <w:t>2025, with phased implementation based on the type of product, i.e. oncology and advanced therapy medicinal products as of 2025, orphan medicinal products as of 2028, and all other medicinal products by 2030.</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we may be subject to enforcement action and we may not achieve or sustain profitability.</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57" w:lineRule="exact"/>
        <w:rPr>
          <w:sz w:val="20"/>
          <w:szCs w:val="20"/>
          <w:color w:val="auto"/>
        </w:rPr>
      </w:pPr>
    </w:p>
    <w:p>
      <w:pPr>
        <w:jc w:val="both"/>
        <w:ind w:left="260" w:hanging="255"/>
        <w:spacing w:after="0" w:line="243"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48" w:lineRule="exact"/>
        <w:rPr>
          <w:rFonts w:ascii="Times New Roman" w:cs="Times New Roman" w:eastAsia="Times New Roman" w:hAnsi="Times New Roman"/>
          <w:sz w:val="14"/>
          <w:szCs w:val="14"/>
          <w:color w:val="auto"/>
        </w:rPr>
      </w:pPr>
    </w:p>
    <w:p>
      <w:pPr>
        <w:jc w:val="both"/>
        <w:ind w:left="260" w:hanging="255"/>
        <w:spacing w:after="0" w:line="241"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61" w:lineRule="exact"/>
        <w:rPr>
          <w:rFonts w:ascii="Times New Roman" w:cs="Times New Roman" w:eastAsia="Times New Roman" w:hAnsi="Times New Roman"/>
          <w:sz w:val="14"/>
          <w:szCs w:val="14"/>
          <w:color w:val="auto"/>
        </w:rPr>
      </w:pPr>
    </w:p>
    <w:p>
      <w:pPr>
        <w:jc w:val="both"/>
        <w:ind w:left="260" w:hanging="255"/>
        <w:spacing w:after="0" w:line="243"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4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FDCA, which prohibits, among other things, the adulteration or misbranding of drugs, biologics and medical devices;</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6" w:name="page47"/>
    <w:bookmarkEnd w:id="46"/>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38"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61" w:lineRule="exact"/>
        <w:rPr>
          <w:rFonts w:ascii="Times New Roman" w:cs="Times New Roman" w:eastAsia="Times New Roman" w:hAnsi="Times New Roman"/>
          <w:sz w:val="14"/>
          <w:szCs w:val="14"/>
          <w:color w:val="auto"/>
        </w:rPr>
      </w:pPr>
    </w:p>
    <w:p>
      <w:pPr>
        <w:jc w:val="both"/>
        <w:ind w:left="260" w:hanging="255"/>
        <w:spacing w:after="0" w:line="241"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51" w:lineRule="exact"/>
        <w:rPr>
          <w:rFonts w:ascii="Times New Roman" w:cs="Times New Roman" w:eastAsia="Times New Roman" w:hAnsi="Times New Roman"/>
          <w:sz w:val="14"/>
          <w:szCs w:val="14"/>
          <w:color w:val="auto"/>
        </w:rPr>
      </w:pPr>
    </w:p>
    <w:p>
      <w:pPr>
        <w:jc w:val="both"/>
        <w:ind w:left="260" w:hanging="255"/>
        <w:spacing w:after="0"/>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EU, interactions between pharmaceutical companies,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and commercialization activities.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7" w:name="page48"/>
    <w:bookmarkEnd w:id="47"/>
    <w:p>
      <w:pPr>
        <w:jc w:val="both"/>
        <w:spacing w:after="0" w:line="243" w:lineRule="auto"/>
        <w:rPr>
          <w:sz w:val="20"/>
          <w:szCs w:val="20"/>
          <w:color w:val="auto"/>
        </w:rPr>
      </w:pPr>
      <w:r>
        <w:rPr>
          <w:rFonts w:ascii="Times New Roman" w:cs="Times New Roman" w:eastAsia="Times New Roman" w:hAnsi="Times New Roman"/>
          <w:sz w:val="14"/>
          <w:szCs w:val="14"/>
          <w:color w:val="auto"/>
        </w:rPr>
        <w:t>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 FTC and many state Attorneys General also continue to enforce federal and state consumer protection laws against companies for online collection, use, dissemination and security practices that appear to be unfair or deceptive, including by regulating the presentation of website content.</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8" w:name="page49"/>
    <w:bookmarkEnd w:id="48"/>
    <w:p>
      <w:pPr>
        <w:jc w:val="both"/>
        <w:spacing w:after="0"/>
        <w:rPr>
          <w:sz w:val="20"/>
          <w:szCs w:val="20"/>
          <w:color w:val="auto"/>
        </w:rPr>
      </w:pPr>
      <w:r>
        <w:rPr>
          <w:rFonts w:ascii="Times New Roman" w:cs="Times New Roman" w:eastAsia="Times New Roman" w:hAnsi="Times New Roman"/>
          <w:sz w:val="14"/>
          <w:szCs w:val="14"/>
          <w:color w:val="auto"/>
        </w:rPr>
        <w:t>U.S., and the efficacy and longevity of current transfer mechanisms between the EEA and the U.S.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Relatedly, since the beginning of 2021, following the U.K.’s withdrawal from the EEA and the EU, and the expiry of the transition period, companies have had to comply with both the GDPR and the GDPR as incorporated into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varied and differing positions on environmental sustainability and social initiatives by government and other stakeholders could increase our costs, harm our reputation and adversely impact our financial results.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There has been varied and differing public focus by investors, environmental activists, the media, governmental and nongovernmental organizations, and other stakeholders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this emphasis on environmental, social and other sustainability matters has resulted and may result in the adoption of new laws and regulations, including new reporting requirements. We are currently assessing the potential impacts of the adopted or proposed laws, as well as other sustainability related disclosure obligations and evolving legal and regulatory requirements, to which we may be subject. If we fail to comply with new laws, regulations or reporting requirements, our reputation and business could be adversely impacted.</w:t>
      </w:r>
    </w:p>
    <w:p>
      <w:pPr>
        <w:spacing w:after="0" w:line="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9" w:name="page50"/>
    <w:bookmarkEnd w:id="49"/>
    <w:p>
      <w:pPr>
        <w:jc w:val="both"/>
        <w:spacing w:after="0" w:line="246" w:lineRule="auto"/>
        <w:rPr>
          <w:sz w:val="20"/>
          <w:szCs w:val="20"/>
          <w:color w:val="auto"/>
        </w:rPr>
      </w:pPr>
      <w:r>
        <w:rPr>
          <w:rFonts w:ascii="Times New Roman" w:cs="Times New Roman" w:eastAsia="Times New Roman" w:hAnsi="Times New Roman"/>
          <w:sz w:val="14"/>
          <w:szCs w:val="14"/>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operations are subject to anti-corruption laws, including the U.K. Bribery Act 2010 (the “ Bribery Act”), the U.S. Foreign Corrupt Practices Act (the “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We will face intense competition for our approved products from a variety of businesses, including large, fully integrated pharmaceutical companies, biopharmaceutical companies and specialty 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products.</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Given the number of products already on the market and in development to treat COPD, asthma, CF and bronchiectasis, we expect to face intense competition for our products, including for Ohtuvayre, and for ensifentrine, if approved for these additional indications. Companies including GlaxoSmithKline, AstraZeneca, Vertex, Viatris, Theravance, Gilead, Genentech, Regeneron and Sanofi currently have treatments on the market for COPD, CF and asthma, and we anticipate that new companies will enter these markets in the future. While no treatments for bronchiectasis currently have marketing approval in the U.S. or EU, there are products in late-stage clinical development and in the regulatory review process that could be approved in the future. Our products will compete with existing therapies and new therapies that may become available in the future. The highly competitive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0" w:name="page51"/>
    <w:bookmarkEnd w:id="50"/>
    <w:p>
      <w:pPr>
        <w:spacing w:after="0" w:line="271" w:lineRule="auto"/>
        <w:rPr>
          <w:sz w:val="20"/>
          <w:szCs w:val="20"/>
          <w:color w:val="auto"/>
        </w:rPr>
      </w:pPr>
      <w:r>
        <w:rPr>
          <w:rFonts w:ascii="Times New Roman" w:cs="Times New Roman" w:eastAsia="Times New Roman" w:hAnsi="Times New Roman"/>
          <w:sz w:val="14"/>
          <w:szCs w:val="14"/>
          <w:color w:val="auto"/>
        </w:rPr>
        <w:t>and rapid technological changes in, the biopharmaceutical and pharmaceutical industries could render our products obsolete, less competitive or uneconomical. Our competitors may, among other things:</w:t>
      </w:r>
    </w:p>
    <w:p>
      <w:pPr>
        <w:spacing w:after="0" w:line="29" w:lineRule="exact"/>
        <w:rPr>
          <w:sz w:val="20"/>
          <w:szCs w:val="20"/>
          <w:color w:val="auto"/>
        </w:rPr>
      </w:pPr>
    </w:p>
    <w:p>
      <w:pPr>
        <w:ind w:left="260" w:hanging="255"/>
        <w:spacing w:after="0" w:line="271"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commercialize products that are safer, more effective, less expensive, more convenient or easier to administer, or have fewer or less severe side effects;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quicker regulatory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superior proprietary positions covering our products and technologies;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more effective approaches to sales, marketing and distribution; or</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more advantageous strategic alliances.</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our products. Our commercial opportunity could be reduced or eliminated if our competitors develop and commercialize products that are more effective, have fewer or less severe side effects, are more convenient or are less expensive than our products.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Forecasting potential sales for Ohtuvayre is difficult, and if our projections are inaccurate, our business may be harmed and our share price may be adversely affected.</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business planning requires us to forecast or make assumptions regarding product demand and revenues for Ohtuvayre, despite numerous uncertainties. These uncertainties may be increased if we rely on third parties to conduct commercial activities in certain jurisdictions and provide us with accurate and timely information. Actual results may differ materially from projected results for various reasons, including the following, as well as risks identified in other risk factors:</w:t>
      </w:r>
    </w:p>
    <w:p>
      <w:pPr>
        <w:spacing w:after="0" w:line="46"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Ohtuvayre, including as relative to marketed products and product candidates in development by third parties;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(including discounting and other promotions), reimbursement, product returns or recalls, competition, labeling, adverse events and other items that impact commercialization;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adoption in the particular market, including fluctuations in demand for various reasons;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market size;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patient and physician familiarity with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patient use and physician prescribing history;</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commercialization experience with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relating to rate of adoption;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provided without compensation through patient support programs or other free drug programs, may not eventually result in or contribute to revenue-producing prescriptions.</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expect that our revenues from sales of Ohtuvayre will be based in part on estimates, judgment and accounting policies. Any incorrect estimates or disagreements with regulators or others regarding such estimates, judgment or accounting policies may result in changes to our guidance, projections or previously reported results. Expected and actual product sales and quarterly and other results may greatly fluctuate, including in the near-term, and such fluctuations can adversely affect the price of our common stock, perceptions of our ability to forecast demand and revenues, and our ability to maintain and fund our operations. The metrics that we are tracking in order to evaluate the success of our sales efforts may not correlate to commercial success, particularly given the challenging market for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1" w:name="page52"/>
    <w:bookmarkEnd w:id="51"/>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Ohtuvayre will depend in part on the extent to which governmental authorities and health insurers establish adequate coverage, reimbursement levels and pricing policies for it. Failure to obtain or maintain adequate coverage and reimbursement for Ohtuvayre could limit our ability to market it and decrease our ability to generate revenue.</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Ohtuvayre. Our ability to achieve and maintain acceptable levels of coverage and reimbursement by governmental authorities, private health insurers and other organizations will have an effect on our ability to successfully commercialize ensifentrine. Assuming we obtain coverage for Ohtuvayre by a third-party payor, the resulting reimbursement payment rates may not be adequate or may require co-payments that patients find unacceptably high. Moreover, for drugs and biologics administered under the supervision of a physician, obtaining appropriate documentation for usage may be difficult because of the higher prices often associated with such products. We cannot be sure that coverage and reimbursement in the U.S., the EU or elsewhere will be available for Ohtuvayre or any product that we may develop, and any reimbursement that may become available may be decreased or eliminated in the future.</w:t>
      </w:r>
    </w:p>
    <w:p>
      <w:pPr>
        <w:spacing w:after="0" w:line="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Ohtuvayre as substitutable and only offer to reimburse patients for the less expensive product. Even if we show improved efficacy or improved convenience of administration with Ohtuvayre, pricing of existing drugs may limit the amount we will be able to charge for Ohtuvayre.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Ohtuvayre, and may not be able to obtain a satisfactory financial return on Ohtuvayre.</w:t>
      </w:r>
    </w:p>
    <w:p>
      <w:pPr>
        <w:spacing w:after="0" w:line="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continued coverage and reimbursement for Ohtuvayre.</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Obtaining and maintaining reimbursement status is time consuming and costly. No uniform policy for coverage and reimbursement for products exists among third-party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Ohtuvayre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Ohtuvayre will be primarily reimbursed under a medical benefit through either Medicare Part B or Medicare Advantage programs, and changes within how products are reimbursed under these programs could occur and those changes may affect the overall coverage and reimbursement of Ohtuvayre in the future.</w:t>
      </w:r>
    </w:p>
    <w:p>
      <w:pPr>
        <w:spacing w:after="0" w:line="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approved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U.S., the reimbursement for our products may be reduced compared with the U.S. and may be insufficient to generate commercially reasonable revenue and profits.</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Ohtuvayre due to the trend toward managed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52" w:name="page53"/>
    <w:bookmarkEnd w:id="52"/>
    <w:p>
      <w:pPr>
        <w:jc w:val="both"/>
        <w:spacing w:after="0" w:line="271" w:lineRule="auto"/>
        <w:rPr>
          <w:sz w:val="20"/>
          <w:szCs w:val="20"/>
          <w:color w:val="auto"/>
        </w:rPr>
      </w:pPr>
      <w:r>
        <w:rPr>
          <w:rFonts w:ascii="Times New Roman" w:cs="Times New Roman" w:eastAsia="Times New Roman" w:hAnsi="Times New Roman"/>
          <w:sz w:val="14"/>
          <w:szCs w:val="14"/>
          <w:color w:val="auto"/>
        </w:rPr>
        <w:t>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even if a pharmaceutical product obtains a marketing authorization in the EU, there can be no assurance that reimbursement for such product will be secured on a timely basis or at all.</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Medicaid is a joint federal and state program administered by the states for low income and disabled beneficiaries. We participate in and have certain price reporting obligations under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recently-enacted IRA imposes rebates under Medicare Part B and Medicare Part D that are triggered by price increases that outpace inflation (first due in 2023), as described under the risk factor “Enacted and future legislation and regulation may increase the difficulty and cost for us to commercialize our products and may affect the prices we may set,” above. The Medicare Part D rebate will be calculated on the basis of the AMP figures we report pursuant to the MDRP.</w:t>
      </w:r>
    </w:p>
    <w:p>
      <w:pPr>
        <w:spacing w:after="0" w:line="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order for Ohtuvayre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53" w:name="page54"/>
    <w:bookmarkEnd w:id="53"/>
    <w:p>
      <w:pPr>
        <w:jc w:val="both"/>
        <w:spacing w:after="0" w:line="243" w:lineRule="auto"/>
        <w:rPr>
          <w:sz w:val="20"/>
          <w:szCs w:val="20"/>
          <w:color w:val="auto"/>
        </w:rPr>
      </w:pPr>
      <w:r>
        <w:rPr>
          <w:rFonts w:ascii="Times New Roman" w:cs="Times New Roman" w:eastAsia="Times New Roman" w:hAnsi="Times New Roman"/>
          <w:sz w:val="14"/>
          <w:szCs w:val="14"/>
          <w:color w:val="auto"/>
        </w:rPr>
        <w:t>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products, including Ohtuvayre, do not gain market acceptance or if we fail to accurately forecast demand or manage our inventories, our business will suffer because we might not be able to fund future operations.</w:t>
      </w:r>
    </w:p>
    <w:p>
      <w:pPr>
        <w:spacing w:after="0" w:line="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Patients or the medical community may not accept or use Ohtuvayre in the U.S. If Ohtuvayre does not achieve an adequate level of acceptance, we may not generate significant product revenues or any profits from operations. The degree of market acceptance of Ohtuvayre will depend on a variety of factors, including:</w:t>
      </w:r>
    </w:p>
    <w:p>
      <w:pPr>
        <w:spacing w:after="0" w:line="40"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product relative to other products for the same or similar treatment;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clinical profile of competing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 for which Ohtuvayre is approved;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acceptable evidence of safety and efficacy;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frequency, and ease of administration;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effectiveness;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sales, and distribution support;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adequate coverage, reimbursement and adequate payment from health maintenance organizations and other insurers, both public and private;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4" w:name="page55"/>
    <w:bookmarkEnd w:id="54"/>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potential advantages over alternative treatment methods.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Our results of operations could be materially harmed if we are unable to accurately forecast customer demand for Ohtuvayre and manage our inventory. To ensure adequate inventory supply, we must forecast inventory needs and place orders with our suppliers based on our estimates of future demand for Ohtuvayre. Our ability to accurately forecast demand for Ohtuvayre could be negatively affected by many factors, including our failure to accurately manage our expansion strategy, product introductions by competitors, an increase or decrease in customer demand for Ohtuvayre or for products of our competitors, our failure to accurately forecast customer acceptance of new products, unanticipated changes in general market conditions or regulatory matters, and weakening of economic conditions or consumer confidence in future economic conditions.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commercial capabilities and infrastructure, including sales, marketing, operations, distribution, and reimbursement infrastructure, may not be adequate to successfully commercialize Ohtuvayre.</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continuing to develop sales, marketing, operations, distribution and reimbursement capabilities and infrastructure after receiving approval of Ohtuvayre in June 2024, and we did not market, sell or distribute pharmaceutical products prior to the approval of Ohtuvayre. The establishment of commercial capabilities and infrastructure, including sales, marketing, operations, distribution, and reimbursement with technical expertise and supporting distribution capabilities to commercialize Ohtuvayre, is expensive and time consuming. Some or all of these costs were incurred in preparation for approval and will continue as we commercialize Ohtuvayre for the maintenance treatment of COPD in adult patients. In addition, our sales force may not be sufficient in size or have adequate expertise in the medical markets that we intend to target, and we may have difficulty retaining our sales employees or attracting new employees. Any failure of our internal sales, marketing, market access, and distribution capabilities on our own or through collaborations would adversely impact the commercialization of Ohtuvayre.</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contracting third parties to perform certain services to support our sales, marketing, warehousing, distribution and reimbursement activities. To the extent that any of these third parties fail to perform their services in compliance with their obligations to us or other parties, we may not be successful in commercializing Ohtuvayre and our future product revenues may be adversely impacted.</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To the extent that we enter into collaboration agreements with respect to marketing, sales or distribution, our product revenue may be lower than if we directly marketed or sold Ohtuvayre.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Ohtuvayre. If we are not successful in commercializing Ohtuvayre, either on our own or through collaborations with one or more third parties, our future product revenue will suffer and we may incur significant additional losses.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establish effective sales and marketing capabilities to market and sell our approved product, Ohtuvayre, we may be unable to generate adequate revenue.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continuing to establish our infrastructure for the sales, marketing, market access, and distribution of Ohtuvayre, and the cost of establishing and maintaining such an organization may exceed the benefits of doing so. Additionally, the infrastructure we have built to support the launch of Ohtuvayre, future indications of ensifentrine, or other potential marketed products may not be sufficient, and we may be required to increase spending or add resources to support commercialization efforts.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established an in-house sales force to promote Ohtuvayre to appropriate healthcare providers including those that may be associated with hospital networks, Integrated delivery networks and third-party payers in the United States.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14"/>
          <w:szCs w:val="14"/>
          <w:color w:val="auto"/>
        </w:rPr>
        <w:t>We compete with other companies to recruit, hire, train and retain sales and marketing personnel. We cannot be sure that we will be able to retain a sufficient number of qualified sales representatives or that they will be effective at promoting Ohtuvayre. In addition, we will need to commit significant additional management and other resources to build our sales organization to the desired size, and we may not be successful in a cost-effective manner.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may inhibit our efforts to establish and maintain our sales and marketing capabilities include:</w:t>
      </w:r>
    </w:p>
    <w:p>
      <w:pPr>
        <w:spacing w:after="0" w:line="83"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train and retain adequate numbers of effective sales and marketing personnel;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in order to educate physicians about Ohtuvayre or our product candidates, once approved;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fixed costs as compared to companies who market products using independent third parties, such as costs associated with employee benefits, training, and managing sales personnel;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are unable to establish adequate sales, marketing and distribution capabilities, whether independently or with third parties, our business, results of operations, financial condition and prospects will be materially adversely impacted.</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Beyond Ohtuvayre, we may leverage the sales and marketing capabilities that we establish for Ohtuvayre to commercialize additional product candidates or market Ohtuvayre for other indications, if approved by the FDA, in the United States. If we are unable to do so for any reason, we would need to expend additional resources to establish commercialization capabilities for those product candidates or Ohtuvayre for other indications, if approved.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approvals for or commercialize our product candidates and our business could be substantially harmed.</w:t>
      </w:r>
    </w:p>
    <w:p>
      <w:pPr>
        <w:spacing w:after="0" w:line="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Good Laboratory Practice (“GLP”) and GCP requirements, which are regulations and guidelines enforced by the FDA and comparable foreign regulatory authorities with respect to the conduct of clinical trials, and in the case of GLP, certain animal studies. Regulatory authorities enforce these GLP and GCP requirements through periodic inspections of CROs, trial sponsors, principal investigators and trial sites. If we fail to exercise adequate oversight over any of our CROs or if we or any of our CROs fail to comply with applicable GLP or GCP requirements, the non-clinical or clinical data generated in our clinical trials may be deemed unreliable and the FDA, the EMA or comparable foreign regulatory authorities may require us to perform additional studies or clinical trials before approving our marketing applications. We cannot provide assurance that upon a regulatory inspection of us or our CROs or other third parties performing services in connection with our non-clinical studies or clinical trials, such regulatory authority will determine that any of our non-clinical or clinical trials complies with GLP or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will be misappropriated.</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existing and future CROs have or may have the right to terminate their agreements with us in the event of an uncured material breach. In addition, some of our CROs have an ability to terminate their respective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56" w:name="page57"/>
    <w:bookmarkEnd w:id="56"/>
    <w:p>
      <w:pPr>
        <w:jc w:val="both"/>
        <w:spacing w:after="0" w:line="271" w:lineRule="auto"/>
        <w:rPr>
          <w:sz w:val="20"/>
          <w:szCs w:val="20"/>
          <w:color w:val="auto"/>
        </w:rPr>
      </w:pPr>
      <w:r>
        <w:rPr>
          <w:rFonts w:ascii="Times New Roman" w:cs="Times New Roman" w:eastAsia="Times New Roman" w:hAnsi="Times New Roman"/>
          <w:sz w:val="14"/>
          <w:szCs w:val="14"/>
          <w:color w:val="auto"/>
        </w:rPr>
        <w:t>with us if it can be reasonably demonstrated that the safety of the subjects participating in our clinical trials warrants such termination, if we make a general assignment for the benefit of our creditors or if we are liquidated.</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commercialize, our product candidates. As a result, our results of operations and the commercial prospects would be harmed, our costs could increase and our ability to generate revenues could be delayed.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Under the Nuance Agreement, we remain the marketing authorization holder for ensifentrine in the People’s Republic of China (“PRC”).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ensifentrine under the Nuance Agreement, and could have a material adverse effect on Nuance Pharma’s ability to successfully commercialize ensifentrine and the returns that we generate under the Nuance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7" w:name="page58"/>
    <w:bookmarkEnd w:id="57"/>
    <w:p>
      <w:pPr>
        <w:jc w:val="both"/>
        <w:spacing w:after="0" w:line="271" w:lineRule="auto"/>
        <w:rPr>
          <w:sz w:val="20"/>
          <w:szCs w:val="20"/>
          <w:color w:val="auto"/>
        </w:rPr>
      </w:pPr>
      <w:r>
        <w:rPr>
          <w:rFonts w:ascii="Times New Roman" w:cs="Times New Roman" w:eastAsia="Times New Roman" w:hAnsi="Times New Roman"/>
          <w:sz w:val="14"/>
          <w:szCs w:val="14"/>
          <w:color w:val="auto"/>
        </w:rPr>
        <w:t>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other countries.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enter into new strategic relationships for ensifentrine, our business, research and development and commercialization prospects could be adversely affected.</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development programs for our product candidates and, if approved, their commercialization will require substantial additional cash to fund expenses. Therefore, we may decide to enter into collaborations with pharmaceutical or biopharmaceutical companies for their development and commercialization. For example, we may seek a collaborator for development of our DPI or pMDI formulation of ensifentrine for the maintenance treatment of COPD and potentially asthma and other respiratory diseases.</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our product candidates, reduce or delay development programs, delay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products or product candidates to market and generate product revenue. If we do enter into collaboration agreements, we could be subject to the following risks, among others, any of which could adversely affect our ability to develop and commercialize our products and product candidates:</w:t>
      </w:r>
    </w:p>
    <w:p>
      <w:pPr>
        <w:spacing w:after="0" w:line="60" w:lineRule="exact"/>
        <w:rPr>
          <w:sz w:val="20"/>
          <w:szCs w:val="20"/>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control the amount and timing of resources that the collaborator devotes to the development of the product candidate;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collaborator may experience financial difficulties;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relinquish important rights such as marketing, distribution and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could move forward with a competing product developed either independently or in collaboration with third parties, including our competitors;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and/or efficacy data from a collaborator’s clinical development activities may conflict with our data and could potentially impact our global clinical development and commercialization activities;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may unlawfully use or disclose confidential information and materials in breach of confidentiality obligations to us;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combinations or significant changes in a collaborator’s business strategy may adversely affect our willingness to complete our obligations under any arrangement;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 collaborator could fail to adequately perform our obligations under the agreement and/or the agreement could fall into dispute; or</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to protect or enforce patents covering our products or product candidates, or relating to the terms of our collaborations, which could be expensive, time consuming and unsuccessful.</w:t>
      </w:r>
    </w:p>
    <w:p>
      <w:pPr>
        <w:spacing w:after="0" w:line="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Moreover, we rely on third parties to produce commercial supplies of Ohtuvayre, and commercialization could be stopped, delayed or made less profitable if those third parties fail to maintain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do not own facilities for manufacturing ensifentrine and its derived formulated products. Instead, we rely on and expect to continue to rely on third-party CMOs, for the supply of cGMP- or GMP-grade clinical trial materials of ensifentrine and its derived formulated products, including commercial quantities of Ohtuvayre. While we may contract with other CMOs in the future, we currently have one CMO for the manufacture of ensifentrine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8" w:name="page59"/>
    <w:bookmarkEnd w:id="58"/>
    <w:p>
      <w:pPr>
        <w:jc w:val="both"/>
        <w:spacing w:after="0" w:line="235" w:lineRule="auto"/>
        <w:rPr>
          <w:sz w:val="20"/>
          <w:szCs w:val="20"/>
          <w:color w:val="auto"/>
        </w:rPr>
      </w:pPr>
      <w:r>
        <w:rPr>
          <w:rFonts w:ascii="Times New Roman" w:cs="Times New Roman" w:eastAsia="Times New Roman" w:hAnsi="Times New Roman"/>
          <w:sz w:val="14"/>
          <w:szCs w:val="14"/>
          <w:color w:val="auto"/>
        </w:rPr>
        <w:t>substance and one CMO for each formulation of ensifentrine. The facilities used to manufacture ensifentrine and its derived formulated products must be approved for the manufacture of ensifentrine by the FDA, and by comparable foreign regulatory authorities for approvals outside the U.S.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and obtain or maintain regulatory approval for or market ensifentrine and its derived formulated products.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may need to assess alternate suppliers to prevent a possible disruption to our clinical trials and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there would be a shortage in supply, which would impair our ability to generate revenues from the sale of Ohtuvayre. In addition, growth in the costs and expenses of these supplies may impair our ability to cost-effectively manufacture ensifentrine. Additionally, CMOs may experience labor constraints which could impact their ability to manufacture and deliver ensifentrine.</w:t>
      </w:r>
    </w:p>
    <w:p>
      <w:pPr>
        <w:spacing w:after="0" w:line="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w:t>
      </w:r>
    </w:p>
    <w:p>
      <w:pPr>
        <w:spacing w:after="0" w:line="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Certain of our pharmaceutical products are manufactured outside of the U.S.. In certain years, the U.S. government has initiated substantial changes in U.S. trade policy and U.S. trade agreements, including the initiation of tariffs on certain foreign goods. In response to these tariffs, certain foreign governments, including Canada, China and Mexico, have instituted or are considering imposing tariffs on certain U.S. goods. If the U.S. imposes additional tariffs on a broader range of imports from certain countries, and in response those countries take further retaliatory trade measures, these actions could impose additional costs on our business. Increased tariffs could require us to increase our prices which could decrease demand for our product, and in certain cases we may be unable to pass along increased costs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9" w:name="page60"/>
    <w:bookmarkEnd w:id="59"/>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patents and other intellectual property rights to protect our products and product candidates, the enforcement, defense and maintenance of which may be challenging and costly.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enforce or protect these rights adequately could harm our ability to compete and impair our business.</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commercial success depends in part on obtaining and maintaining patents and other forms of intellectual property rights for our products and product candidates,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Ohtuvayre or our product candidates.</w:t>
      </w:r>
    </w:p>
    <w:p>
      <w:pPr>
        <w:spacing w:after="0" w:line="5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products and our product candidates, if approved.</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products in any jurisdiction. For example, U.S. applications filed before November 29, 2000 and certain U.S. applications filed after that date that will not be filed outside the U.S. remain confidential until patents issue. Patent applications in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0" w:name="page61"/>
    <w:bookmarkEnd w:id="60"/>
    <w:p>
      <w:pPr>
        <w:jc w:val="both"/>
        <w:spacing w:after="0" w:line="237" w:lineRule="auto"/>
        <w:rPr>
          <w:sz w:val="20"/>
          <w:szCs w:val="20"/>
          <w:color w:val="auto"/>
        </w:rPr>
      </w:pPr>
      <w:r>
        <w:rPr>
          <w:rFonts w:ascii="Times New Roman" w:cs="Times New Roman" w:eastAsia="Times New Roman" w:hAnsi="Times New Roman"/>
          <w:sz w:val="14"/>
          <w:szCs w:val="14"/>
          <w:color w:val="auto"/>
        </w:rPr>
        <w:t>elsewhere are published approximately 18 months after the earliest filing for which priority is claimed, with such earliest filing date being commonly referred to as the priority date. Therefore, patent applications covering our products or product candidates could have been filed by others without our knowledge. Additionally, pending patent applications that have been published can, subject to certain limitations, be later amended in a manner that could cover our products or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if approved, our product candidates. We may incorrectly determine that one of our products or product candidates is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products or, if approved, our product candidates. Our failure to identify and correctly interpret relevant patents may negatively impact our ability to develop and market our products and, if approved, our product candidates.</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products or, if approved, our product candidates. We might, if possible, also be forced to redesign our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patents covering our products or product candidates, which could be expensive, time consuming and unsuccessful, and issued patents could be found invalid or unenforceable if challenged in court.</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our products or product candidates,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If we were to initiate legal proceedings against a third party to enforce a patent covering one of our products or product candidates, the defendant could counterclaim that our patent is invalid or unenforceable. In patent litigation in the U.S.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products or product candidates. Patents and other intellectual property rights also will not protect our technology if competitors design around our protected technology without infringing our patents or other intellectual property rights.</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1" w:name="page62"/>
    <w:bookmarkEnd w:id="61"/>
    <w:p>
      <w:pPr>
        <w:jc w:val="both"/>
        <w:spacing w:after="0" w:line="236" w:lineRule="auto"/>
        <w:rPr>
          <w:sz w:val="20"/>
          <w:szCs w:val="20"/>
          <w:color w:val="auto"/>
        </w:rPr>
      </w:pPr>
      <w:r>
        <w:rPr>
          <w:rFonts w:ascii="Times New Roman" w:cs="Times New Roman" w:eastAsia="Times New Roman" w:hAnsi="Times New Roman"/>
          <w:sz w:val="14"/>
          <w:szCs w:val="14"/>
          <w:color w:val="auto"/>
        </w:rPr>
        <w:t>Our commercial success depends, in part, upon our ability, and the ability of our future collaborators, to develop, manufacture, market and sell our products and, if approved,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may be subject to claims of infringement of the intellectual property rights of third parties.</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may in the future become party to, or be threatened with, adversarial proceedings or litigation regarding intellectual property rights with respect to Ohtuvayre and any existing or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Ohtuvayre or from selling, incorporating, manufacturing or using our products or product candidates in the U.S. and/or other jurisdictions that use the subject intellectual property. We might, if possible, also be forced to redesign our products or product candidates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if the breadth or strength of protection provided by our or our licensors’ or collaborators’ patents and patent applications is threatened, it could dissuade companies from collaborating with us to license, develop or commercialize Ohtuvayre or any existing or future product candidates.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14"/>
          <w:szCs w:val="14"/>
          <w:color w:val="auto"/>
        </w:rPr>
        <w:t>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under our existing and any future intellectual property licenses, the 2024 Loan Agreement, or any other future loan agreements with third parties, we could lose rights that are important to our business.</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entered into the 2024 Loan Agreement with the 2024 Lenders. The 2024 Term Loans are secured by a first-priority lien on substantially all of the assets of Verona Pharma, Inc. and the Company, including intellectual property. For further description of the 2024 Term Loans, see Note 7 – Debt to the unaudited condensed consolidated financial statements included elsewhere in this Quarterly Report on Form 10-Q. Any uncured, material breach under any of these agreements could result in our loss of rights to practice the patent rights and other intellectual property under these agreements, and could compromise our development and commercialization efforts for our products.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maintaining the necessary rights to our products or product candidates or obtaining other intellectual property rights important to our business through acquisitions and in-licenses.</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currently own and have in-licensed rights to intellectual property, including patents, patent applications and know-how,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our products or product candidates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our products or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a development program on acceptable terms, we may have to abandon that development program.</w:t>
      </w:r>
    </w:p>
    <w:p>
      <w:pPr>
        <w:spacing w:after="0" w:line="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registered trademarks in some territories and made applications to register the trademarks in other territories for potential trade names for our business and products and product candidates. We may not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3" w:name="page64"/>
    <w:bookmarkEnd w:id="63"/>
    <w:p>
      <w:pPr>
        <w:jc w:val="both"/>
        <w:spacing w:after="0" w:line="238" w:lineRule="auto"/>
        <w:rPr>
          <w:sz w:val="20"/>
          <w:szCs w:val="20"/>
          <w:color w:val="auto"/>
        </w:rPr>
      </w:pPr>
      <w:r>
        <w:rPr>
          <w:rFonts w:ascii="Times New Roman" w:cs="Times New Roman" w:eastAsia="Times New Roman" w:hAnsi="Times New Roman"/>
          <w:sz w:val="14"/>
          <w:szCs w:val="14"/>
          <w:color w:val="auto"/>
        </w:rPr>
        <w:t>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protection under the Hatch-Waxman Amendments and similar non-U.S. legislation for extending the term of patents covering Ohtuvayre and any of our product candidates, our ability to compete effectively could be impaired.</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Patents have a limited lifespan. In the U.S., if all maintenance fees are timely paid, the natural expiration of a patent is generally 20 years from its earliest U.S. non-provisional filing date. The issued patents covering the composition of matter for Ohtuvayre expired in 2020. Our other issued patents covering Ohtuvayre will expire between 2031 and 2044, subject to any patent extensions that may be available for such patents. If patents are issued on our pending US patent applications relating to Ohtuvayre, the resulting US patents are projected to expire on dates ranging from 2043 to 2045. Various extensions may be available, but the life of a patent, and the protection it affords, is limited. Even if patents covering Ohtuvayre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Generic drug companies can also challenge the patents of a brand-name drug under the Hatch-Waxman Act. When a generic drug manufacturer files an Abbreviated New Drug Application (ANDA) or a New Drug Application (under 21 U.S.C. § 355(b)(2)) with the FDA to seek approval for a generic version of a brand-name drug that is already on the market, they must make certain certifications regarding the patents listed for such drug in the FDA’s publication entitled Approved Drug Products with Therapeutic Equivalence Evaluations (Orange Book). The Orange Book lists patents that innovator drug companies assert cover their drug products or use of those products and a Paragraph IV certification is a legal challenge to the validity or enforceability, or infringement, of the patent(s) listed in the Orange Book. If the generic applicant makes a Paragraph IV certification, they must also notify the patent holder and the NDA (New Drug Application) holder that they have filed an ANDA or NDA with a Paragraph IV certification, providing detailed reasons why the patent is not valid or not infringed. The filing of a Paragraph IV certification can trigger a statutory stay of approval of the ANDA or NDA for 30 months while the parties engage in patent litigation, unless the litigation is resolved in favor of the generic applicant sooner or the court orders otherwise. This process can be a critical aspect of the generic drug approval pathway and may impact the timing of a generic drug’s entry into the market. Currently, there are four patents listed in the Orange Book for our product Ohtuvayre. Additional pending patent applications related to Ohtuvayre may result in granted patents that are then eligible for Orange Book listing. Ohtuvayre (and the patents listed in the Orange Book for Ohtuvayre) may be cited by potential competitors as a reference listed drug in support of approval of an ANDA for a generic version of Ohtuvayre. Our ability to assert or defend patents covering Ohtuvayre through this process will be adversely affected if we fail to seek or maintain listing of eligible patents in the Orange Book, or fail to otherwise maintain patents for which we have already obtained Orange Book listing.</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4" w:name="page65"/>
    <w:bookmarkEnd w:id="64"/>
    <w:p>
      <w:pPr>
        <w:jc w:val="both"/>
        <w:spacing w:after="0" w:line="236" w:lineRule="auto"/>
        <w:rPr>
          <w:sz w:val="20"/>
          <w:szCs w:val="20"/>
          <w:color w:val="auto"/>
        </w:rPr>
      </w:pPr>
      <w:r>
        <w:rPr>
          <w:rFonts w:ascii="Times New Roman" w:cs="Times New Roman" w:eastAsia="Times New Roman" w:hAnsi="Times New Roman"/>
          <w:sz w:val="14"/>
          <w:szCs w:val="14"/>
          <w:color w:val="auto"/>
        </w:rPr>
        <w:t>We generally file our first patent application, or priority filing, at the U.K. Intellectual Property Office or the U.S. Patent and Trademark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our products in all national and regional jurisdictions where such protection may be available. Filing, prosecuting and defending patents in all countries throughout the world would be prohibitively expensive, and our intellectual property rights in some countries outside the U.S. can be less extensive than those in the U.S..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U.S.. These products may compete with our product candidates, and our and our licensors’ or collaborators’ patents or other intellectual property rights may not be effective or sufficient to prevent them from competing.</w:t>
      </w:r>
    </w:p>
    <w:p>
      <w:pPr>
        <w:spacing w:after="0" w:line="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65" w:name="page66"/>
    <w:bookmarkEnd w:id="65"/>
    <w:p>
      <w:pPr>
        <w:spacing w:after="0" w:line="271" w:lineRule="auto"/>
        <w:rPr>
          <w:sz w:val="20"/>
          <w:szCs w:val="20"/>
          <w:color w:val="auto"/>
        </w:rPr>
      </w:pPr>
      <w:r>
        <w:rPr>
          <w:rFonts w:ascii="Times New Roman" w:cs="Times New Roman" w:eastAsia="Times New Roman" w:hAnsi="Times New Roman"/>
          <w:sz w:val="14"/>
          <w:szCs w:val="14"/>
          <w:color w:val="auto"/>
        </w:rPr>
        <w:t>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9" w:lineRule="exact"/>
        <w:rPr>
          <w:sz w:val="20"/>
          <w:szCs w:val="20"/>
          <w:color w:val="auto"/>
        </w:rPr>
      </w:pPr>
    </w:p>
    <w:p>
      <w:pPr>
        <w:ind w:left="260" w:hanging="255"/>
        <w:spacing w:after="0" w:line="271"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compounds that are the same as or similar to our products or product candidates but that are not covered by the claims of the patents that we own or have exclusively licensed;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third parties may impair our ability to develop or commercialize our products or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collaborators might not have been the first to file patent applications covering certain of our inventions;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not provide us with any competitive advantage, or may be held invalid or unenforceable, as a result of legal challenges by our competitors;</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performing manufacturing or testing for us using our product candidates or technologies could use the intellectual property of others without obtaining a proper license;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technologies that are patentable.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laws or patent jurisprudence could diminish the value of patents in general, thereby impairing our ability to protect our products or any existing or future product candidates.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(the “AIA”), which was passed on September 16, 2011, resulted in significant changes to the U.S. patent system.</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14"/>
          <w:szCs w:val="14"/>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 countries taking part in the UPC, including those issued prior to ratification of the European Patent Package, by default automatically fall under the jurisdiction of the UPC. The UPC provides our competitors with a new forum to centrally revoke our European patents in UPC countries, and allows for the possibility of a competitor to obtain pan-European injunctions. It will be several years before we will understand the scope of patent rights that will be recognized and the strength of patent remedies that will be provided by the UPC. Under the UPC agreement, we will have the right to opt our patents out of the UPC over the first seven years of the court’s existence, but doing so may preclude us from realizing the benefits of the new unified court.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may not adequately prevent disclosure of trade secrets and protect other proprietary information.</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7" w:name="page68"/>
    <w:bookmarkEnd w:id="67"/>
    <w:p>
      <w:pPr>
        <w:jc w:val="both"/>
        <w:spacing w:after="0" w:line="243" w:lineRule="auto"/>
        <w:rPr>
          <w:sz w:val="20"/>
          <w:szCs w:val="20"/>
          <w:color w:val="auto"/>
        </w:rPr>
      </w:pPr>
      <w:r>
        <w:rPr>
          <w:rFonts w:ascii="Times New Roman" w:cs="Times New Roman" w:eastAsia="Times New Roman" w:hAnsi="Times New Roman"/>
          <w:sz w:val="14"/>
          <w:szCs w:val="14"/>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products or product candidates, our competitors might be able to enter the market, which would hurt our competitive position and could impair our ability to successfully commercialize Ohtuvayre or any existing or future product candidate.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Information Technology</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the ordinary course of our business, we and our manufacturers, suppliers and third parties that we use to perform services for us or otherwise collaborate with, collect and store sensitive data, including intellectual property, clinical trial data, sales, forecasting, and commercial performance data, proprietary business information and personally identifiable information (collectively, “Confidential Information”) in our and third-party data centers and on our and third-party networks. The secure processing, maintenance and transmission of Confidential Information is critical to our operations. Our information technology and other internal infrastructure systems, including cloud services, corporate firewalls, servers, leased lines and connection to the Internet, and that of our manufacturers, suppliers and other third parties that we use to perform services for us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and commercialization activities.</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8" w:name="page69"/>
    <w:bookmarkEnd w:id="68"/>
    <w:p>
      <w:pPr>
        <w:jc w:val="both"/>
        <w:spacing w:after="0" w:line="238" w:lineRule="auto"/>
        <w:rPr>
          <w:sz w:val="20"/>
          <w:szCs w:val="20"/>
          <w:color w:val="auto"/>
        </w:rPr>
      </w:pPr>
      <w:r>
        <w:rPr>
          <w:rFonts w:ascii="Times New Roman" w:cs="Times New Roman" w:eastAsia="Times New Roman" w:hAnsi="Times New Roman"/>
          <w:sz w:val="14"/>
          <w:szCs w:val="14"/>
          <w:color w:val="auto"/>
        </w:rPr>
        <w:t>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information technology systems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and commercialize our product candidates, which could adversely affect our reputation and delay clinical development and commercialization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losses, costs or liabilities may not be covered by, or may exceed the coverage limits of, any or all applicable insurance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and ability to compete depends on our ability to retain our key personnel and recruit additional qualified personnel.</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Andrew Fisher, our chief medical officer, Kathleen Rickard, our chief regulatory officer, Caroline Diaz, our chief commercial officer, Christopher Martin, and our chief development officer, Tara Rheault. The loss of key personnel could impact our commercialization efforts and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commercialization goals for Ohtuvayre and our product candidate development objectives, raise additional capital and implement our business strategy.</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are continuing to expand our development, regulatory, commercial, sales, marketing, reimbursement and distribution capabilities, and as a result, we may encounter difficulties in managing our growth, which could disrupt our operations.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have experienced significant growth in the number of our employees and the scope of our operations, particularly in the areas of commercial operations and sales, marketing, reimbursement and distribution.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Risks Related to Our ADSs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be subject to limitations on transfer of their ADSs.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Claims of U.S. civil liabilities may not be enforceable against us.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incorporated under English law. Some of our assets are located outside the U.S. and certain members of our board of directors reside outside the U.S. As a result, it may not be possible for investors to effect service of process within the U.S. upon such persons or to enforce judgments obtained in U.S. courts against them or us, including judgments predicated upon the civil liability provisions of the U.S. federal securities laws.</w:t>
      </w:r>
    </w:p>
    <w:p>
      <w:pPr>
        <w:spacing w:after="0" w:line="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U.S. and the U.K. do not currently have a treaty providing for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result, U.S. investors may not be able to enforce against us or our board of directors or certain experts named herein who are residents of the U.K. or countries other than the U.S. any judgments obtained in U.S. courts in civil and commercial matters, including judgments under the U.S. federal securities laws.</w:t>
      </w:r>
    </w:p>
    <w:p>
      <w:pPr>
        <w:spacing w:after="0" w:line="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Since becoming a commercial company following the FDA’s approval of Ohtuvayre, our internal controls over financial reporting may become more complex, which could increase the probability of deficiencies in our internal controls in the future. Inadequate internal controls could also cause investors to lose confidence in our reported financial information, which could have a negative effect on the trading price of our ADSs.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14"/>
          <w:szCs w:val="14"/>
          <w:color w:val="auto"/>
        </w:rPr>
        <w:t>We carry out research and development activities including, but not limited to, developing ensifentrine for various indications and delivery methods, and as a result we have previously benefitted in the U.K. from the HM Revenue and Customs, or HMRC, small and medium sized enterprises research and development relief, or SME R&amp;D Relief, which provides relief against U.K. Corporation Tax or is surrenderable for a cash credit where a company is loss making and relevant criteria are met.</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Broadly, SME R&amp;D Relief allows qualifying SMEs to deduct a total of 186% of their qualifying expenditure from their yearly profit for U.K. Corporation Tax purposes (the deduction is given by allowing an additional 86% deduction plus the usual 100% deduction). Where there are not sufficient profits for U.K. Corporation Tax purposes to fully utilize the SME R&amp;D Additional Deduction, the excess (“surrenderable losses”) can be carried forward to offset against future taxable profits, or a tax credit currently equal to 10% of such surrenderable loss can be claimed in cash, or the SME R&amp;D Tax Credit (i.e., the excess losses are surrendered in exchange for a cash credit payment).</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for accounting periods beginning on or after April 1, 2024, the R&amp;D intensive loss-making SME scheme threshold (broadly, the proportion of qualifying R&amp;D expenditure compared to total expenditure, including connected group companies) is 30%. Therefore, loss-making SMEs with qualifying R&amp;D expenditure of 30% or more of its total expenditure may claim an enhanced deduction of 86% and a repayable credit of 14.5%.</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financial statements for the years ended December 31, 2024 and December 31, 2023, we recorded SME R&amp;D Tax Credits of $3.7 million and $2.0 million, respectively. We received the credit relating to the year ended December 31, 2022 in June 2024. Based on the HMRC criteria, we expect to receive the credit relating to the years ended December 31, 2023 and 2024 in 2025.</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Changes to the U.K.’s SME R&amp;D Relief regime that take effect for accounting periods beginning on or after April 1, 2024, may adversely affect the financial benefit of the R&amp;D claim. Such changes have introduced a single R&amp;D relief regime which merges the current “RDEC” and SME R&amp;D Relief scheme. The credit rate under the legislation is 20% of 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current rates of U.K. corporation tax, profitable businesses subject to the main rate of U.K. corporation tax will effectively receive a credit of 15% of qualifying expenditure whilst loss-making businesses will receive a credit of 16.2%.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classified as a passive foreign investment company, certain adverse U.S. federal income tax consequences could apply to U.S. Holders.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Based on the composition of our income and assets and the value of our assets in the taxable year ended December 31, 2024, we believe that we were not a passive foreign investment company (“PFIC”) for U.S. federal income tax purposes for such taxable year. However, no assurances regarding our PFIC status can be provided for any taxable year, including the current taxable year. If we are or have been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with certain reporting requirements. We cannot provide any assurances that we will furnish to any U.S. Holder information that may be necessary to comply with the aforementioned reporting and tax payment obligations.</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 non-U.S. corporation will generally be considered a PFIC for any taxable year in which (i) 75% or more of its gross income consists of passive income or (ii) 50% or more of the value of its assets (generally determined on the basis of a quarterly average)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2" w:name="page73"/>
    <w:bookmarkEnd w:id="72"/>
    <w:p>
      <w:pPr>
        <w:jc w:val="both"/>
        <w:spacing w:after="0" w:line="271" w:lineRule="auto"/>
        <w:rPr>
          <w:sz w:val="20"/>
          <w:szCs w:val="20"/>
          <w:color w:val="auto"/>
        </w:rPr>
      </w:pPr>
      <w:r>
        <w:rPr>
          <w:rFonts w:ascii="Times New Roman" w:cs="Times New Roman" w:eastAsia="Times New Roman" w:hAnsi="Times New Roman"/>
          <w:sz w:val="14"/>
          <w:szCs w:val="14"/>
          <w:color w:val="auto"/>
        </w:rPr>
        <w:t>structure. The composition of our income and assets is also affected by the spending of the cash we raise in any offering. Each U.S. Holder should consult its tax advisors with respect to the potential adverse U.S. tax consequences to it if we are a PFIC.</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or have been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tests described above, unless the U.S. Holder makes a specified election once we cease to be a PFIC.</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 “U.S. Holder” is any beneficial owner of our ordinary shares or ADSs that, for U.S. federal income tax purposes, is or is treated as any of the following: a citizen or individual resident of the U.S.; a corporation, or other entity taxable as a corporation, created or organized in or under the laws of the U.S.,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United States Internal Revenue Code of 1986, as amended (the “Internal Revenue Code”)), or (ii) has a valid election in effect to be treated as a United States person.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 U.S. Holder is treated as owning at least 10% of our ordinary shares or ADSs, such holder may be subject to adverse U.S. federal income tax consequences.</w:t>
      </w:r>
    </w:p>
    <w:p>
      <w:pPr>
        <w:spacing w:after="0" w:line="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If a U.S. Holder (as defined above) is treated as owning (directly, indirectly or constructively) at least 10% of the value or voting power of our ordinary shares or ADSs, such U.S. Holder would generally be treated as a “United States shareholder” (within the meaning of Section 951(b) of the Internal Revenue Code) with respect to each “controlled foreign corporation” (within the meaning of Section 957(a) of the Internal Revenue Code) (a “CFC”) in our group, if any. Because our group includes one or more U.S. subsidiaries, certain of our non-U.S. subsidiaries could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such CFC, regardless of whether such CFC makes any distributions. Failure to comply with these reporting obligations may subject a United States shareholder to significant monetary penalties and may prevent the expiration of the statute of limitations with respect to such shareholder’s U.S. federal income tax return for the year for which reporting was due. An individual that is a U.S. shareholder with respect to a CFC generally would not be allowed certain tax deductions or foreign tax credits that would be allowed to a U.S. shareholder that is a U.S. corporation. We cannot provide any assurances that we will assist investors in determining whether we or any of our non-U.S. subsidiaries are treated as CFCs or whether any such investor is treated as a U.S. shareholder with respect to any such CFCs. Further, we cannot provide any assurances that we will furnish to any U.S. shareholder information that may be necessary to comply with the reporting and tax payment obligations described above. U.S. Holders should consult their tax advisors regarding the potential application of these rules to their investment in our ordinary shares or ADSs.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ADSs may be volatile and may fluctuate due to factors beyond our control.</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50" w:lineRule="exact"/>
        <w:rPr>
          <w:sz w:val="20"/>
          <w:szCs w:val="20"/>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concern relating to the commercial value or safety of ensifentrine, including for our approved product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our competitors’ businesses;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entering into collaborations and strategic relationships with respect to commercialization of Ohtuvayre or development of ensifentrine in other target indications or formulations, or entry into collaborations and strategic relationships on terms that are not deemed to be favorable to us;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innovations or commercial product introductions by us or competitors;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healthcare payment systems;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concerning proprietary rights, including patents and litigation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73" w:name="page74"/>
    <w:bookmarkEnd w:id="73"/>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or negative results from, or delays in, clinical trials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or other corporate transactions;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 or operating results;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or the failure of our competitors to meet analysts’ projections or guidance that we or our competitors may give to the market;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regarding the ownership of ADSs, including as related to their inclusion in U.S. market indices;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or comments by securities or industry analysts or commentators;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in the pharmaceutical industry or in the economy as a whole;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and non-U.S. customs, tariffs and trade barriers;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geopolitical instability, including the ongoing conflicts in Europe and the Middle East;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scientific or senior management personnel;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ADSs by us, our senior management or board members, and significant holders of our ADSs; or</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and factors, many of which are beyond our control.</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the possibility of future sales, of a substantial number of our ADSs or ordinary shares could adversely affect the price of our ADSs.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Future sales of a substantial number of our ADSs or ordinary shares, or the perception that such sales will occur, could cause a decline in the market price of our ADSs. Sales in the U.S.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fluctuating interest and inflation rates, tariffs and trade wars, declines in consumer confidence, declines in economic growth, increases in unemployment rates and uncertainty about economic stability. If the equity and credit markets continue to deteriorate or the U.K. or the U.S.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trading market for our ADSs and ordinary shares depends in part on the research and reports that securities or industry analysts or commentators publish about us, our business or our industry.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4" w:name="page75"/>
    <w:bookmarkEnd w:id="74"/>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expect to continue to incur increased costs as a result of operating as a public company in the U.S., and our senior management are required to devote substantial time to new compliance initiatives and corporate governance practices.</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As a U.S. public company,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interruptions could adversely affect our operations.</w:t>
      </w:r>
    </w:p>
    <w:p>
      <w:pPr>
        <w:spacing w:after="0" w:line="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operations are potentially vulnerable to interruption by fire, severe weather conditions, power loss, telecommunications failure, terrorist activity, public health crises and pandemic diseases, and other natural and man- 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Rule 10b5-1 Trading Plans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our officers (as defined in Rule 16a-1(f)) and directors may enter into Rule 10b5-1 or non-Rule 10b5-1 trading plans (as each such term is defined in Item 408 of Regulation S-K). The trading plans are intended to satisfy the affirmative defense in Rule 10b5-1(c). During the three months ended March 31, 2025, our officers and directors took the following actions with respect to 10b5-1 trading plans: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Aggregate Number of ADS to be</w:t>
            </w:r>
          </w:p>
        </w:tc>
        <w:tc>
          <w:tcPr>
            <w:tcW w:w="0" w:type="dxa"/>
            <w:vAlign w:val="bottom"/>
          </w:tcPr>
          <w:p>
            <w:pPr>
              <w:spacing w:after="0"/>
              <w:rPr>
                <w:sz w:val="1"/>
                <w:szCs w:val="1"/>
                <w:color w:val="auto"/>
              </w:rPr>
            </w:pPr>
          </w:p>
        </w:tc>
      </w:tr>
      <w:tr>
        <w:trPr>
          <w:trHeight w:val="142"/>
        </w:trPr>
        <w:tc>
          <w:tcPr>
            <w:tcW w:w="22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Name and Title</w:t>
            </w:r>
          </w:p>
        </w:tc>
        <w:tc>
          <w:tcPr>
            <w:tcW w:w="226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Action</w:t>
            </w:r>
          </w:p>
        </w:tc>
        <w:tc>
          <w:tcPr>
            <w:tcW w:w="2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Date</w:t>
            </w:r>
          </w:p>
        </w:tc>
        <w:tc>
          <w:tcPr>
            <w:tcW w:w="22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End Date</w:t>
            </w:r>
          </w:p>
        </w:tc>
        <w:tc>
          <w:tcPr>
            <w:tcW w:w="21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Sold Pursuant to Trading</w:t>
            </w:r>
          </w:p>
        </w:tc>
        <w:tc>
          <w:tcPr>
            <w:tcW w:w="0" w:type="dxa"/>
            <w:vAlign w:val="bottom"/>
          </w:tcPr>
          <w:p>
            <w:pPr>
              <w:spacing w:after="0"/>
              <w:rPr>
                <w:sz w:val="1"/>
                <w:szCs w:val="1"/>
                <w:color w:val="auto"/>
              </w:rPr>
            </w:pPr>
          </w:p>
        </w:tc>
      </w:tr>
      <w:tr>
        <w:trPr>
          <w:trHeight w:val="184"/>
        </w:trPr>
        <w:tc>
          <w:tcPr>
            <w:tcW w:w="2260" w:type="dxa"/>
            <w:vAlign w:val="bottom"/>
            <w:gridSpan w:val="2"/>
            <w:vMerge w:val="continue"/>
            <w:shd w:val="clear" w:color="auto" w:fill="CCEEFF"/>
          </w:tcPr>
          <w:p>
            <w:pPr>
              <w:spacing w:after="0"/>
              <w:rPr>
                <w:sz w:val="16"/>
                <w:szCs w:val="16"/>
                <w:color w:val="auto"/>
              </w:rPr>
            </w:pPr>
          </w:p>
        </w:tc>
        <w:tc>
          <w:tcPr>
            <w:tcW w:w="2260" w:type="dxa"/>
            <w:vAlign w:val="bottom"/>
            <w:gridSpan w:val="2"/>
            <w:vMerge w:val="continue"/>
            <w:shd w:val="clear" w:color="auto" w:fill="CCEEFF"/>
          </w:tcPr>
          <w:p>
            <w:pPr>
              <w:spacing w:after="0"/>
              <w:rPr>
                <w:sz w:val="16"/>
                <w:szCs w:val="16"/>
                <w:color w:val="auto"/>
              </w:rPr>
            </w:pPr>
          </w:p>
        </w:tc>
        <w:tc>
          <w:tcPr>
            <w:tcW w:w="2260" w:type="dxa"/>
            <w:vAlign w:val="bottom"/>
            <w:gridSpan w:val="2"/>
            <w:vMerge w:val="continue"/>
            <w:shd w:val="clear" w:color="auto" w:fill="CCEEFF"/>
          </w:tcPr>
          <w:p>
            <w:pPr>
              <w:spacing w:after="0"/>
              <w:rPr>
                <w:sz w:val="16"/>
                <w:szCs w:val="16"/>
                <w:color w:val="auto"/>
              </w:rPr>
            </w:pPr>
          </w:p>
        </w:tc>
        <w:tc>
          <w:tcPr>
            <w:tcW w:w="2260" w:type="dxa"/>
            <w:vAlign w:val="bottom"/>
            <w:gridSpan w:val="2"/>
            <w:vMerge w:val="continue"/>
            <w:shd w:val="clear" w:color="auto" w:fill="CCEEFF"/>
          </w:tcPr>
          <w:p>
            <w:pPr>
              <w:spacing w:after="0"/>
              <w:rPr>
                <w:sz w:val="16"/>
                <w:szCs w:val="16"/>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0" w:type="dxa"/>
            <w:vAlign w:val="bottom"/>
          </w:tcPr>
          <w:p>
            <w:pPr>
              <w:spacing w:after="0"/>
              <w:rPr>
                <w:sz w:val="1"/>
                <w:szCs w:val="1"/>
                <w:color w:val="auto"/>
              </w:rPr>
            </w:pPr>
          </w:p>
        </w:tc>
      </w:tr>
      <w:tr>
        <w:trPr>
          <w:trHeight w:val="81"/>
        </w:trPr>
        <w:tc>
          <w:tcPr>
            <w:tcW w:w="21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Andrew Fisher, General Counsel</w:t>
            </w: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Adopt</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15, 2025</w:t>
            </w:r>
          </w:p>
        </w:tc>
        <w:tc>
          <w:tcPr>
            <w:tcW w:w="22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February 28, 2026</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85"/>
        </w:trPr>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Zaccardelli, President and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Adopt</w:t>
            </w:r>
          </w:p>
        </w:tc>
        <w:tc>
          <w:tcPr>
            <w:tcW w:w="2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29, 2025</w:t>
            </w:r>
          </w:p>
        </w:tc>
        <w:tc>
          <w:tcPr>
            <w:tcW w:w="2260" w:type="dxa"/>
            <w:vAlign w:val="bottom"/>
            <w:gridSpan w:val="2"/>
            <w:vMerge w:val="restart"/>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February 28, 2026</w:t>
            </w:r>
          </w:p>
        </w:tc>
        <w:tc>
          <w:tcPr>
            <w:tcW w:w="2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1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60" w:type="dxa"/>
            <w:vAlign w:val="bottom"/>
            <w:gridSpan w:val="2"/>
            <w:vMerge w:val="continue"/>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 Hahn, Chief Financial Officer</w:t>
            </w: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Adopt</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29, 2025</w:t>
            </w:r>
          </w:p>
        </w:tc>
        <w:tc>
          <w:tcPr>
            <w:tcW w:w="22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February 28, 2026</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85"/>
        </w:trPr>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Christina Ackermann, Non-</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Adopt</w:t>
            </w:r>
          </w:p>
        </w:tc>
        <w:tc>
          <w:tcPr>
            <w:tcW w:w="2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12, 2025</w:t>
            </w:r>
          </w:p>
        </w:tc>
        <w:tc>
          <w:tcPr>
            <w:tcW w:w="2260" w:type="dxa"/>
            <w:vAlign w:val="bottom"/>
            <w:gridSpan w:val="2"/>
            <w:vMerge w:val="restart"/>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February 28, 2026</w:t>
            </w:r>
          </w:p>
        </w:tc>
        <w:tc>
          <w:tcPr>
            <w:tcW w:w="2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1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Director</w:t>
            </w: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60" w:type="dxa"/>
            <w:vAlign w:val="bottom"/>
            <w:gridSpan w:val="2"/>
            <w:vMerge w:val="continue"/>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12"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4"/>
          <w:szCs w:val="14"/>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14605</wp:posOffset>
            </wp:positionV>
            <wp:extent cx="304546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10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Form</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File No.</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Exhibit No.</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234"/>
        </w:trPr>
        <w:tc>
          <w:tcPr>
            <w:tcW w:w="180" w:type="dxa"/>
            <w:vAlign w:val="bottom"/>
            <w:tcBorders>
              <w:bottom w:val="single" w:sz="8" w:color="0000FF"/>
            </w:tcBorders>
          </w:tcPr>
          <w:p>
            <w:pPr>
              <w:spacing w:after="0"/>
              <w:rPr>
                <w:rFonts w:ascii="Times New Roman" w:cs="Times New Roman" w:eastAsia="Times New Roman" w:hAnsi="Times New Roman"/>
                <w:sz w:val="14"/>
                <w:szCs w:val="14"/>
                <w:color w:val="0000FF"/>
                <w:w w:val="91"/>
              </w:rPr>
            </w:pPr>
            <w:hyperlink r:id="rId86">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8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Articles of Association, as amended and as currently in effect</w:t>
              </w:r>
            </w:hyperlink>
          </w:p>
        </w:tc>
        <w:tc>
          <w:tcPr>
            <w:tcW w:w="1260" w:type="dxa"/>
            <w:vAlign w:val="bottom"/>
            <w:gridSpan w:val="9"/>
          </w:tcPr>
          <w:p>
            <w:pPr>
              <w:spacing w:after="0"/>
              <w:rPr>
                <w:sz w:val="20"/>
                <w:szCs w:val="20"/>
                <w:color w:val="auto"/>
              </w:rPr>
            </w:pPr>
          </w:p>
        </w:tc>
        <w:tc>
          <w:tcPr>
            <w:tcW w:w="10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6-K</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001-38067</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12/30/2020</w:t>
            </w:r>
          </w:p>
        </w:tc>
        <w:tc>
          <w:tcPr>
            <w:tcW w:w="0" w:type="dxa"/>
            <w:vAlign w:val="bottom"/>
          </w:tcPr>
          <w:p>
            <w:pPr>
              <w:spacing w:after="0"/>
              <w:rPr>
                <w:sz w:val="1"/>
                <w:szCs w:val="1"/>
                <w:color w:val="auto"/>
              </w:rPr>
            </w:pPr>
          </w:p>
        </w:tc>
      </w:tr>
      <w:tr>
        <w:trPr>
          <w:trHeight w:val="330"/>
        </w:trPr>
        <w:tc>
          <w:tcPr>
            <w:tcW w:w="320" w:type="dxa"/>
            <w:vAlign w:val="bottom"/>
            <w:gridSpan w:val="3"/>
            <w:vMerge w:val="restart"/>
          </w:tcPr>
          <w:p>
            <w:pPr>
              <w:spacing w:after="0"/>
              <w:rPr>
                <w:rFonts w:ascii="Times New Roman" w:cs="Times New Roman" w:eastAsia="Times New Roman" w:hAnsi="Times New Roman"/>
                <w:sz w:val="14"/>
                <w:szCs w:val="14"/>
                <w:color w:val="0000FF"/>
                <w:w w:val="95"/>
              </w:rPr>
            </w:pPr>
            <w:hyperlink r:id="rId87">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1†</w:t>
            </w:r>
          </w:p>
        </w:tc>
        <w:tc>
          <w:tcPr>
            <w:tcW w:w="780" w:type="dxa"/>
            <w:vAlign w:val="bottom"/>
            <w:vMerge w:val="restart"/>
          </w:tcPr>
          <w:p>
            <w:pPr>
              <w:spacing w:after="0"/>
              <w:rPr>
                <w:sz w:val="24"/>
                <w:szCs w:val="24"/>
                <w:color w:val="auto"/>
              </w:rPr>
            </w:pPr>
          </w:p>
        </w:tc>
        <w:tc>
          <w:tcPr>
            <w:tcW w:w="4740" w:type="dxa"/>
            <w:vAlign w:val="bottom"/>
            <w:gridSpan w:val="14"/>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First Amendment to Credit Agreement and Guaranty, dated as of March 27,</w:t>
              </w:r>
            </w:hyperlink>
          </w:p>
        </w:tc>
        <w:tc>
          <w:tcPr>
            <w:tcW w:w="10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001-38067</w:t>
            </w:r>
          </w:p>
        </w:tc>
        <w:tc>
          <w:tcPr>
            <w:tcW w:w="11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3/28/2025</w:t>
            </w:r>
          </w:p>
        </w:tc>
        <w:tc>
          <w:tcPr>
            <w:tcW w:w="0" w:type="dxa"/>
            <w:vAlign w:val="bottom"/>
          </w:tcPr>
          <w:p>
            <w:pPr>
              <w:spacing w:after="0"/>
              <w:rPr>
                <w:sz w:val="1"/>
                <w:szCs w:val="1"/>
                <w:color w:val="auto"/>
              </w:rPr>
            </w:pPr>
          </w:p>
        </w:tc>
      </w:tr>
      <w:tr>
        <w:trPr>
          <w:trHeight w:val="118"/>
        </w:trPr>
        <w:tc>
          <w:tcPr>
            <w:tcW w:w="320" w:type="dxa"/>
            <w:vAlign w:val="bottom"/>
            <w:tcBorders>
              <w:bottom w:val="single" w:sz="8" w:color="0000FF"/>
            </w:tcBorders>
            <w:gridSpan w:val="3"/>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2025, by and among the Company, Verona Pharma, Inc., Oaktree Fund</w:t>
              </w:r>
            </w:hyperlink>
          </w:p>
        </w:tc>
        <w:tc>
          <w:tcPr>
            <w:tcW w:w="2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300" w:type="dxa"/>
            <w:vAlign w:val="bottom"/>
            <w:tcBorders>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Administration, LLC, as administrative agent, and the lenders party thereto.</w:t>
              </w:r>
            </w:hyperlink>
          </w:p>
        </w:tc>
        <w:tc>
          <w:tcPr>
            <w:tcW w:w="440" w:type="dxa"/>
            <w:vAlign w:val="bottom"/>
            <w:gridSpan w:val="4"/>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Form of Option Agreement pursuant to the Verona Pharma plc 2017 Second</w:t>
            </w:r>
          </w:p>
        </w:tc>
        <w:tc>
          <w:tcPr>
            <w:tcW w:w="42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40" w:type="dxa"/>
            <w:vAlign w:val="bottom"/>
            <w:tcBorders>
              <w:bottom w:val="single" w:sz="8" w:color="0000FF"/>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740" w:type="dxa"/>
            <w:vAlign w:val="bottom"/>
            <w:gridSpan w:val="14"/>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Amended and Restated Incentive Award Plan</w:t>
            </w: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740" w:type="dxa"/>
            <w:vAlign w:val="bottom"/>
            <w:gridSpan w:val="14"/>
            <w:vMerge w:val="continue"/>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Form of Restricted Share Unit Agreement pursuant to the Verona Pharma plc</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40" w:type="dxa"/>
            <w:vAlign w:val="bottom"/>
            <w:tcBorders>
              <w:bottom w:val="single" w:sz="8" w:color="0000FF"/>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340" w:type="dxa"/>
            <w:vAlign w:val="bottom"/>
            <w:tcBorders>
              <w:top w:val="single" w:sz="8" w:color="0000FF"/>
              <w:bottom w:val="single" w:sz="8" w:color="0000FF"/>
            </w:tcBorders>
            <w:gridSpan w:val="4"/>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2017 Second Amended and Restated Incentive Award Plan</w:t>
            </w:r>
          </w:p>
        </w:tc>
        <w:tc>
          <w:tcPr>
            <w:tcW w:w="1020" w:type="dxa"/>
            <w:vAlign w:val="bottom"/>
            <w:tcBorders>
              <w:top w:val="single" w:sz="8" w:color="0000FF"/>
              <w:bottom w:val="single" w:sz="8" w:color="0000FF"/>
            </w:tcBorders>
            <w:gridSpan w:val="8"/>
            <w:vMerge w:val="restart"/>
          </w:tcPr>
          <w:p>
            <w:pPr>
              <w:spacing w:after="0"/>
              <w:rPr>
                <w:sz w:val="4"/>
                <w:szCs w:val="4"/>
                <w:color w:val="auto"/>
              </w:rPr>
            </w:pPr>
          </w:p>
        </w:tc>
        <w:tc>
          <w:tcPr>
            <w:tcW w:w="380" w:type="dxa"/>
            <w:vAlign w:val="bottom"/>
            <w:gridSpan w:val="2"/>
            <w:vMerge w:val="restart"/>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340" w:type="dxa"/>
            <w:vAlign w:val="bottom"/>
            <w:tcBorders>
              <w:bottom w:val="single" w:sz="8" w:color="0000FF"/>
            </w:tcBorders>
            <w:gridSpan w:val="4"/>
            <w:vMerge w:val="continue"/>
          </w:tcPr>
          <w:p>
            <w:pPr>
              <w:spacing w:after="0"/>
              <w:rPr>
                <w:sz w:val="3"/>
                <w:szCs w:val="3"/>
                <w:color w:val="auto"/>
              </w:rPr>
            </w:pPr>
          </w:p>
        </w:tc>
        <w:tc>
          <w:tcPr>
            <w:tcW w:w="1020" w:type="dxa"/>
            <w:vAlign w:val="bottom"/>
            <w:gridSpan w:val="8"/>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Form of Performance Restricted Share Unit Agreement pursuant to the Verona</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40" w:type="dxa"/>
            <w:vAlign w:val="bottom"/>
            <w:tcBorders>
              <w:bottom w:val="single" w:sz="8" w:color="0000FF"/>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20" w:type="dxa"/>
            <w:vAlign w:val="bottom"/>
            <w:tcBorders>
              <w:top w:val="single" w:sz="8" w:color="0000FF"/>
              <w:bottom w:val="single" w:sz="8" w:color="0000FF"/>
            </w:tcBorders>
            <w:gridSpan w:val="8"/>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Pharma plc 2017 Second Amended and Restated Incentive Award Plan</w:t>
            </w:r>
          </w:p>
        </w:tc>
        <w:tc>
          <w:tcPr>
            <w:tcW w:w="420" w:type="dxa"/>
            <w:vAlign w:val="bottom"/>
            <w:tcBorders>
              <w:top w:val="single" w:sz="8" w:color="0000FF"/>
              <w:bottom w:val="single" w:sz="8" w:color="0000FF"/>
            </w:tcBorders>
            <w:gridSpan w:val="5"/>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20" w:type="dxa"/>
            <w:vAlign w:val="bottom"/>
            <w:tcBorders>
              <w:bottom w:val="single" w:sz="8" w:color="0000FF"/>
            </w:tcBorders>
            <w:gridSpan w:val="8"/>
            <w:vMerge w:val="continue"/>
          </w:tcPr>
          <w:p>
            <w:pPr>
              <w:spacing w:after="0"/>
              <w:rPr>
                <w:sz w:val="3"/>
                <w:szCs w:val="3"/>
                <w:color w:val="auto"/>
              </w:rPr>
            </w:pPr>
          </w:p>
        </w:tc>
        <w:tc>
          <w:tcPr>
            <w:tcW w:w="420" w:type="dxa"/>
            <w:vAlign w:val="bottom"/>
            <w:gridSpan w:val="5"/>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Executive Officer</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Financial Officer</w:t>
            </w:r>
          </w:p>
        </w:tc>
        <w:tc>
          <w:tcPr>
            <w:tcW w:w="100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Section 1350 Certification of Chief Executive Officer</w:t>
            </w:r>
          </w:p>
        </w:tc>
        <w:tc>
          <w:tcPr>
            <w:tcW w:w="660" w:type="dxa"/>
            <w:vAlign w:val="bottom"/>
            <w:tcBorders>
              <w:top w:val="single" w:sz="8" w:color="0000FF"/>
            </w:tcBorders>
            <w:gridSpan w:val="3"/>
          </w:tcPr>
          <w:p>
            <w:pPr>
              <w:spacing w:after="0"/>
              <w:rPr>
                <w:sz w:val="24"/>
                <w:szCs w:val="24"/>
                <w:color w:val="auto"/>
              </w:rPr>
            </w:pPr>
          </w:p>
        </w:tc>
        <w:tc>
          <w:tcPr>
            <w:tcW w:w="1040" w:type="dxa"/>
            <w:vAlign w:val="bottom"/>
            <w:gridSpan w:val="8"/>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Section 1350 Certification of Chief Financial Officer</w:t>
            </w:r>
          </w:p>
        </w:tc>
        <w:tc>
          <w:tcPr>
            <w:tcW w:w="1740" w:type="dxa"/>
            <w:vAlign w:val="bottom"/>
            <w:gridSpan w:val="12"/>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101.SCH</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101.CAL</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101.LAB</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101.PRE</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101.DEF</w:t>
            </w:r>
          </w:p>
        </w:tc>
        <w:tc>
          <w:tcPr>
            <w:tcW w:w="47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20" w:right="4620" w:hanging="1101"/>
        <w:spacing w:after="0"/>
        <w:tabs>
          <w:tab w:leader="none" w:pos="1120" w:val="left"/>
        </w:tabs>
        <w:numPr>
          <w:ilvl w:val="0"/>
          <w:numId w:val="3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ind w:right="20"/>
        <w:spacing w:after="0" w:line="276" w:lineRule="auto"/>
        <w:rPr>
          <w:sz w:val="20"/>
          <w:szCs w:val="20"/>
          <w:color w:val="auto"/>
        </w:rPr>
      </w:pPr>
      <w:r>
        <w:rPr>
          <w:rFonts w:ascii="Times New Roman" w:cs="Times New Roman" w:eastAsia="Times New Roman" w:hAnsi="Times New Roman"/>
          <w:sz w:val="13"/>
          <w:szCs w:val="13"/>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3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3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26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220" w:lineRule="exact"/>
        <w:rPr>
          <w:sz w:val="20"/>
          <w:szCs w:val="20"/>
          <w:color w:val="auto"/>
        </w:rPr>
      </w:pPr>
    </w:p>
    <w:p>
      <w:pPr>
        <w:sectPr>
          <w:pgSz w:w="11900" w:h="16838" w:orient="portrait"/>
          <w:cols w:equalWidth="0" w:num="2">
            <w:col w:w="10120" w:space="260"/>
            <w:col w:w="900"/>
          </w:cols>
          <w:pgMar w:left="300" w:top="1385" w:right="319" w:bottom="1440" w:gutter="0" w:footer="0" w:header="0"/>
          <w:type w:val="continuous"/>
        </w:sectPr>
      </w:pPr>
    </w:p>
    <w:p>
      <w:pPr>
        <w:ind w:firstLine="5"/>
        <w:spacing w:after="0" w:line="271" w:lineRule="auto"/>
        <w:tabs>
          <w:tab w:leader="none" w:pos="26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brackets and asterisks) have been omitted pursuant to Item 601(b)(10)(iv) of Regulation S-K. Schedules and exhibits have been omitted pursuant to Item 601(a)(5). The Company agrees to furnish supplementally to the SEC a copy of any omitted schedule or exhibit upon request by the SEC.</w:t>
      </w:r>
    </w:p>
    <w:p>
      <w:pPr>
        <w:spacing w:after="0" w:line="4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type w:val="continuous"/>
        </w:sectPr>
      </w:pPr>
    </w:p>
    <w:bookmarkStart w:id="77" w:name="page78"/>
    <w:bookmarkEnd w:id="77"/>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49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VERONA PHARMA PLC</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April 29, 2025</w:t>
            </w:r>
          </w:p>
        </w:tc>
        <w:tc>
          <w:tcPr>
            <w:tcW w:w="49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Zaccardelli</w:t>
            </w:r>
          </w:p>
        </w:tc>
        <w:tc>
          <w:tcPr>
            <w:tcW w:w="0" w:type="dxa"/>
            <w:vAlign w:val="bottom"/>
          </w:tcPr>
          <w:p>
            <w:pPr>
              <w:spacing w:after="0"/>
              <w:rPr>
                <w:sz w:val="1"/>
                <w:szCs w:val="1"/>
                <w:color w:val="auto"/>
              </w:rPr>
            </w:pPr>
          </w:p>
        </w:tc>
      </w:tr>
      <w:tr>
        <w:trPr>
          <w:trHeight w:val="85"/>
        </w:trPr>
        <w:tc>
          <w:tcPr>
            <w:tcW w:w="3340" w:type="dxa"/>
            <w:vAlign w:val="bottom"/>
            <w:vMerge w:val="continue"/>
          </w:tcPr>
          <w:p>
            <w:pPr>
              <w:spacing w:after="0"/>
              <w:rPr>
                <w:sz w:val="7"/>
                <w:szCs w:val="7"/>
                <w:color w:val="auto"/>
              </w:rPr>
            </w:pPr>
          </w:p>
        </w:tc>
        <w:tc>
          <w:tcPr>
            <w:tcW w:w="4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Zaccardelli, Pharm. D.</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711"/>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April 29, 2025</w:t>
            </w:r>
          </w:p>
        </w:tc>
        <w:tc>
          <w:tcPr>
            <w:tcW w:w="49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Mark W. Hahn</w:t>
            </w:r>
          </w:p>
        </w:tc>
        <w:tc>
          <w:tcPr>
            <w:tcW w:w="0" w:type="dxa"/>
            <w:vAlign w:val="bottom"/>
          </w:tcPr>
          <w:p>
            <w:pPr>
              <w:spacing w:after="0"/>
              <w:rPr>
                <w:sz w:val="1"/>
                <w:szCs w:val="1"/>
                <w:color w:val="auto"/>
              </w:rPr>
            </w:pPr>
          </w:p>
        </w:tc>
      </w:tr>
      <w:tr>
        <w:trPr>
          <w:trHeight w:val="85"/>
        </w:trPr>
        <w:tc>
          <w:tcPr>
            <w:tcW w:w="3340" w:type="dxa"/>
            <w:vAlign w:val="bottom"/>
            <w:vMerge w:val="continue"/>
          </w:tcPr>
          <w:p>
            <w:pPr>
              <w:spacing w:after="0"/>
              <w:rPr>
                <w:sz w:val="7"/>
                <w:szCs w:val="7"/>
                <w:color w:val="auto"/>
              </w:rPr>
            </w:pPr>
          </w:p>
        </w:tc>
        <w:tc>
          <w:tcPr>
            <w:tcW w:w="4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3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W. Hahn</w:t>
            </w:r>
          </w:p>
        </w:tc>
        <w:tc>
          <w:tcPr>
            <w:tcW w:w="0" w:type="dxa"/>
            <w:vAlign w:val="bottom"/>
          </w:tcPr>
          <w:p>
            <w:pPr>
              <w:spacing w:after="0"/>
              <w:rPr>
                <w:sz w:val="1"/>
                <w:szCs w:val="1"/>
                <w:color w:val="auto"/>
              </w:rPr>
            </w:pPr>
          </w:p>
        </w:tc>
      </w:tr>
      <w:tr>
        <w:trPr>
          <w:trHeight w:val="286"/>
        </w:trPr>
        <w:tc>
          <w:tcPr>
            <w:tcW w:w="3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80"/>
          </w:cols>
          <w:pgMar w:left="300" w:top="1440" w:right="319" w:bottom="1440"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1383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5138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1383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51383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1383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5138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Zaccardelli, Pharm.D., certify that:</w:t>
      </w:r>
    </w:p>
    <w:p>
      <w:pPr>
        <w:spacing w:after="0" w:line="179" w:lineRule="exact"/>
        <w:rPr>
          <w:sz w:val="20"/>
          <w:szCs w:val="20"/>
          <w:color w:val="auto"/>
        </w:rPr>
      </w:pPr>
    </w:p>
    <w:p>
      <w:pPr>
        <w:ind w:left="280" w:hanging="148"/>
        <w:spacing w:after="0"/>
        <w:tabs>
          <w:tab w:leader="none" w:pos="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Verona Pharma plc;</w:t>
      </w:r>
    </w:p>
    <w:p>
      <w:pPr>
        <w:spacing w:after="0" w:line="178"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200" w:hanging="248"/>
        <w:spacing w:after="0" w:line="287" w:lineRule="auto"/>
        <w:tabs>
          <w:tab w:leader="none" w:pos="26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40" w:hanging="248"/>
        <w:spacing w:after="0" w:line="287" w:lineRule="auto"/>
        <w:tabs>
          <w:tab w:leader="none" w:pos="26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April 29,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332"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W. Hahn, certify that:</w:t>
      </w:r>
    </w:p>
    <w:p>
      <w:pPr>
        <w:spacing w:after="0" w:line="179" w:lineRule="exact"/>
        <w:rPr>
          <w:sz w:val="20"/>
          <w:szCs w:val="20"/>
          <w:color w:val="auto"/>
        </w:rPr>
      </w:pPr>
    </w:p>
    <w:p>
      <w:pPr>
        <w:ind w:left="280" w:hanging="148"/>
        <w:spacing w:after="0"/>
        <w:tabs>
          <w:tab w:leader="none" w:pos="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Verona Pharma plc;</w:t>
      </w:r>
    </w:p>
    <w:p>
      <w:pPr>
        <w:spacing w:after="0" w:line="178"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200" w:hanging="248"/>
        <w:spacing w:after="0" w:line="287" w:lineRule="auto"/>
        <w:tabs>
          <w:tab w:leader="none" w:pos="26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40" w:hanging="248"/>
        <w:spacing w:after="0" w:line="287" w:lineRule="auto"/>
        <w:tabs>
          <w:tab w:leader="none" w:pos="26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4180" w:val="left"/>
          <w:tab w:leader="none" w:pos="7560" w:val="left"/>
        </w:tabs>
        <w:rPr>
          <w:sz w:val="20"/>
          <w:szCs w:val="20"/>
          <w:color w:val="auto"/>
        </w:rPr>
      </w:pPr>
      <w:r>
        <w:rPr>
          <w:rFonts w:ascii="Times New Roman" w:cs="Times New Roman" w:eastAsia="Times New Roman" w:hAnsi="Times New Roman"/>
          <w:sz w:val="14"/>
          <w:szCs w:val="14"/>
          <w:color w:val="auto"/>
        </w:rPr>
        <w:t>Date: April 29,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332"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1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Verona Pharma plc (the “Company”)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April 29,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332"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1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Verona Pharma plc (the “Company”)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4180" w:val="left"/>
          <w:tab w:leader="none" w:pos="7560" w:val="left"/>
        </w:tabs>
        <w:rPr>
          <w:sz w:val="20"/>
          <w:szCs w:val="20"/>
          <w:color w:val="auto"/>
        </w:rPr>
      </w:pPr>
      <w:r>
        <w:rPr>
          <w:rFonts w:ascii="Times New Roman" w:cs="Times New Roman" w:eastAsia="Times New Roman" w:hAnsi="Times New Roman"/>
          <w:sz w:val="14"/>
          <w:szCs w:val="14"/>
          <w:color w:val="auto"/>
        </w:rPr>
        <w:t>Date: April 29,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04"/>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86" Type="http://schemas.openxmlformats.org/officeDocument/2006/relationships/hyperlink" Target="https://www.sec.gov/Archives/edgar/data/1657312/000110465920140541/tm2039594d1_ex1.htm" TargetMode="External"/><Relationship Id="rId87" Type="http://schemas.openxmlformats.org/officeDocument/2006/relationships/hyperlink" Target="https://www.sec.gov/Archives/edgar/data/1657312/000110465925029048/tm251055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2025-04-29T08:05:14Z</dcterms:created>
  <dcterms:modified xsi:type="dcterms:W3CDTF">2025-04-29T08:05:14Z</dcterms:modified>
</cp:coreProperties>
</file>