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EBSWORTH DAVID R</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 MORE LONDON RIVERSIDE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Verona Pharma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VRNA</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05/04/2021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LONDON</w:t>
            </w:r>
          </w:p>
        </w:tc>
        <w:tc>
          <w:tcPr>
            <w:tcW w:w="1060" w:type="dxa"/>
            <w:vAlign w:val="bottom"/>
          </w:tcPr>
          <w:p>
            <w:pPr>
              <w:ind w:left="240"/>
              <w:spacing w:after="0"/>
              <w:rPr>
                <w:sz w:val="20"/>
                <w:szCs w:val="20"/>
                <w:color w:val="auto"/>
              </w:rPr>
            </w:pPr>
            <w:r>
              <w:rPr>
                <w:rFonts w:ascii="Arial" w:cs="Arial" w:eastAsia="Arial" w:hAnsi="Arial"/>
                <w:sz w:val="17"/>
                <w:szCs w:val="17"/>
                <w:color w:val="0000FF"/>
              </w:rPr>
              <w:t>X0</w:t>
            </w:r>
          </w:p>
        </w:tc>
        <w:tc>
          <w:tcPr>
            <w:tcW w:w="1600" w:type="dxa"/>
            <w:vAlign w:val="bottom"/>
          </w:tcPr>
          <w:p>
            <w:pPr>
              <w:ind w:left="400"/>
              <w:spacing w:after="0"/>
              <w:rPr>
                <w:sz w:val="20"/>
                <w:szCs w:val="20"/>
                <w:color w:val="auto"/>
              </w:rPr>
            </w:pPr>
            <w:r>
              <w:rPr>
                <w:rFonts w:ascii="Arial" w:cs="Arial" w:eastAsia="Arial" w:hAnsi="Arial"/>
                <w:sz w:val="17"/>
                <w:szCs w:val="17"/>
                <w:color w:val="0000FF"/>
              </w:rPr>
              <w:t>SE1 2RE</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1"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r>
              <w:rPr>
                <w:rFonts w:ascii="Arial" w:cs="Arial" w:eastAsia="Arial" w:hAnsi="Arial"/>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60"/>
              <w:spacing w:after="0"/>
              <w:rPr>
                <w:sz w:val="20"/>
                <w:szCs w:val="20"/>
                <w:color w:val="auto"/>
              </w:rPr>
            </w:pPr>
            <w:r>
              <w:rPr>
                <w:rFonts w:ascii="Arial" w:cs="Arial" w:eastAsia="Arial" w:hAnsi="Arial"/>
                <w:sz w:val="17"/>
                <w:szCs w:val="17"/>
                <w:color w:val="0000FF"/>
              </w:rPr>
              <w:t>05/04/2021</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11,184</w:t>
            </w:r>
          </w:p>
        </w:tc>
        <w:tc>
          <w:tcPr>
            <w:tcW w:w="4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0.8397</w:t>
            </w:r>
            <w:r>
              <w:rPr>
                <w:rFonts w:ascii="Arial" w:cs="Arial" w:eastAsia="Arial" w:hAnsi="Arial"/>
                <w:sz w:val="22"/>
                <w:szCs w:val="22"/>
                <w:color w:val="008000"/>
                <w:w w:val="93"/>
                <w:vertAlign w:val="superscript"/>
              </w:rPr>
              <w:t>(3)</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684,643</w:t>
            </w:r>
            <w:r>
              <w:rPr>
                <w:rFonts w:ascii="Arial" w:cs="Arial" w:eastAsia="Arial" w:hAnsi="Arial"/>
                <w:sz w:val="22"/>
                <w:szCs w:val="22"/>
                <w:color w:val="008000"/>
                <w:vertAlign w:val="superscript"/>
              </w:rPr>
              <w:t>(4)</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Unless otherwise indicated, reported securities are represented by American Depositary Shares ("ADSs"), each of which represents eight (8) Ordinary Shares of the Issuer.</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sale reported in the Form 4 was effected pursuant to a Rule 10b5-1 instruction solely with the intent to cover withholding taxes in connection with the settlement of Restricted Stock Units.</w:t>
      </w:r>
    </w:p>
    <w:p>
      <w:pPr>
        <w:spacing w:after="0" w:line="61" w:lineRule="exact"/>
        <w:rPr>
          <w:rFonts w:ascii="Arial" w:cs="Arial" w:eastAsia="Arial" w:hAnsi="Arial"/>
          <w:sz w:val="12"/>
          <w:szCs w:val="12"/>
          <w:color w:val="008000"/>
        </w:rPr>
      </w:pPr>
    </w:p>
    <w:p>
      <w:pPr>
        <w:jc w:val="both"/>
        <w:ind w:left="40" w:right="2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and is based on the sale price of the ADSs divided by eight (8). The securities were sold in multiple transactions at per share prices ranging from $0.8063 to $0.8525. The Reporting Person undertakes to provide upon request to the SEC staff, the Issuer, or any shareholder of the Issuer, full information regarding the number of securities sold at each separate price within the range set forth in this footnote 3.</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(i) ) 684,640 Ordinary Shares represented by 85,580 ADSs; and (ii) 3 Ordinary Shares.</w:t>
      </w:r>
    </w:p>
    <w:p>
      <w:pPr>
        <w:spacing w:after="0" w:line="6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Claire Poll, Attorney-in-</w:t>
            </w:r>
          </w:p>
        </w:tc>
        <w:tc>
          <w:tcPr>
            <w:tcW w:w="1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05/05/2021</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 for David Ebsworth</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80" w:type="dxa"/>
            <w:vAlign w:val="bottom"/>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07107" TargetMode="External"/><Relationship Id="rId13"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2021-05-05T16:13:41Z</dcterms:created>
  <dcterms:modified xsi:type="dcterms:W3CDTF">2021-05-05T16:13:41Z</dcterms:modified>
</cp:coreProperties>
</file>