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ZACCARDELLI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00" w:type="dxa"/>
            <w:vAlign w:val="bottom"/>
            <w:gridSpan w:val="7"/>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LONDON</w:t>
            </w:r>
          </w:p>
        </w:tc>
        <w:tc>
          <w:tcPr>
            <w:tcW w:w="280" w:type="dxa"/>
            <w:vAlign w:val="bottom"/>
          </w:tcPr>
          <w:p>
            <w:pPr>
              <w:ind w:left="40"/>
              <w:spacing w:after="0"/>
              <w:rPr>
                <w:sz w:val="20"/>
                <w:szCs w:val="20"/>
                <w:color w:val="auto"/>
              </w:rPr>
            </w:pPr>
            <w:r>
              <w:rPr>
                <w:rFonts w:ascii="Arial" w:cs="Arial" w:eastAsia="Arial" w:hAnsi="Arial"/>
                <w:sz w:val="17"/>
                <w:szCs w:val="17"/>
                <w:color w:val="0000FF"/>
              </w:rPr>
              <w:t>X0</w:t>
            </w:r>
          </w:p>
        </w:tc>
        <w:tc>
          <w:tcPr>
            <w:tcW w:w="840" w:type="dxa"/>
            <w:vAlign w:val="bottom"/>
          </w:tcPr>
          <w:p>
            <w:pPr>
              <w:spacing w:after="0"/>
              <w:rPr>
                <w:sz w:val="21"/>
                <w:szCs w:val="21"/>
                <w:color w:val="auto"/>
              </w:rPr>
            </w:pPr>
          </w:p>
        </w:tc>
        <w:tc>
          <w:tcPr>
            <w:tcW w:w="1400" w:type="dxa"/>
            <w:vAlign w:val="bottom"/>
            <w:gridSpan w:val="3"/>
          </w:tcPr>
          <w:p>
            <w:pPr>
              <w:ind w:left="140"/>
              <w:spacing w:after="0"/>
              <w:rPr>
                <w:sz w:val="20"/>
                <w:szCs w:val="20"/>
                <w:color w:val="auto"/>
              </w:rPr>
            </w:pPr>
            <w:r>
              <w:rPr>
                <w:rFonts w:ascii="Arial" w:cs="Arial" w:eastAsia="Arial" w:hAnsi="Arial"/>
                <w:sz w:val="17"/>
                <w:szCs w:val="17"/>
                <w:color w:val="0000FF"/>
              </w:rPr>
              <w:t>SE1 2RE</w:t>
            </w: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60"/>
              <w:spacing w:after="0"/>
              <w:rPr>
                <w:sz w:val="20"/>
                <w:szCs w:val="20"/>
                <w:color w:val="auto"/>
              </w:rPr>
            </w:pPr>
            <w:r>
              <w:rPr>
                <w:rFonts w:ascii="Arial" w:cs="Arial" w:eastAsia="Arial" w:hAnsi="Arial"/>
                <w:sz w:val="17"/>
                <w:szCs w:val="17"/>
                <w:color w:val="0000FF"/>
              </w:rPr>
              <w:t>05/03/2021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880" w:type="dxa"/>
            <w:vAlign w:val="bottom"/>
            <w:tcBorders>
              <w:bottom w:val="single" w:sz="8" w:color="2C2C2C"/>
            </w:tcBorders>
          </w:tcPr>
          <w:p>
            <w:pPr>
              <w:jc w:val="right"/>
              <w:ind w:right="51"/>
              <w:spacing w:after="0"/>
              <w:rPr>
                <w:sz w:val="20"/>
                <w:szCs w:val="20"/>
                <w:color w:val="auto"/>
              </w:rPr>
            </w:pPr>
            <w:r>
              <w:rPr>
                <w:rFonts w:ascii="Arial" w:cs="Arial" w:eastAsia="Arial" w:hAnsi="Arial"/>
                <w:sz w:val="17"/>
                <w:szCs w:val="17"/>
                <w:color w:val="0000FF"/>
                <w:w w:val="97"/>
              </w:rPr>
              <w:t>2,139,632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0.8875</w:t>
            </w:r>
            <w:r>
              <w:rPr>
                <w:rFonts w:ascii="Arial" w:cs="Arial" w:eastAsia="Arial" w:hAnsi="Arial"/>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17,911,216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60"/>
              <w:spacing w:after="0"/>
              <w:rPr>
                <w:sz w:val="20"/>
                <w:szCs w:val="20"/>
                <w:color w:val="auto"/>
              </w:rPr>
            </w:pPr>
            <w:r>
              <w:rPr>
                <w:rFonts w:ascii="Arial" w:cs="Arial" w:eastAsia="Arial" w:hAnsi="Arial"/>
                <w:sz w:val="17"/>
                <w:szCs w:val="17"/>
                <w:color w:val="0000FF"/>
              </w:rPr>
              <w:t>05/04/2021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52,056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0.8054</w:t>
            </w:r>
            <w:r>
              <w:rPr>
                <w:rFonts w:ascii="Arial" w:cs="Arial" w:eastAsia="Arial" w:hAnsi="Arial"/>
                <w:sz w:val="22"/>
                <w:szCs w:val="22"/>
                <w:color w:val="008000"/>
                <w:w w:val="95"/>
                <w:vertAlign w:val="superscript"/>
              </w:rPr>
              <w:t>(5)</w:t>
            </w:r>
          </w:p>
        </w:tc>
        <w:tc>
          <w:tcPr>
            <w:tcW w:w="120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0000FF"/>
                <w:w w:val="97"/>
              </w:rPr>
              <w:t>17,859,160</w:t>
            </w:r>
            <w:r>
              <w:rPr>
                <w:rFonts w:ascii="Arial" w:cs="Arial" w:eastAsia="Arial" w:hAnsi="Arial"/>
                <w:sz w:val="22"/>
                <w:szCs w:val="22"/>
                <w:color w:val="008000"/>
                <w:w w:val="97"/>
                <w:vertAlign w:val="superscript"/>
              </w:rPr>
              <w:t>(6)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May 3, 2021 divided by eight (8).</w:t>
      </w:r>
    </w:p>
    <w:p>
      <w:pPr>
        <w:spacing w:after="0" w:line="50"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the Form 4 was effected pursuant to a Rule 10b5-1 instruction solely with the intent to cover withholding taxes in connection with the vesting of certain previously reported Restricted Share Units.</w:t>
      </w:r>
    </w:p>
    <w:p>
      <w:pPr>
        <w:spacing w:after="0" w:line="1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$0.7813 to $0.8688.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13,111,912 Ordinary Shares underlying Restricted Share Units, each of which represents a contingent right to receive one (1) Ordinary Share of the Issuer (which are represented by 1,638,989 ADSs); and (ii) 4,747,248 Ordinary Shares underlying 593,406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05/05/2021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David Zaccardelli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2021-05-05T15:23:03Z</dcterms:created>
  <dcterms:modified xsi:type="dcterms:W3CDTF">2021-05-05T15:23:03Z</dcterms:modified>
</cp:coreProperties>
</file>