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30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30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Poll Claire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1,935,231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26,352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2.4992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1,908,879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2.4679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1,907,367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89,976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1,817,391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89,976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864,232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the Form 4 were effected pursuant to a Rule 10b5-1 instruction entered into on May 14, 2021 solely with the intent to cover taxes in connection with the vesting of certain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Consists of (i) 1,471,672 Ordinary Shares underlying RSUs (which are represented by 183,959 ADSs); (ii) 345,712 Ordinary Shares underlying 43,214 ADSs and (iii) 7 Ordinary Shares.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Claire Poll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2023-08-07T20:28:36Z</dcterms:created>
  <dcterms:modified xsi:type="dcterms:W3CDTF">2023-08-07T20:28:36Z</dcterms:modified>
</cp:coreProperties>
</file>