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7" w:lineRule="exact"/>
        <w:rPr>
          <w:sz w:val="24"/>
          <w:szCs w:val="24"/>
          <w:color w:val="auto"/>
        </w:rPr>
      </w:pPr>
    </w:p>
    <w:p>
      <w:pPr>
        <w:jc w:val="center"/>
        <w:ind w:left="1720" w:right="158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For the month of January 2020</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21"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January 13, 2020, Verona Pharma plc (the “Company”) issued a press release announcing top-line data from a Phase 2b dose-ranging study evaluating nebulized ensifentrine as an add-on treatment to tiotropium (the “Trial Announcement”). The Trial Announcement is furnished herewith as Exhibit 1 to this Report on Form 6-K.</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 the Trial Announcement, the Company reported positive top-line data from its 4 week, 416 patient, Phase 2b dose-ranging study evaluating nebulized ensifentrine (0.375 mg, 0.75 mg, 1.5 mg and 3.0 mg) or placebo as an add-on treatment to tiotropium (Spiriva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Respimat</w:t>
      </w:r>
      <w:r>
        <w:rPr>
          <w:rFonts w:ascii="Arial" w:cs="Arial" w:eastAsia="Arial" w:hAnsi="Arial"/>
          <w:sz w:val="20"/>
          <w:szCs w:val="20"/>
          <w:color w:val="auto"/>
          <w:vertAlign w:val="superscript"/>
        </w:rPr>
        <w:t>®</w:t>
      </w:r>
      <w:r>
        <w:rPr>
          <w:rFonts w:ascii="Arial" w:cs="Arial" w:eastAsia="Arial" w:hAnsi="Arial"/>
          <w:sz w:val="17"/>
          <w:szCs w:val="17"/>
          <w:color w:val="auto"/>
        </w:rPr>
        <w:t>), a long acting anti-muscarinic (“LAMA”) bronchodilator, in patients with moderate to severe chronic obstructive pulmonary disease (“COPD”).</w:t>
      </w:r>
    </w:p>
    <w:p>
      <w:pPr>
        <w:spacing w:after="0" w:line="199"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study met its primary endpoint of improved lung function, with ensifentrine added on to inhaled tiotropium, a LAMA commonly used to treat COPD. Ensifentrine produced a clinically and statistically significant, and dose-dependent improvement in peak forced expiratory volume in one second (“FEV</w:t>
      </w:r>
      <w:r>
        <w:rPr>
          <w:rFonts w:ascii="Arial" w:cs="Arial" w:eastAsia="Arial" w:hAnsi="Arial"/>
          <w:sz w:val="21"/>
          <w:szCs w:val="21"/>
          <w:color w:val="auto"/>
          <w:vertAlign w:val="subscript"/>
        </w:rPr>
        <w:t>1</w:t>
      </w:r>
      <w:r>
        <w:rPr>
          <w:rFonts w:ascii="Arial" w:cs="Arial" w:eastAsia="Arial" w:hAnsi="Arial"/>
          <w:sz w:val="18"/>
          <w:szCs w:val="18"/>
          <w:color w:val="auto"/>
        </w:rPr>
        <w:t>”)</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at week 4 compared to placebo added on to tiotropium. Additional highlights from the study include:</w:t>
      </w:r>
    </w:p>
    <w:p>
      <w:pPr>
        <w:spacing w:after="0" w:line="135" w:lineRule="exact"/>
        <w:rPr>
          <w:sz w:val="20"/>
          <w:szCs w:val="20"/>
          <w:color w:val="auto"/>
        </w:rPr>
      </w:pPr>
    </w:p>
    <w:p>
      <w:pPr>
        <w:ind w:left="340" w:right="18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Primary endpoint met at all doses: statistically significant and clinically meaningful improvement in lung function at week 4. Improvements ranged from 78 mL for the 0.375 mg dose (p=0.0368) to 124 mL for the 3.0 mg dose (p=0.0008). Effects were maintained over 4 weeks.</w:t>
      </w:r>
    </w:p>
    <w:p>
      <w:pPr>
        <w:ind w:left="340" w:hanging="332"/>
        <w:spacing w:after="0" w:line="21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Dose-dependent improvements in lung function were observed on both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and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AUC 0-12 hours</w:t>
      </w:r>
      <w:r>
        <w:rPr>
          <w:rFonts w:ascii="Arial" w:cs="Arial" w:eastAsia="Arial" w:hAnsi="Arial"/>
          <w:sz w:val="21"/>
          <w:szCs w:val="21"/>
          <w:color w:val="auto"/>
          <w:vertAlign w:val="superscript"/>
        </w:rPr>
        <w:t>2</w:t>
      </w:r>
      <w:r>
        <w:rPr>
          <w:rFonts w:ascii="Arial" w:cs="Arial" w:eastAsia="Arial" w:hAnsi="Arial"/>
          <w:sz w:val="18"/>
          <w:szCs w:val="18"/>
          <w:color w:val="auto"/>
        </w:rPr>
        <w:t>.</w:t>
      </w:r>
    </w:p>
    <w:p>
      <w:pPr>
        <w:ind w:left="340" w:right="140" w:hanging="332"/>
        <w:spacing w:after="0" w:line="23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Statistically significant improvement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AUC 0-12 hours of 87 mL for the 3.0 mg dose (p=0.0111) is supportive of twice daily dosing.</w:t>
      </w:r>
    </w:p>
    <w:p>
      <w:pPr>
        <w:ind w:left="340" w:right="380" w:hanging="332"/>
        <w:spacing w:after="0" w:line="23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Clinically meaningful improvements in health-related quality of life (mean SGRQ-C</w:t>
      </w:r>
      <w:r>
        <w:rPr>
          <w:rFonts w:ascii="Arial" w:cs="Arial" w:eastAsia="Arial" w:hAnsi="Arial"/>
          <w:sz w:val="21"/>
          <w:szCs w:val="21"/>
          <w:color w:val="auto"/>
          <w:vertAlign w:val="superscript"/>
        </w:rPr>
        <w:t>3</w:t>
      </w:r>
      <w:r>
        <w:rPr>
          <w:rFonts w:ascii="Arial" w:cs="Arial" w:eastAsia="Arial" w:hAnsi="Arial"/>
          <w:sz w:val="18"/>
          <w:szCs w:val="18"/>
          <w:color w:val="auto"/>
        </w:rPr>
        <w:t>) were observed on top of tiotropium, exceeding the minimal clinically important difference (“MCID”) of 4 units compared to placebo at week 4, with the two highest doses also achieving statistical significance.</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Ensifentrine was well tolerated at all doses with an adverse event profile similar to placebo.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data support dose selection for Phase 3</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 xml:space="preserve"> FEV</w:t>
      </w:r>
      <w:r>
        <w:rPr>
          <w:rFonts w:ascii="Arial" w:cs="Arial" w:eastAsia="Arial" w:hAnsi="Arial"/>
          <w:sz w:val="21"/>
          <w:szCs w:val="21"/>
          <w:color w:val="auto"/>
          <w:vertAlign w:val="subscript"/>
        </w:rPr>
        <w:t>1</w:t>
      </w:r>
      <w:r>
        <w:rPr>
          <w:rFonts w:ascii="Arial" w:cs="Arial" w:eastAsia="Arial" w:hAnsi="Arial"/>
          <w:sz w:val="18"/>
          <w:szCs w:val="18"/>
          <w:color w:val="auto"/>
        </w:rPr>
        <w:t>: Forced Expiratory Volume in one second, a standard measure of lung function</w:t>
      </w:r>
    </w:p>
    <w:p>
      <w:pPr>
        <w:spacing w:after="0" w:line="29" w:lineRule="exact"/>
        <w:rPr>
          <w:rFonts w:ascii="Arial" w:cs="Arial" w:eastAsia="Arial" w:hAnsi="Arial"/>
          <w:sz w:val="18"/>
          <w:szCs w:val="18"/>
          <w:color w:val="auto"/>
        </w:rPr>
      </w:pPr>
    </w:p>
    <w:p>
      <w:pPr>
        <w:ind w:left="340" w:right="20"/>
        <w:spacing w:after="0" w:line="231" w:lineRule="auto"/>
        <w:rPr>
          <w:rFonts w:ascii="Arial" w:cs="Arial" w:eastAsia="Arial" w:hAnsi="Arial"/>
          <w:sz w:val="18"/>
          <w:szCs w:val="18"/>
          <w:color w:val="auto"/>
        </w:rPr>
      </w:pPr>
      <w:r>
        <w:rPr>
          <w:rFonts w:ascii="Arial" w:cs="Arial" w:eastAsia="Arial" w:hAnsi="Arial"/>
          <w:sz w:val="21"/>
          <w:szCs w:val="21"/>
          <w:color w:val="auto"/>
          <w:vertAlign w:val="superscript"/>
        </w:rPr>
        <w:t>2</w:t>
      </w:r>
      <w:r>
        <w:rPr>
          <w:rFonts w:ascii="Arial" w:cs="Arial" w:eastAsia="Arial" w:hAnsi="Arial"/>
          <w:sz w:val="18"/>
          <w:szCs w:val="18"/>
          <w:color w:val="auto"/>
        </w:rPr>
        <w:t xml:space="preserv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AUC</w:t>
      </w:r>
      <w:r>
        <w:rPr>
          <w:rFonts w:ascii="Arial" w:cs="Arial" w:eastAsia="Arial" w:hAnsi="Arial"/>
          <w:sz w:val="21"/>
          <w:szCs w:val="21"/>
          <w:color w:val="auto"/>
          <w:vertAlign w:val="subscript"/>
        </w:rPr>
        <w:t>(0-12hr)</w:t>
      </w:r>
      <w:r>
        <w:rPr>
          <w:rFonts w:ascii="Arial" w:cs="Arial" w:eastAsia="Arial" w:hAnsi="Arial"/>
          <w:sz w:val="18"/>
          <w:szCs w:val="18"/>
          <w:color w:val="auto"/>
        </w:rPr>
        <w:t>: Area Under the Curve over 0-12 hours post dose, calculated using the trapezoidal rule, divided by the observation time (12 hours) to report in mL, a measure of the aggregate effect over 12 hours</w:t>
      </w:r>
    </w:p>
    <w:p>
      <w:pPr>
        <w:jc w:val="both"/>
        <w:ind w:left="340"/>
        <w:spacing w:after="0" w:line="237" w:lineRule="auto"/>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SGRQ-C: St. George’s Respiratory Questionnaire is a validated instrument that measures impact on overall health, daily life, and perceived well-being in patients with COPD (i.e. change in frequency and severity of COPD symptoms, and impact on activities, social functioning and psychological disturbances related to airways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-1040130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48260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Trial Results are hereby incorporated by reference into the Company's Registration Statement on Form F-3 (333-225107) and Registration Statement on Form S-8 (333-217521).</w:t>
      </w:r>
    </w:p>
    <w:p>
      <w:pPr>
        <w:sectPr>
          <w:pgSz w:w="11900" w:h="16838" w:orient="portrait"/>
          <w:cols w:equalWidth="0" w:num="1">
            <w:col w:w="11420"/>
          </w:cols>
          <w:pgMar w:left="240" w:top="333"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Exhibit</w:t>
      </w:r>
    </w:p>
    <w:p>
      <w:pPr>
        <w:ind w:left="920"/>
        <w:spacing w:after="0"/>
        <w:tabs>
          <w:tab w:leader="none" w:pos="22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77" w:lineRule="exact"/>
        <w:rPr>
          <w:sz w:val="20"/>
          <w:szCs w:val="20"/>
          <w:color w:val="auto"/>
        </w:rPr>
      </w:pPr>
    </w:p>
    <w:p>
      <w:pPr>
        <w:ind w:left="2260" w:hanging="1249"/>
        <w:spacing w:after="0"/>
        <w:tabs>
          <w:tab w:leader="none" w:pos="2260" w:val="left"/>
        </w:tabs>
        <w:numPr>
          <w:ilvl w:val="0"/>
          <w:numId w:val="2"/>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Trial Announcement</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2900" w:type="dxa"/>
            <w:vAlign w:val="bottom"/>
          </w:tcPr>
          <w:p>
            <w:pPr>
              <w:spacing w:after="0"/>
              <w:rPr>
                <w:sz w:val="20"/>
                <w:szCs w:val="20"/>
                <w:color w:val="auto"/>
              </w:rPr>
            </w:pPr>
            <w:r>
              <w:rPr>
                <w:rFonts w:ascii="Arial" w:cs="Arial" w:eastAsia="Arial" w:hAnsi="Arial"/>
                <w:sz w:val="18"/>
                <w:szCs w:val="18"/>
                <w:color w:val="auto"/>
              </w:rPr>
              <w:t>Date: January 17, 2020</w:t>
            </w:r>
          </w:p>
        </w:tc>
        <w:tc>
          <w:tcPr>
            <w:tcW w:w="1780" w:type="dxa"/>
            <w:vAlign w:val="bottom"/>
          </w:tcPr>
          <w:p>
            <w:pPr>
              <w:ind w:left="1040"/>
              <w:spacing w:after="0"/>
              <w:rPr>
                <w:sz w:val="20"/>
                <w:szCs w:val="20"/>
                <w:color w:val="auto"/>
              </w:rPr>
            </w:pPr>
            <w:r>
              <w:rPr>
                <w:rFonts w:ascii="Arial" w:cs="Arial" w:eastAsia="Arial" w:hAnsi="Arial"/>
                <w:sz w:val="18"/>
                <w:szCs w:val="18"/>
                <w:color w:val="auto"/>
              </w:rPr>
              <w:t>By:</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4820" w:type="dxa"/>
            <w:vAlign w:val="bottom"/>
            <w:tcBorders>
              <w:bottom w:val="single" w:sz="8" w:color="auto"/>
            </w:tcBorders>
          </w:tcPr>
          <w:p>
            <w:pPr>
              <w:spacing w:after="0"/>
              <w:rPr>
                <w:sz w:val="19"/>
                <w:szCs w:val="19"/>
                <w:color w:val="auto"/>
              </w:rPr>
            </w:pPr>
          </w:p>
        </w:tc>
      </w:tr>
      <w:tr>
        <w:trPr>
          <w:trHeight w:val="243"/>
        </w:trPr>
        <w:tc>
          <w:tcPr>
            <w:tcW w:w="29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Name:</w:t>
            </w:r>
          </w:p>
        </w:tc>
        <w:tc>
          <w:tcPr>
            <w:tcW w:w="4820" w:type="dxa"/>
            <w:vAlign w:val="bottom"/>
          </w:tcPr>
          <w:p>
            <w:pPr>
              <w:ind w:left="280"/>
              <w:spacing w:after="0"/>
              <w:rPr>
                <w:sz w:val="20"/>
                <w:szCs w:val="20"/>
                <w:color w:val="auto"/>
              </w:rPr>
            </w:pPr>
            <w:r>
              <w:rPr>
                <w:rFonts w:ascii="Arial" w:cs="Arial" w:eastAsia="Arial" w:hAnsi="Arial"/>
                <w:sz w:val="18"/>
                <w:szCs w:val="18"/>
                <w:color w:val="auto"/>
              </w:rPr>
              <w:t>Claire Poll</w:t>
            </w:r>
          </w:p>
        </w:tc>
      </w:tr>
      <w:tr>
        <w:trPr>
          <w:trHeight w:val="270"/>
        </w:trPr>
        <w:tc>
          <w:tcPr>
            <w:tcW w:w="29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Title:</w:t>
            </w:r>
          </w:p>
        </w:tc>
        <w:tc>
          <w:tcPr>
            <w:tcW w:w="4820" w:type="dxa"/>
            <w:vAlign w:val="bottom"/>
          </w:tcPr>
          <w:p>
            <w:pPr>
              <w:ind w:left="2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60"/>
          </w:cols>
          <w:pgMar w:left="240" w:top="333"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500380</wp:posOffset>
            </wp:positionV>
            <wp:extent cx="7272020" cy="78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Positive Top-line Data</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 4 Week Phase 2b COPD Study with Nebulized Ensifentrine on Top of Tiotropium Therapy</w:t>
      </w:r>
    </w:p>
    <w:p>
      <w:pPr>
        <w:spacing w:after="0" w:line="200" w:lineRule="exact"/>
        <w:rPr>
          <w:sz w:val="20"/>
          <w:szCs w:val="20"/>
          <w:color w:val="auto"/>
        </w:rPr>
      </w:pPr>
    </w:p>
    <w:p>
      <w:pPr>
        <w:spacing w:after="0" w:line="225" w:lineRule="exact"/>
        <w:rPr>
          <w:sz w:val="20"/>
          <w:szCs w:val="20"/>
          <w:color w:val="auto"/>
        </w:rPr>
      </w:pPr>
    </w:p>
    <w:p>
      <w:pPr>
        <w:jc w:val="center"/>
        <w:ind w:left="260" w:right="480"/>
        <w:spacing w:after="0" w:line="270" w:lineRule="auto"/>
        <w:rPr>
          <w:sz w:val="20"/>
          <w:szCs w:val="20"/>
          <w:color w:val="auto"/>
        </w:rPr>
      </w:pPr>
      <w:r>
        <w:rPr>
          <w:rFonts w:ascii="Arial" w:cs="Arial" w:eastAsia="Arial" w:hAnsi="Arial"/>
          <w:sz w:val="22"/>
          <w:szCs w:val="22"/>
          <w:i w:val="1"/>
          <w:iCs w:val="1"/>
          <w:color w:val="auto"/>
        </w:rPr>
        <w:t>Primary endpoint met at all doses: ensifentrine produced clinically and statistically significant dose-dependent improvements in lung function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Clinically relevant secondary endpoints met, including progressive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and statistically significant improvements in quality of life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Conference call scheduled for 6.00 am PST / 9.00 am EST / 2.00 pm GMT</w:t>
      </w:r>
    </w:p>
    <w:p>
      <w:pPr>
        <w:jc w:val="center"/>
        <w:spacing w:after="0"/>
        <w:rPr>
          <w:sz w:val="20"/>
          <w:szCs w:val="20"/>
          <w:color w:val="auto"/>
        </w:rPr>
      </w:pPr>
      <w:r>
        <w:rPr>
          <w:rFonts w:ascii="Arial" w:cs="Arial" w:eastAsia="Arial" w:hAnsi="Arial"/>
          <w:sz w:val="20"/>
          <w:szCs w:val="20"/>
          <w:color w:val="auto"/>
        </w:rPr>
        <w:t>on Monday, January 13, 2020</w:t>
      </w:r>
    </w:p>
    <w:p>
      <w:pPr>
        <w:spacing w:after="0" w:line="19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LONDON, January 13, 2020 </w:t>
      </w:r>
      <w:r>
        <w:rPr>
          <w:rFonts w:ascii="Arial" w:cs="Arial" w:eastAsia="Arial" w:hAnsi="Arial"/>
          <w:sz w:val="20"/>
          <w:szCs w:val="20"/>
          <w:color w:val="auto"/>
        </w:rPr>
        <w:t>- Verona Pharma plc (AIM: VRP) (Nasdaq: VRNA) (“Verona Pharma”), a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focused on respiratory diseases, announces positive top-line data from a 4 week, 416 patient, Phase 2b dose-ranging study evaluating nebulized ensifentrine (0.375 mg, 0.75 mg, 1.5 mg and 3.0 mg) or placebo as an add-on treatment to tiotropium (Spiriva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Respimat</w:t>
      </w:r>
      <w:r>
        <w:rPr>
          <w:rFonts w:ascii="Arial" w:cs="Arial" w:eastAsia="Arial" w:hAnsi="Arial"/>
          <w:sz w:val="25"/>
          <w:szCs w:val="25"/>
          <w:color w:val="auto"/>
          <w:vertAlign w:val="superscript"/>
        </w:rPr>
        <w:t>®</w:t>
      </w:r>
      <w:r>
        <w:rPr>
          <w:rFonts w:ascii="Arial" w:cs="Arial" w:eastAsia="Arial" w:hAnsi="Arial"/>
          <w:sz w:val="20"/>
          <w:szCs w:val="20"/>
          <w:color w:val="auto"/>
        </w:rPr>
        <w:t>), a long acting anti-muscarinic (“LAMA”) bronchodilator, in patients with moderate to severe chronic obstructive pulmonary disease (“COPD”).</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study met its primary endpoint of improved lung function, with ensifentrine added on to inhaled tiotropium, a LAMA commonly used to treat COPD. Ensifentrine produced a clinically and statistically significant, and dose-dependent improvement in peak forced expiratory volume in one second (“FEV</w:t>
      </w:r>
      <w:r>
        <w:rPr>
          <w:rFonts w:ascii="Arial" w:cs="Arial" w:eastAsia="Arial" w:hAnsi="Arial"/>
          <w:sz w:val="12"/>
          <w:szCs w:val="12"/>
          <w:color w:val="auto"/>
        </w:rPr>
        <w:t>1</w:t>
      </w:r>
      <w:r>
        <w:rPr>
          <w:rFonts w:ascii="Arial" w:cs="Arial" w:eastAsia="Arial" w:hAnsi="Arial"/>
          <w:sz w:val="20"/>
          <w:szCs w:val="20"/>
          <w:color w:val="auto"/>
        </w:rPr>
        <w: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at week 4 compared to placebo added on to tiotropium.</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Highlights for ensifentrine as an add-on to tiotropium</w:t>
      </w:r>
    </w:p>
    <w:p>
      <w:pPr>
        <w:spacing w:after="0" w:line="105" w:lineRule="exact"/>
        <w:rPr>
          <w:sz w:val="20"/>
          <w:szCs w:val="20"/>
          <w:color w:val="auto"/>
        </w:rPr>
      </w:pPr>
    </w:p>
    <w:p>
      <w:pPr>
        <w:jc w:val="both"/>
        <w:ind w:left="300" w:hanging="292"/>
        <w:spacing w:after="0" w:line="239"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Primary endpoint met at all doses: statistically significant and clinically meaningful improvement in lung function at week 4</w:t>
      </w:r>
      <w:r>
        <w:rPr>
          <w:rFonts w:ascii="Arial" w:cs="Arial" w:eastAsia="Arial" w:hAnsi="Arial"/>
          <w:sz w:val="20"/>
          <w:szCs w:val="20"/>
          <w:color w:val="0D0D0D"/>
        </w:rPr>
        <w:t>.</w:t>
      </w:r>
      <w:r>
        <w:rPr>
          <w:rFonts w:ascii="Arial" w:cs="Arial" w:eastAsia="Arial" w:hAnsi="Arial"/>
          <w:sz w:val="20"/>
          <w:szCs w:val="20"/>
          <w:color w:val="auto"/>
        </w:rPr>
        <w:t xml:space="preserve"> </w:t>
      </w:r>
      <w:r>
        <w:rPr>
          <w:rFonts w:ascii="Arial" w:cs="Arial" w:eastAsia="Arial" w:hAnsi="Arial"/>
          <w:sz w:val="20"/>
          <w:szCs w:val="20"/>
          <w:color w:val="0D0D0D"/>
        </w:rPr>
        <w:t>Improvements ranged from 78 mL for the 0.375 mg dose (p=0.0368) to 124 mL for the 3.0 mg dose (p=0.0008). Effects were maintained over 4 weeks.</w:t>
      </w:r>
    </w:p>
    <w:p>
      <w:pPr>
        <w:spacing w:after="0" w:line="1" w:lineRule="exact"/>
        <w:rPr>
          <w:rFonts w:ascii="Arial" w:cs="Arial" w:eastAsia="Arial" w:hAnsi="Arial"/>
          <w:sz w:val="18"/>
          <w:szCs w:val="18"/>
          <w:color w:val="auto"/>
        </w:rPr>
      </w:pPr>
    </w:p>
    <w:p>
      <w:pPr>
        <w:ind w:left="300" w:hanging="292"/>
        <w:spacing w:after="0" w:line="191"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20"/>
          <w:szCs w:val="20"/>
          <w:color w:val="0D0D0D"/>
        </w:rPr>
        <w:t>Dose-dependent improvements in lung function were observed on both peak FEV</w:t>
      </w:r>
      <w:r>
        <w:rPr>
          <w:rFonts w:ascii="Arial" w:cs="Arial" w:eastAsia="Arial" w:hAnsi="Arial"/>
          <w:sz w:val="12"/>
          <w:szCs w:val="12"/>
          <w:color w:val="0D0D0D"/>
        </w:rPr>
        <w:t>1</w:t>
      </w:r>
      <w:r>
        <w:rPr>
          <w:rFonts w:ascii="Arial" w:cs="Arial" w:eastAsia="Arial" w:hAnsi="Arial"/>
          <w:sz w:val="20"/>
          <w:szCs w:val="20"/>
          <w:color w:val="0D0D0D"/>
        </w:rPr>
        <w:t xml:space="preserve"> and FEV</w:t>
      </w:r>
      <w:r>
        <w:rPr>
          <w:rFonts w:ascii="Arial" w:cs="Arial" w:eastAsia="Arial" w:hAnsi="Arial"/>
          <w:sz w:val="12"/>
          <w:szCs w:val="12"/>
          <w:color w:val="0D0D0D"/>
        </w:rPr>
        <w:t>1</w:t>
      </w:r>
      <w:r>
        <w:rPr>
          <w:rFonts w:ascii="Arial" w:cs="Arial" w:eastAsia="Arial" w:hAnsi="Arial"/>
          <w:sz w:val="20"/>
          <w:szCs w:val="20"/>
          <w:color w:val="0D0D0D"/>
        </w:rPr>
        <w:t xml:space="preserve"> AUC 0-12 hours</w:t>
      </w:r>
      <w:r>
        <w:rPr>
          <w:rFonts w:ascii="Arial" w:cs="Arial" w:eastAsia="Arial" w:hAnsi="Arial"/>
          <w:sz w:val="25"/>
          <w:szCs w:val="25"/>
          <w:color w:val="0D0D0D"/>
          <w:vertAlign w:val="superscript"/>
        </w:rPr>
        <w:t>2</w:t>
      </w:r>
      <w:r>
        <w:rPr>
          <w:rFonts w:ascii="Arial" w:cs="Arial" w:eastAsia="Arial" w:hAnsi="Arial"/>
          <w:sz w:val="20"/>
          <w:szCs w:val="20"/>
          <w:color w:val="0D0D0D"/>
        </w:rPr>
        <w:t>.</w:t>
      </w:r>
    </w:p>
    <w:p>
      <w:pPr>
        <w:ind w:left="300" w:right="20" w:hanging="292"/>
        <w:spacing w:after="0" w:line="239"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20"/>
          <w:szCs w:val="20"/>
          <w:color w:val="0D0D0D"/>
        </w:rPr>
        <w:t>Statistically significant improvement in average FEV</w:t>
      </w:r>
      <w:r>
        <w:rPr>
          <w:rFonts w:ascii="Arial" w:cs="Arial" w:eastAsia="Arial" w:hAnsi="Arial"/>
          <w:sz w:val="12"/>
          <w:szCs w:val="12"/>
          <w:color w:val="0D0D0D"/>
        </w:rPr>
        <w:t>1</w:t>
      </w:r>
      <w:r>
        <w:rPr>
          <w:rFonts w:ascii="Arial" w:cs="Arial" w:eastAsia="Arial" w:hAnsi="Arial"/>
          <w:sz w:val="20"/>
          <w:szCs w:val="20"/>
          <w:color w:val="0D0D0D"/>
        </w:rPr>
        <w:t xml:space="preserve"> AUC 0-12 hours of 87 mL for the 3.0 mg dose (p=0.0111) is supportive of twice daily dosing.</w:t>
      </w:r>
    </w:p>
    <w:p>
      <w:pPr>
        <w:spacing w:after="0" w:line="1" w:lineRule="exact"/>
        <w:rPr>
          <w:rFonts w:ascii="Arial" w:cs="Arial" w:eastAsia="Arial" w:hAnsi="Arial"/>
          <w:sz w:val="18"/>
          <w:szCs w:val="18"/>
          <w:color w:val="auto"/>
        </w:rPr>
      </w:pPr>
    </w:p>
    <w:p>
      <w:pPr>
        <w:jc w:val="both"/>
        <w:ind w:left="300" w:hanging="292"/>
        <w:spacing w:after="0" w:line="221"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Clinically meaningful improvements in health-related quality of life (mean SGRQ-C</w:t>
      </w:r>
      <w:r>
        <w:rPr>
          <w:rFonts w:ascii="Arial" w:cs="Arial" w:eastAsia="Arial" w:hAnsi="Arial"/>
          <w:sz w:val="25"/>
          <w:szCs w:val="25"/>
          <w:color w:val="auto"/>
          <w:vertAlign w:val="superscript"/>
        </w:rPr>
        <w:t>3</w:t>
      </w:r>
      <w:r>
        <w:rPr>
          <w:rFonts w:ascii="Arial" w:cs="Arial" w:eastAsia="Arial" w:hAnsi="Arial"/>
          <w:sz w:val="20"/>
          <w:szCs w:val="20"/>
          <w:color w:val="auto"/>
        </w:rPr>
        <w:t>) were observed on top of tiotropium, exceeding the minimal clinically important difference (“MCID”) of 4 units compared to placebo at week 4, with the two highest doses also achieving statistical significance.</w:t>
      </w: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Ensifentrine was well tolerated at all doses with an adverse event profile similar to placebo.</w:t>
      </w: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These data support dose selection for Phase 3.</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41" w:lineRule="auto"/>
        <w:rPr>
          <w:sz w:val="20"/>
          <w:szCs w:val="20"/>
          <w:color w:val="auto"/>
        </w:rPr>
      </w:pPr>
      <w:r>
        <w:rPr>
          <w:rFonts w:ascii="Arial" w:cs="Arial" w:eastAsia="Arial" w:hAnsi="Arial"/>
          <w:sz w:val="20"/>
          <w:szCs w:val="20"/>
          <w:color w:val="auto"/>
        </w:rPr>
        <w:t>Gary Ferguson, MD, a pulmonary physician and Principal Investigator at the Pulmonary Research Institute of Southeast Michigan commented: “The strong effect on both bronchodilation and quality of life as an add-on to tiotropium is impressive and consistent with prior studies with ensifentrine. I am particularly interested to see the significant improvements in quality of life measurements over the 4 week treatment period. This is very important for patients that remain symptomatic despite using standard COPD medications.”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Jan-Anders Karlsson, PhD, CEO of Verona Pharma, said: “We are delighted with these results in symptomatic COPD patients already on steady-state maintenance treatment with a long-acting LAMA bronchodilator. These data bring clarity to planning the design, including dose selection, endpoints and background therapy, of our Phase 3 program. We look forward to discussing these new and compelling data, together with the positive results from our previous clinical studies, in an End-of-Phase 2 meeting with the FDA planned for 2Q 2020. We are committed to demonstrating ensifentrine’s potential to produce sustained bronchodilation and anti-inflammatory effects in symptomatic COPD patients in Phase 3 trials, which we expect to start in 3Q 2020.”</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2b Study Design</w:t>
      </w:r>
    </w:p>
    <w:p>
      <w:pPr>
        <w:spacing w:after="0" w:line="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This 4 week randomized, double-blind, placebo-controlled dose-ranging Phase 2b trial enrolled a total of 416 patients with moderate to severe symptomatic COPD at 46 sites in the U.S. The trial was designed to evaluate the safety and efficacy of nebulized ensifentrine as an add-on to inhaled tiotropium, a long acting anti-muscarinic (“LAMA”) commonly used to treat patients with COPD.</w:t>
      </w:r>
    </w:p>
    <w:p>
      <w:pPr>
        <w:spacing w:after="0" w:line="9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Patients received nebulized ensifentrine at 4 dose levels: 0.375 mg, 0.75 mg, 1.5 mg and 3.0 mg or placebo twice daily for 4 weeks. The trial’s primary endpoint was improvement in lung function with ensifentrine after 4 weeks of treatment, as measured by peak FEV</w:t>
      </w:r>
      <w:r>
        <w:rPr>
          <w:rFonts w:ascii="Arial" w:cs="Arial" w:eastAsia="Arial" w:hAnsi="Arial"/>
          <w:sz w:val="12"/>
          <w:szCs w:val="12"/>
          <w:color w:val="auto"/>
        </w:rPr>
        <w:t>1</w:t>
      </w:r>
      <w:r>
        <w:rPr>
          <w:rFonts w:ascii="Arial" w:cs="Arial" w:eastAsia="Arial" w:hAnsi="Arial"/>
          <w:sz w:val="20"/>
          <w:szCs w:val="20"/>
          <w:color w:val="auto"/>
        </w:rPr>
        <w:t>, a standard measure of lung function. Key additional endpoints included other lung function measures, as well as measurements of symptoms associated with COPD and quality of life outcomes.</w:t>
      </w:r>
    </w:p>
    <w:p>
      <w:pPr>
        <w:spacing w:after="0" w:line="99"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 xml:space="preserve">Full data from the Phase 2b study will be released at a subsequent scientific meeting, pending further data analysis. For further information on this clinical trial, please visit </w:t>
      </w:r>
      <w:r>
        <w:rPr>
          <w:rFonts w:ascii="Arial" w:cs="Arial" w:eastAsia="Arial" w:hAnsi="Arial"/>
          <w:sz w:val="20"/>
          <w:szCs w:val="20"/>
          <w:u w:val="single" w:color="auto"/>
          <w:color w:val="0563C1"/>
        </w:rPr>
        <w:t>ClinicalTrials.gov, NCT03937479</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3" w:lineRule="exact"/>
        <w:rPr>
          <w:sz w:val="20"/>
          <w:szCs w:val="20"/>
          <w:color w:val="auto"/>
        </w:rPr>
      </w:pPr>
    </w:p>
    <w:p>
      <w:pPr>
        <w:ind w:left="100" w:hanging="92"/>
        <w:spacing w:after="0"/>
        <w:tabs>
          <w:tab w:leader="none" w:pos="10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FEV</w:t>
      </w:r>
      <w:r>
        <w:rPr>
          <w:rFonts w:ascii="Arial" w:cs="Arial" w:eastAsia="Arial" w:hAnsi="Arial"/>
          <w:sz w:val="10"/>
          <w:szCs w:val="10"/>
          <w:color w:val="auto"/>
        </w:rPr>
        <w:t>1</w:t>
      </w:r>
      <w:r>
        <w:rPr>
          <w:rFonts w:ascii="Arial" w:cs="Arial" w:eastAsia="Arial" w:hAnsi="Arial"/>
          <w:sz w:val="16"/>
          <w:szCs w:val="16"/>
          <w:color w:val="auto"/>
        </w:rPr>
        <w:t>: Forced Expiratory Volume in one second, a standard measure of lung function</w:t>
      </w:r>
    </w:p>
    <w:p>
      <w:pPr>
        <w:spacing w:after="0" w:line="5" w:lineRule="exact"/>
        <w:rPr>
          <w:sz w:val="20"/>
          <w:szCs w:val="20"/>
          <w:color w:val="auto"/>
        </w:rPr>
      </w:pPr>
    </w:p>
    <w:p>
      <w:pPr>
        <w:ind w:firstLine="8"/>
        <w:spacing w:after="0" w:line="207" w:lineRule="auto"/>
        <w:tabs>
          <w:tab w:leader="none" w:pos="9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FEV</w:t>
      </w:r>
      <w:r>
        <w:rPr>
          <w:rFonts w:ascii="Arial" w:cs="Arial" w:eastAsia="Arial" w:hAnsi="Arial"/>
          <w:sz w:val="10"/>
          <w:szCs w:val="10"/>
          <w:color w:val="auto"/>
        </w:rPr>
        <w:t>1</w:t>
      </w:r>
      <w:r>
        <w:rPr>
          <w:rFonts w:ascii="Arial" w:cs="Arial" w:eastAsia="Arial" w:hAnsi="Arial"/>
          <w:sz w:val="16"/>
          <w:szCs w:val="16"/>
          <w:color w:val="auto"/>
        </w:rPr>
        <w:t xml:space="preserve"> AUC</w:t>
      </w:r>
      <w:r>
        <w:rPr>
          <w:rFonts w:ascii="Arial" w:cs="Arial" w:eastAsia="Arial" w:hAnsi="Arial"/>
          <w:sz w:val="10"/>
          <w:szCs w:val="10"/>
          <w:color w:val="auto"/>
        </w:rPr>
        <w:t>(0-12hr)</w:t>
      </w:r>
      <w:r>
        <w:rPr>
          <w:rFonts w:ascii="Arial" w:cs="Arial" w:eastAsia="Arial" w:hAnsi="Arial"/>
          <w:sz w:val="16"/>
          <w:szCs w:val="16"/>
          <w:color w:val="auto"/>
        </w:rPr>
        <w:t>: Area Under the Curve over 0-12 hours post dose, calculated using the trapezoidal rule, divided by the observation time (12 hours) to report in mL, a measure of the aggregate effect over 12 hours</w:t>
      </w:r>
    </w:p>
    <w:p>
      <w:pPr>
        <w:spacing w:after="0" w:line="1" w:lineRule="exact"/>
        <w:rPr>
          <w:rFonts w:ascii="Arial" w:cs="Arial" w:eastAsia="Arial" w:hAnsi="Arial"/>
          <w:sz w:val="22"/>
          <w:szCs w:val="22"/>
          <w:color w:val="auto"/>
          <w:vertAlign w:val="superscript"/>
        </w:rPr>
      </w:pPr>
    </w:p>
    <w:p>
      <w:pPr>
        <w:jc w:val="both"/>
        <w:spacing w:after="0" w:line="225"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SGRQ-C: St. George’s Respiratory Questionnaire is a validated instrument that measures impact on overall health, daily life, and perceived well-being in patients with COPD (i.e. change in frequency and severity of COPD symptoms, and impact on activities, social functioning and psychological disturbances related to airways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Conference Call</w:t>
      </w:r>
    </w:p>
    <w:p>
      <w:pPr>
        <w:spacing w:after="0" w:line="24"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Verona Pharma will host an investment community conference call today (Monday, January 13, 2020) at 6.00 am PST / 9.00 am EST / 2.00 pm GMT to discuss the Phase 2b study data. Analysts and investors may participate in the conference call using the conference ID: 2874368 and dialing the following numbers:</w:t>
      </w:r>
    </w:p>
    <w:p>
      <w:pPr>
        <w:spacing w:after="0" w:line="1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232323"/>
        </w:rPr>
        <w:t>866 940 4574 for callers in the United States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232323"/>
        </w:rPr>
        <w:t>0800 028 8438 for callers in the United Kingdom</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232323"/>
        </w:rPr>
        <w:t>0800 181 5287 for callers in Germany</w:t>
      </w:r>
    </w:p>
    <w:p>
      <w:pPr>
        <w:jc w:val="both"/>
        <w:spacing w:after="0" w:line="243" w:lineRule="auto"/>
        <w:rPr>
          <w:sz w:val="20"/>
          <w:szCs w:val="20"/>
          <w:color w:val="auto"/>
        </w:rPr>
      </w:pPr>
      <w:r>
        <w:rPr>
          <w:rFonts w:ascii="Arial" w:cs="Arial" w:eastAsia="Arial" w:hAnsi="Arial"/>
          <w:sz w:val="20"/>
          <w:szCs w:val="20"/>
          <w:color w:val="auto"/>
        </w:rPr>
        <w:t xml:space="preserve">Those interested in listening to the conference call live via the internet may do so by visiting the “Events and Presentations” page on the “Investors” section of Verona Pharma’s website at </w:t>
      </w:r>
      <w:r>
        <w:rPr>
          <w:rFonts w:ascii="Arial" w:cs="Arial" w:eastAsia="Arial" w:hAnsi="Arial"/>
          <w:sz w:val="20"/>
          <w:szCs w:val="20"/>
          <w:u w:val="single" w:color="auto"/>
          <w:color w:val="0563C1"/>
        </w:rPr>
        <w:t>www.veronapharma.com/investors/upcoming-events</w:t>
      </w:r>
      <w:r>
        <w:rPr>
          <w:rFonts w:ascii="Arial" w:cs="Arial" w:eastAsia="Arial" w:hAnsi="Arial"/>
          <w:sz w:val="20"/>
          <w:szCs w:val="20"/>
          <w:color w:val="auto"/>
        </w:rPr>
        <w:t xml:space="preserve"> and clicking on the webcast link. Slides highlighting the data will also be posted to the “Events and Presentations” page.</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THIS ANNOUNCEMENT CONTAINS INSIDE INFORMATION FOR THE PURPOSES OF ARTICLE 7 OF REGULATION (EU) NO 596/2014.</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COPD</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COPD is a progressive and life-threatening respiratory disease without a cure. The World Health Organization estimates that it will become the third leading cause of death worldwide by 2030. The condition damages the airways and the lungs, leading to debilitating breathlessness that has a devastating impact on performing basic daily activities such as getting out of bed, showering, eating and walking. In the United States alone, the total annual medical costs related to COPD are projected to rise to $49 billion in 2020. About 1.2 million US COPD patients on dual/triple inhaled therapy, long-acting beta-agonist (LABA)/long-acting muscarinic antagonist (LAMA) +/- inhaled corticosteroid (ICS) remain uncontrolled, experiencing symptoms that impair quality of life. These patients urgently need better treatments.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Ensifentrine</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Nebulized ensifentrine (RPL554) has shown significant and clinically meaningful improvements in both lung function and COPD symptoms, including breathlessness, in Verona Pharma’s prior Phase 2 clinical studies in patients with moderate to severe COPD. In addition, nebulized ensifentrine showed further improved lung function and reduced lung volumes in patients taking standard short- and long-acting bronchodilator therapy, including maximum bronchodilator treatment with dual/triple therapy. Ensifentrine has been well tolerated in clinical trials involving more than 1250 people to date.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Verona Pharma is currently in Phase 2 development with three formulations of ensifentrine for the treatment of COPD: nebulized, dry powder inhaler, and pressurized metered-dose inhaler. Ensifentrine also has potential applications in cystic fibrosis, asthma and other respiratory diseases. For more information, please visit </w:t>
      </w:r>
      <w:r>
        <w:rPr>
          <w:rFonts w:ascii="Arial" w:cs="Arial" w:eastAsia="Arial" w:hAnsi="Arial"/>
          <w:sz w:val="20"/>
          <w:szCs w:val="20"/>
          <w:u w:val="single" w:color="auto"/>
          <w:color w:val="0563C1"/>
        </w:rPr>
        <w:t>www.veronapharma.com</w:t>
      </w:r>
      <w:r>
        <w:rPr>
          <w:rFonts w:ascii="Arial" w:cs="Arial" w:eastAsia="Arial" w:hAnsi="Arial"/>
          <w:sz w:val="20"/>
          <w:szCs w:val="20"/>
          <w:color w:val="auto"/>
        </w:rPr>
        <w:t>.</w:t>
      </w:r>
    </w:p>
    <w:p>
      <w:pPr>
        <w:sectPr>
          <w:pgSz w:w="11900" w:h="16838" w:orient="portrait"/>
          <w:cols w:equalWidth="0" w:num="1">
            <w:col w:w="11420"/>
          </w:cols>
          <w:pgMar w:left="240" w:top="328"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 matters of historical fact should be considered forward-looking statements, including, but not limited to, the development of ensifentrine, the progress and timing of clinical trials and data and meetings with the U.S. FDA, estimates of medical costs for COPD, the potential for ensifentrine to be a first-in-class phosphodiesterase 3 and 4 inhibitor, and to be the first therapy for the treatment of respiratory diseases to combine bronchodilator and anti-inflammatory activities in a single molecule, the distinct benefits of ensifentrine’s novel mechanism of action in treating COPD, and the potential application of ensifentrine for the treatment of cystic fibrosis, asthma and other respiratory diseases.</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material differences between our “top-line” data and final data; our reliance on third parties, including clinical investigators, manufacturers and suppliers, and the risks related to these parties’ ability to successfully develop and commercialize ensifentrine; and lawsuits related to patents covering ensifentrine and the potential for our patents to be found invalid or unenforceable. These and other important factors under the caption “Risk Factors” in our Annual Report on Form 20-F filed with the Securities and Exchange Commission (“SEC”) on March 19, 2019,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ectPr>
          <w:pgSz w:w="11900" w:h="16838" w:orient="portrait"/>
          <w:cols w:equalWidth="0" w:num="1">
            <w:col w:w="11420"/>
          </w:cols>
          <w:pgMar w:left="240" w:top="328" w:right="2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For further information, please contact:</w:t>
      </w:r>
    </w:p>
    <w:p>
      <w:pPr>
        <w:sectPr>
          <w:pgSz w:w="11900" w:h="16838" w:orient="portrait"/>
          <w:cols w:equalWidth="0" w:num="1">
            <w:col w:w="10219"/>
          </w:cols>
          <w:pgMar w:left="240" w:top="328" w:right="1440" w:bottom="1440" w:gutter="0" w:footer="0" w:header="0"/>
        </w:sect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Verona Pharma plc</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Tel: +44 (0)20 3283 4200</w:t>
      </w:r>
    </w:p>
    <w:p>
      <w:pPr>
        <w:spacing w:after="0" w:line="52" w:lineRule="exact"/>
        <w:rPr>
          <w:sz w:val="20"/>
          <w:szCs w:val="20"/>
          <w:color w:val="auto"/>
        </w:rPr>
      </w:pPr>
    </w:p>
    <w:p>
      <w:pPr>
        <w:sectPr>
          <w:pgSz w:w="11900" w:h="16838" w:orient="portrait"/>
          <w:cols w:equalWidth="0" w:num="2">
            <w:col w:w="6400" w:space="720"/>
            <w:col w:w="3099"/>
          </w:cols>
          <w:pgMar w:left="240" w:top="328" w:right="1440" w:bottom="1440" w:gutter="0" w:footer="0" w:header="0"/>
          <w:type w:val="continuous"/>
        </w:sectPr>
      </w:pPr>
    </w:p>
    <w:p>
      <w:pPr>
        <w:ind w:left="420"/>
        <w:spacing w:after="0"/>
        <w:rPr>
          <w:sz w:val="20"/>
          <w:szCs w:val="20"/>
          <w:color w:val="auto"/>
        </w:rPr>
      </w:pPr>
      <w:r>
        <w:rPr>
          <w:rFonts w:ascii="Arial" w:cs="Arial" w:eastAsia="Arial" w:hAnsi="Arial"/>
          <w:sz w:val="20"/>
          <w:szCs w:val="20"/>
          <w:color w:val="auto"/>
        </w:rPr>
        <w:t>Jan-Anders Karlsson, Chief Executive Officer</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David  Moskowitz,  VP  Capital  Markets  Strategy  &amp;  Investor  Relations</w:t>
      </w:r>
    </w:p>
    <w:p>
      <w:pPr>
        <w:ind w:left="420"/>
        <w:spacing w:after="0" w:line="225" w:lineRule="auto"/>
        <w:rPr>
          <w:sz w:val="20"/>
          <w:szCs w:val="20"/>
          <w:color w:val="auto"/>
        </w:rPr>
      </w:pPr>
      <w:r>
        <w:rPr>
          <w:rFonts w:ascii="Arial" w:cs="Arial" w:eastAsia="Arial" w:hAnsi="Arial"/>
          <w:sz w:val="20"/>
          <w:szCs w:val="20"/>
          <w:color w:val="auto"/>
        </w:rPr>
        <w:t>(Investor enquiries)</w:t>
      </w:r>
    </w:p>
    <w:p>
      <w:pPr>
        <w:ind w:left="420"/>
        <w:spacing w:after="0"/>
        <w:rPr>
          <w:sz w:val="20"/>
          <w:szCs w:val="20"/>
          <w:color w:val="auto"/>
        </w:rPr>
      </w:pPr>
      <w:r>
        <w:rPr>
          <w:rFonts w:ascii="Arial" w:cs="Arial" w:eastAsia="Arial" w:hAnsi="Arial"/>
          <w:sz w:val="20"/>
          <w:szCs w:val="20"/>
          <w:color w:val="auto"/>
        </w:rPr>
        <w:t>Victoria Stewart, Director of Communications (Media Enquiries)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info@veronapharma.com</w:t>
      </w:r>
    </w:p>
    <w:p>
      <w:pPr>
        <w:spacing w:after="0" w:line="913" w:lineRule="exact"/>
        <w:rPr>
          <w:sz w:val="20"/>
          <w:szCs w:val="20"/>
          <w:color w:val="auto"/>
        </w:rPr>
      </w:pPr>
    </w:p>
    <w:p>
      <w:pPr>
        <w:sectPr>
          <w:pgSz w:w="11900" w:h="16838" w:orient="portrait"/>
          <w:cols w:equalWidth="0" w:num="2">
            <w:col w:w="7060" w:space="60"/>
            <w:col w:w="3099"/>
          </w:cols>
          <w:pgMar w:left="240" w:top="328" w:right="1440" w:bottom="1440" w:gutter="0" w:footer="0" w:header="0"/>
          <w:type w:val="continuous"/>
        </w:sectPr>
      </w:pPr>
    </w:p>
    <w:p>
      <w:pPr>
        <w:spacing w:after="0" w:line="32"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N+1 Singer</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(Nominated Adviser and UK Broker)</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9"/>
          <w:szCs w:val="19"/>
          <w:color w:val="auto"/>
        </w:rPr>
        <w:t>Aubrey Powell / George Tzimas / Iqra Amin (Corporate Finance)</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Mia Gardner (Corporate Broking)</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Tel: +44 (0)20 3283 4200</w:t>
      </w:r>
    </w:p>
    <w:p>
      <w:pPr>
        <w:spacing w:after="0" w:line="751" w:lineRule="exact"/>
        <w:rPr>
          <w:sz w:val="20"/>
          <w:szCs w:val="20"/>
          <w:color w:val="auto"/>
        </w:rPr>
      </w:pPr>
    </w:p>
    <w:p>
      <w:pPr>
        <w:sectPr>
          <w:pgSz w:w="11900" w:h="16838" w:orient="portrait"/>
          <w:cols w:equalWidth="0" w:num="2">
            <w:col w:w="6400" w:space="720"/>
            <w:col w:w="3099"/>
          </w:cols>
          <w:pgMar w:left="240" w:top="328" w:right="1440" w:bottom="1440" w:gutter="0" w:footer="0" w:header="0"/>
          <w:type w:val="continuous"/>
        </w:sectPr>
      </w:pPr>
    </w:p>
    <w:p>
      <w:pPr>
        <w:spacing w:after="0" w:line="32" w:lineRule="exact"/>
        <w:rPr>
          <w:sz w:val="20"/>
          <w:szCs w:val="20"/>
          <w:color w:val="auto"/>
        </w:rPr>
      </w:pPr>
    </w:p>
    <w:p>
      <w:pPr>
        <w:ind w:left="420" w:right="2360"/>
        <w:spacing w:after="0" w:line="290" w:lineRule="auto"/>
        <w:rPr>
          <w:sz w:val="20"/>
          <w:szCs w:val="20"/>
          <w:color w:val="auto"/>
        </w:rPr>
      </w:pPr>
      <w:r>
        <w:rPr>
          <w:rFonts w:ascii="Arial" w:cs="Arial" w:eastAsia="Arial" w:hAnsi="Arial"/>
          <w:sz w:val="19"/>
          <w:szCs w:val="19"/>
          <w:b w:val="1"/>
          <w:bCs w:val="1"/>
          <w:color w:val="auto"/>
        </w:rPr>
        <w:t xml:space="preserve">Optimum Strategic Communications </w:t>
      </w:r>
      <w:r>
        <w:rPr>
          <w:rFonts w:ascii="Arial" w:cs="Arial" w:eastAsia="Arial" w:hAnsi="Arial"/>
          <w:sz w:val="19"/>
          <w:szCs w:val="19"/>
          <w:color w:val="auto"/>
        </w:rPr>
        <w:t>(European Media and Investor Enquiries) Mary Clark / Eva Haas / Hollie Vile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Tel: +44 (0)20 950 9144</w:t>
      </w:r>
    </w:p>
    <w:p>
      <w:pPr>
        <w:spacing w:after="0"/>
        <w:rPr>
          <w:sz w:val="20"/>
          <w:szCs w:val="20"/>
          <w:color w:val="auto"/>
        </w:rPr>
      </w:pPr>
      <w:r>
        <w:rPr>
          <w:rFonts w:ascii="Arial" w:cs="Arial" w:eastAsia="Arial" w:hAnsi="Arial"/>
          <w:sz w:val="19"/>
          <w:szCs w:val="19"/>
          <w:color w:val="auto"/>
        </w:rPr>
        <w:t>verona@optimumcomms.com</w:t>
      </w:r>
    </w:p>
    <w:p>
      <w:pPr>
        <w:spacing w:after="0" w:line="513" w:lineRule="exact"/>
        <w:rPr>
          <w:sz w:val="20"/>
          <w:szCs w:val="20"/>
          <w:color w:val="auto"/>
        </w:rPr>
      </w:pPr>
    </w:p>
    <w:p>
      <w:pPr>
        <w:sectPr>
          <w:pgSz w:w="11900" w:h="16838" w:orient="portrait"/>
          <w:cols w:equalWidth="0" w:num="2">
            <w:col w:w="6400" w:space="720"/>
            <w:col w:w="3099"/>
          </w:cols>
          <w:pgMar w:left="240" w:top="328" w:right="1440" w:bottom="1440" w:gutter="0" w:footer="0" w:header="0"/>
          <w:type w:val="continuous"/>
        </w:sectPr>
      </w:pPr>
    </w:p>
    <w:p>
      <w:pPr>
        <w:ind w:left="420"/>
        <w:spacing w:after="0"/>
        <w:rPr>
          <w:sz w:val="20"/>
          <w:szCs w:val="20"/>
          <w:color w:val="auto"/>
        </w:rPr>
      </w:pPr>
      <w:r>
        <w:rPr>
          <w:rFonts w:ascii="Arial" w:cs="Arial" w:eastAsia="Arial" w:hAnsi="Arial"/>
          <w:sz w:val="20"/>
          <w:szCs w:val="20"/>
          <w:b w:val="1"/>
          <w:bCs w:val="1"/>
          <w:color w:val="auto"/>
        </w:rPr>
        <w:t>Argot Partners</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(US Investor Enquiries)</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9"/>
          <w:szCs w:val="19"/>
          <w:color w:val="auto"/>
        </w:rPr>
        <w:t>Stephanie Marks / Kimberly Minarovich / Michael Barron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Tel: +1 212-600-1902</w:t>
      </w:r>
    </w:p>
    <w:p>
      <w:pPr>
        <w:spacing w:after="0"/>
        <w:rPr>
          <w:sz w:val="20"/>
          <w:szCs w:val="20"/>
          <w:color w:val="auto"/>
        </w:rPr>
      </w:pPr>
      <w:r>
        <w:rPr>
          <w:rFonts w:ascii="Arial" w:cs="Arial" w:eastAsia="Arial" w:hAnsi="Arial"/>
          <w:sz w:val="19"/>
          <w:szCs w:val="19"/>
          <w:color w:val="auto"/>
        </w:rPr>
        <w:t>verona@argotpartners.com</w:t>
      </w:r>
    </w:p>
    <w:sectPr>
      <w:pgSz w:w="11900" w:h="16838" w:orient="portrait"/>
      <w:cols w:equalWidth="0" w:num="2">
        <w:col w:w="6400" w:space="720"/>
        <w:col w:w="3099"/>
      </w:cols>
      <w:pgMar w:left="240" w:top="3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2020-01-17T06:02:00Z</dcterms:created>
  <dcterms:modified xsi:type="dcterms:W3CDTF">2020-01-17T06:02:00Z</dcterms:modified>
</cp:coreProperties>
</file>