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0" w:lineRule="exact"/>
        <w:rPr>
          <w:sz w:val="24"/>
          <w:szCs w:val="24"/>
          <w:color w:val="auto"/>
        </w:rPr>
      </w:pPr>
    </w:p>
    <w:p>
      <w:pPr>
        <w:jc w:val="right"/>
        <w:ind w:right="359"/>
        <w:spacing w:after="0"/>
        <w:rPr>
          <w:sz w:val="20"/>
          <w:szCs w:val="20"/>
          <w:color w:val="auto"/>
        </w:rPr>
      </w:pPr>
      <w:r>
        <w:rPr>
          <w:rFonts w:ascii="Arial" w:cs="Arial" w:eastAsia="Arial" w:hAnsi="Arial"/>
          <w:sz w:val="17"/>
          <w:szCs w:val="17"/>
          <w:b w:val="1"/>
          <w:bCs w:val="1"/>
          <w:i w:val="1"/>
          <w:iCs w:val="1"/>
          <w:color w:val="auto"/>
        </w:rPr>
        <w:t> Filed Pursuant to Rule 424(b)(5)​</w:t>
      </w:r>
    </w:p>
    <w:p>
      <w:pPr>
        <w:jc w:val="right"/>
        <w:ind w:right="359"/>
        <w:spacing w:after="0"/>
        <w:rPr>
          <w:sz w:val="20"/>
          <w:szCs w:val="20"/>
          <w:color w:val="auto"/>
        </w:rPr>
      </w:pPr>
      <w:r>
        <w:rPr>
          <w:rFonts w:ascii="Arial" w:cs="Arial" w:eastAsia="Arial" w:hAnsi="Arial"/>
          <w:sz w:val="17"/>
          <w:szCs w:val="17"/>
          <w:b w:val="1"/>
          <w:bCs w:val="1"/>
          <w:i w:val="1"/>
          <w:iCs w:val="1"/>
          <w:color w:val="auto"/>
        </w:rPr>
        <w:t> Registration No. 333-254530​</w:t>
      </w:r>
    </w:p>
    <w:p>
      <w:pPr>
        <w:spacing w:after="0" w:line="35"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(To Prospectus dated March 29, 2021)</w:t>
      </w:r>
    </w:p>
    <w:p>
      <w:pPr>
        <w:spacing w:after="0" w:line="37" w:lineRule="exact"/>
        <w:rPr>
          <w:sz w:val="24"/>
          <w:szCs w:val="24"/>
          <w:color w:val="auto"/>
        </w:rPr>
      </w:pPr>
    </w:p>
    <w:p>
      <w:pPr>
        <w:ind w:left="2340"/>
        <w:spacing w:after="0"/>
        <w:rPr>
          <w:sz w:val="20"/>
          <w:szCs w:val="20"/>
          <w:color w:val="auto"/>
        </w:rPr>
      </w:pPr>
      <w:r>
        <w:rPr>
          <w:rFonts w:ascii="Arial" w:cs="Arial" w:eastAsia="Arial" w:hAnsi="Arial"/>
          <w:sz w:val="29"/>
          <w:szCs w:val="29"/>
          <w:b w:val="1"/>
          <w:bCs w:val="1"/>
          <w:color w:val="auto"/>
        </w:rPr>
        <w:t>12,400,000 American Depositary Shares</w:t>
      </w:r>
    </w:p>
    <w:p>
      <w:pPr>
        <w:ind w:left="2980"/>
        <w:spacing w:after="0"/>
        <w:rPr>
          <w:sz w:val="20"/>
          <w:szCs w:val="20"/>
          <w:color w:val="auto"/>
        </w:rPr>
      </w:pPr>
      <w:r>
        <w:rPr>
          <w:rFonts w:ascii="Arial" w:cs="Arial" w:eastAsia="Arial" w:hAnsi="Arial"/>
          <w:sz w:val="29"/>
          <w:szCs w:val="29"/>
          <w:b w:val="1"/>
          <w:bCs w:val="1"/>
          <w:color w:val="auto"/>
        </w:rPr>
        <w:t>(Representing Ordinary Shares)</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73660</wp:posOffset>
            </wp:positionV>
            <wp:extent cx="149161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231140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1260" w:right="1079"/>
        <w:spacing w:after="0" w:line="287" w:lineRule="auto"/>
        <w:rPr>
          <w:sz w:val="20"/>
          <w:szCs w:val="20"/>
          <w:color w:val="auto"/>
        </w:rPr>
      </w:pPr>
      <w:r>
        <w:rPr>
          <w:rFonts w:ascii="Arial" w:cs="Arial" w:eastAsia="Arial" w:hAnsi="Arial"/>
          <w:sz w:val="18"/>
          <w:szCs w:val="18"/>
          <w:color w:val="auto"/>
        </w:rPr>
        <w:t>We are offering 12,400,000 American Depositary Shares, or ADSs. Each ADS represents eight ordinary shares of Verona Pharma plc, nominal value £0.05 each.</w:t>
      </w:r>
    </w:p>
    <w:p>
      <w:pPr>
        <w:spacing w:after="0" w:line="45" w:lineRule="exact"/>
        <w:rPr>
          <w:sz w:val="24"/>
          <w:szCs w:val="24"/>
          <w:color w:val="auto"/>
        </w:rPr>
      </w:pPr>
    </w:p>
    <w:p>
      <w:pPr>
        <w:ind w:left="1260" w:right="439"/>
        <w:spacing w:after="0" w:line="287" w:lineRule="auto"/>
        <w:rPr>
          <w:sz w:val="20"/>
          <w:szCs w:val="20"/>
          <w:color w:val="auto"/>
        </w:rPr>
      </w:pPr>
      <w:r>
        <w:rPr>
          <w:rFonts w:ascii="Arial" w:cs="Arial" w:eastAsia="Arial" w:hAnsi="Arial"/>
          <w:sz w:val="18"/>
          <w:szCs w:val="18"/>
          <w:color w:val="auto"/>
        </w:rPr>
        <w:t>Our ADSs are listed on The Nasdaq Global Market under the symbol “VRNA.” On August 10, 2022, the last reported sale price of our ADSs on The Nasdaq Global Market was $10.90 per ADS.</w:t>
      </w:r>
    </w:p>
    <w:p>
      <w:pPr>
        <w:spacing w:after="0" w:line="47" w:lineRule="exact"/>
        <w:rPr>
          <w:sz w:val="24"/>
          <w:szCs w:val="24"/>
          <w:color w:val="auto"/>
        </w:rPr>
      </w:pPr>
    </w:p>
    <w:p>
      <w:pPr>
        <w:jc w:val="both"/>
        <w:ind w:left="1260" w:right="439"/>
        <w:spacing w:after="0" w:line="285" w:lineRule="auto"/>
        <w:rPr>
          <w:sz w:val="20"/>
          <w:szCs w:val="20"/>
          <w:color w:val="auto"/>
        </w:rPr>
      </w:pPr>
      <w:r>
        <w:rPr>
          <w:rFonts w:ascii="Arial" w:cs="Arial" w:eastAsia="Arial" w:hAnsi="Arial"/>
          <w:sz w:val="18"/>
          <w:szCs w:val="18"/>
          <w:i w:val="1"/>
          <w:iCs w:val="1"/>
          <w:color w:val="auto"/>
        </w:rPr>
        <w:t>We are an “emerging growth company” and a “smaller reporting company” under applicable Securities and Exchange Commission rules and are eligible for reduced public company disclosure requirements.</w:t>
      </w:r>
    </w:p>
    <w:p>
      <w:pPr>
        <w:spacing w:after="0" w:line="46" w:lineRule="exact"/>
        <w:rPr>
          <w:sz w:val="24"/>
          <w:szCs w:val="24"/>
          <w:color w:val="auto"/>
        </w:rPr>
      </w:pPr>
    </w:p>
    <w:p>
      <w:pPr>
        <w:ind w:left="1260" w:right="499"/>
        <w:spacing w:after="0" w:line="265" w:lineRule="auto"/>
        <w:rPr>
          <w:sz w:val="20"/>
          <w:szCs w:val="20"/>
          <w:color w:val="auto"/>
        </w:rPr>
      </w:pPr>
      <w:r>
        <w:rPr>
          <w:rFonts w:ascii="Arial" w:cs="Arial" w:eastAsia="Arial" w:hAnsi="Arial"/>
          <w:sz w:val="18"/>
          <w:szCs w:val="18"/>
          <w:b w:val="1"/>
          <w:bCs w:val="1"/>
          <w:color w:val="auto"/>
        </w:rPr>
        <w:t xml:space="preserve">Investing in our ADSs involves a high degree of risk. See “Risk Factors” beginning on page </w:t>
      </w:r>
      <w:r>
        <w:rPr>
          <w:rFonts w:ascii="Arial" w:cs="Arial" w:eastAsia="Arial" w:hAnsi="Arial"/>
          <w:sz w:val="18"/>
          <w:szCs w:val="18"/>
          <w:b w:val="1"/>
          <w:bCs w:val="1"/>
          <w:u w:val="single" w:color="auto"/>
          <w:color w:val="0000EE"/>
        </w:rPr>
        <w:t>S-8</w:t>
      </w:r>
      <w:r>
        <w:rPr>
          <w:rFonts w:ascii="Arial" w:cs="Arial" w:eastAsia="Arial" w:hAnsi="Arial"/>
          <w:sz w:val="18"/>
          <w:szCs w:val="18"/>
          <w:b w:val="1"/>
          <w:bCs w:val="1"/>
          <w:color w:val="auto"/>
        </w:rPr>
        <w:t xml:space="preserve"> of this prospectus supplement or the accompanying prospectus and the documents incorporated by reference in this prospectus supplement concerning factors you should consider before investing in our securities.</w:t>
      </w:r>
    </w:p>
    <w:p>
      <w:pPr>
        <w:spacing w:after="0" w:line="58" w:lineRule="exact"/>
        <w:rPr>
          <w:sz w:val="24"/>
          <w:szCs w:val="24"/>
          <w:color w:val="auto"/>
        </w:rPr>
      </w:pPr>
    </w:p>
    <w:p>
      <w:pPr>
        <w:ind w:left="1260" w:right="499"/>
        <w:spacing w:after="0" w:line="265"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203200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8" w:lineRule="exact"/>
        <w:rPr>
          <w:sz w:val="24"/>
          <w:szCs w:val="24"/>
          <w:color w:val="auto"/>
        </w:rPr>
      </w:pPr>
    </w:p>
    <w:tbl>
      <w:tblPr>
        <w:tblLayout w:type="fixed"/>
        <w:tblInd w:w="1260" w:type="dxa"/>
        <w:tblCellMar>
          <w:top w:w="0" w:type="dxa"/>
          <w:left w:w="0" w:type="dxa"/>
          <w:bottom w:w="0" w:type="dxa"/>
          <w:right w:w="0" w:type="dxa"/>
        </w:tblCellMar>
      </w:tblPr>
      <w:tr>
        <w:trPr>
          <w:trHeight w:val="367"/>
        </w:trPr>
        <w:tc>
          <w:tcPr>
            <w:tcW w:w="5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4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880" w:type="dxa"/>
            <w:vAlign w:val="bottom"/>
            <w:gridSpan w:val="6"/>
          </w:tcPr>
          <w:p>
            <w:pPr>
              <w:ind w:left="6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PER ADS </w:t>
            </w:r>
            <w:r>
              <w:rPr>
                <w:rFonts w:ascii="Arial" w:cs="Arial" w:eastAsia="Arial" w:hAnsi="Arial"/>
                <w:sz w:val="28"/>
                <w:szCs w:val="28"/>
                <w:b w:val="1"/>
                <w:bCs w:val="1"/>
                <w:color w:val="auto"/>
                <w:vertAlign w:val="subscript"/>
              </w:rPr>
              <w:t>​ ​</w:t>
            </w:r>
          </w:p>
        </w:tc>
        <w:tc>
          <w:tcPr>
            <w:tcW w:w="11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w:t>
            </w:r>
          </w:p>
        </w:tc>
      </w:tr>
      <w:tr>
        <w:trPr>
          <w:trHeight w:val="20"/>
        </w:trPr>
        <w:tc>
          <w:tcPr>
            <w:tcW w:w="50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r>
        <w:trPr>
          <w:trHeight w:val="236"/>
        </w:trPr>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offering price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10.50​​ ​​$</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130,200,000​</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84"/>
        </w:trPr>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4180" w:type="dxa"/>
            <w:vAlign w:val="bottom"/>
          </w:tcPr>
          <w:p>
            <w:pPr>
              <w:ind w:left="14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0.63​​ ​​$</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7,812,000​</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38"/>
        </w:trPr>
        <w:tc>
          <w:tcPr>
            <w:tcW w:w="500" w:type="dxa"/>
            <w:vAlign w:val="bottom"/>
            <w:shd w:val="clear" w:color="auto" w:fill="CCEEFF"/>
          </w:tcPr>
          <w:p>
            <w:pPr>
              <w:spacing w:after="0"/>
              <w:rPr>
                <w:sz w:val="20"/>
                <w:szCs w:val="20"/>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before expenses, to us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122,388,000</w:t>
            </w:r>
          </w:p>
        </w:tc>
        <w:tc>
          <w:tcPr>
            <w:tcW w:w="460" w:type="dxa"/>
            <w:vAlign w:val="bottom"/>
            <w:shd w:val="clear" w:color="auto" w:fill="CCEEFF"/>
          </w:tcPr>
          <w:p>
            <w:pPr>
              <w:spacing w:after="0"/>
              <w:rPr>
                <w:sz w:val="20"/>
                <w:szCs w:val="20"/>
                <w:color w:val="auto"/>
              </w:rPr>
            </w:pPr>
          </w:p>
        </w:tc>
      </w:tr>
      <w:tr>
        <w:trPr>
          <w:trHeight w:val="208"/>
        </w:trPr>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-633730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ind w:left="1620" w:hanging="360"/>
        <w:spacing w:after="0" w:line="224" w:lineRule="auto"/>
        <w:tabs>
          <w:tab w:leader="none" w:pos="1620" w:val="left"/>
        </w:tabs>
        <w:numPr>
          <w:ilvl w:val="0"/>
          <w:numId w:val="1"/>
        </w:numPr>
        <w:rPr>
          <w:rFonts w:ascii="Arial" w:cs="Arial" w:eastAsia="Arial" w:hAnsi="Arial"/>
          <w:sz w:val="20"/>
          <w:szCs w:val="20"/>
          <w:color w:val="auto"/>
          <w:vertAlign w:val="superscript"/>
        </w:rPr>
      </w:pPr>
      <w:r>
        <w:rPr>
          <w:rFonts w:ascii="Arial" w:cs="Arial" w:eastAsia="Arial" w:hAnsi="Arial"/>
          <w:sz w:val="13"/>
          <w:szCs w:val="13"/>
          <w:color w:val="auto"/>
        </w:rPr>
        <w:t xml:space="preserve">See the section titled “Underwriting” beginning on page </w:t>
      </w:r>
      <w:r>
        <w:rPr>
          <w:rFonts w:ascii="Arial" w:cs="Arial" w:eastAsia="Arial" w:hAnsi="Arial"/>
          <w:sz w:val="13"/>
          <w:szCs w:val="13"/>
          <w:u w:val="single" w:color="auto"/>
          <w:color w:val="0000EE"/>
        </w:rPr>
        <w:t>S-19</w:t>
      </w:r>
      <w:r>
        <w:rPr>
          <w:rFonts w:ascii="Arial" w:cs="Arial" w:eastAsia="Arial" w:hAnsi="Arial"/>
          <w:sz w:val="13"/>
          <w:szCs w:val="13"/>
          <w:color w:val="auto"/>
        </w:rPr>
        <w:t xml:space="preserve"> for a description of the compensation payable to the underwriters.</w:t>
      </w:r>
    </w:p>
    <w:p>
      <w:pPr>
        <w:spacing w:after="0" w:line="9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Delivery of the ADSs is expected to be made on or about August 15, 2022.</w:t>
      </w:r>
    </w:p>
    <w:p>
      <w:pPr>
        <w:spacing w:after="0" w:line="131" w:lineRule="exact"/>
        <w:rPr>
          <w:sz w:val="24"/>
          <w:szCs w:val="24"/>
          <w:color w:val="auto"/>
        </w:rPr>
      </w:pPr>
    </w:p>
    <w:p>
      <w:pPr>
        <w:ind w:left="1260" w:right="1039"/>
        <w:spacing w:after="0" w:line="335" w:lineRule="auto"/>
        <w:rPr>
          <w:sz w:val="20"/>
          <w:szCs w:val="20"/>
          <w:color w:val="auto"/>
        </w:rPr>
      </w:pPr>
      <w:r>
        <w:rPr>
          <w:rFonts w:ascii="Arial" w:cs="Arial" w:eastAsia="Arial" w:hAnsi="Arial"/>
          <w:sz w:val="17"/>
          <w:szCs w:val="17"/>
          <w:color w:val="auto"/>
        </w:rPr>
        <w:t>We have granted the underwriters an option for a period of 30 days to purchase up to 1,860,000 additional ADSs, at the public offering price less underwriting discounts and commissions.</w:t>
      </w:r>
    </w:p>
    <w:p>
      <w:pPr>
        <w:spacing w:after="0" w:line="118" w:lineRule="exact"/>
        <w:rPr>
          <w:sz w:val="24"/>
          <w:szCs w:val="24"/>
          <w:color w:val="auto"/>
        </w:rPr>
      </w:pPr>
    </w:p>
    <w:tbl>
      <w:tblPr>
        <w:tblLayout w:type="fixed"/>
        <w:tblInd w:w="1260" w:type="dxa"/>
        <w:tblCellMar>
          <w:top w:w="0" w:type="dxa"/>
          <w:left w:w="0" w:type="dxa"/>
          <w:bottom w:w="0" w:type="dxa"/>
          <w:right w:w="0" w:type="dxa"/>
        </w:tblCellMar>
      </w:tblPr>
      <w:tr>
        <w:trPr>
          <w:trHeight w:val="237"/>
        </w:trPr>
        <w:tc>
          <w:tcPr>
            <w:tcW w:w="2360" w:type="dxa"/>
            <w:vAlign w:val="bottom"/>
            <w:vMerge w:val="restart"/>
          </w:tcPr>
          <w:p>
            <w:pPr>
              <w:spacing w:after="0"/>
              <w:rPr>
                <w:sz w:val="20"/>
                <w:szCs w:val="20"/>
                <w:color w:val="auto"/>
              </w:rPr>
            </w:pPr>
            <w:r>
              <w:rPr>
                <w:rFonts w:ascii="Arial" w:cs="Arial" w:eastAsia="Arial" w:hAnsi="Arial"/>
                <w:sz w:val="29"/>
                <w:szCs w:val="29"/>
                <w:b w:val="1"/>
                <w:bCs w:val="1"/>
                <w:color w:val="auto"/>
              </w:rPr>
              <w:t>​</w:t>
            </w:r>
          </w:p>
        </w:tc>
        <w:tc>
          <w:tcPr>
            <w:tcW w:w="480" w:type="dxa"/>
            <w:vAlign w:val="bottom"/>
            <w:vMerge w:val="restart"/>
          </w:tcPr>
          <w:p>
            <w:pPr>
              <w:ind w:left="240"/>
              <w:spacing w:after="0"/>
              <w:rPr>
                <w:sz w:val="20"/>
                <w:szCs w:val="20"/>
                <w:color w:val="auto"/>
              </w:rPr>
            </w:pPr>
            <w:r>
              <w:rPr>
                <w:rFonts w:ascii="Arial" w:cs="Arial" w:eastAsia="Arial" w:hAnsi="Arial"/>
                <w:sz w:val="29"/>
                <w:szCs w:val="29"/>
                <w:b w:val="1"/>
                <w:bCs w:val="1"/>
                <w:color w:val="auto"/>
              </w:rPr>
              <w:t>​​</w:t>
            </w:r>
          </w:p>
        </w:tc>
        <w:tc>
          <w:tcPr>
            <w:tcW w:w="2520" w:type="dxa"/>
            <w:vAlign w:val="bottom"/>
          </w:tcPr>
          <w:p>
            <w:pPr>
              <w:jc w:val="center"/>
              <w:spacing w:after="0"/>
              <w:rPr>
                <w:sz w:val="20"/>
                <w:szCs w:val="20"/>
                <w:color w:val="auto"/>
              </w:rPr>
            </w:pPr>
            <w:r>
              <w:rPr>
                <w:rFonts w:ascii="Arial" w:cs="Arial" w:eastAsia="Arial" w:hAnsi="Arial"/>
                <w:sz w:val="18"/>
                <w:szCs w:val="18"/>
                <w:i w:val="1"/>
                <w:iCs w:val="1"/>
                <w:color w:val="auto"/>
                <w:w w:val="99"/>
              </w:rPr>
              <w:t>Joint Book-Running Managers</w:t>
            </w:r>
          </w:p>
        </w:tc>
        <w:tc>
          <w:tcPr>
            <w:tcW w:w="280" w:type="dxa"/>
            <w:vAlign w:val="bottom"/>
            <w:vMerge w:val="restart"/>
          </w:tcPr>
          <w:p>
            <w:pPr>
              <w:ind w:left="40"/>
              <w:spacing w:after="0"/>
              <w:rPr>
                <w:sz w:val="20"/>
                <w:szCs w:val="20"/>
                <w:color w:val="auto"/>
              </w:rPr>
            </w:pPr>
            <w:r>
              <w:rPr>
                <w:rFonts w:ascii="Arial" w:cs="Arial" w:eastAsia="Arial" w:hAnsi="Arial"/>
                <w:sz w:val="29"/>
                <w:szCs w:val="29"/>
                <w:b w:val="1"/>
                <w:bCs w:val="1"/>
                <w:color w:val="auto"/>
              </w:rPr>
              <w:t>​​</w:t>
            </w:r>
          </w:p>
        </w:tc>
        <w:tc>
          <w:tcPr>
            <w:tcW w:w="256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266"/>
        </w:trPr>
        <w:tc>
          <w:tcPr>
            <w:tcW w:w="23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2520" w:type="dxa"/>
            <w:vAlign w:val="bottom"/>
            <w:vMerge w:val="restart"/>
          </w:tcPr>
          <w:p>
            <w:pPr>
              <w:jc w:val="center"/>
              <w:spacing w:after="0"/>
              <w:rPr>
                <w:sz w:val="20"/>
                <w:szCs w:val="20"/>
                <w:color w:val="auto"/>
              </w:rPr>
            </w:pPr>
            <w:r>
              <w:rPr>
                <w:rFonts w:ascii="Arial" w:cs="Arial" w:eastAsia="Arial" w:hAnsi="Arial"/>
                <w:sz w:val="29"/>
                <w:szCs w:val="29"/>
                <w:b w:val="1"/>
                <w:bCs w:val="1"/>
                <w:color w:val="auto"/>
              </w:rPr>
              <w:t>Piper Sandler</w:t>
            </w:r>
          </w:p>
        </w:tc>
        <w:tc>
          <w:tcPr>
            <w:tcW w:w="280" w:type="dxa"/>
            <w:vAlign w:val="bottom"/>
            <w:vMerge w:val="continue"/>
          </w:tcPr>
          <w:p>
            <w:pPr>
              <w:spacing w:after="0"/>
              <w:rPr>
                <w:sz w:val="23"/>
                <w:szCs w:val="23"/>
                <w:color w:val="auto"/>
              </w:rPr>
            </w:pPr>
          </w:p>
        </w:tc>
        <w:tc>
          <w:tcPr>
            <w:tcW w:w="256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Truist Securities</w:t>
            </w:r>
          </w:p>
        </w:tc>
        <w:tc>
          <w:tcPr>
            <w:tcW w:w="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236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4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360" w:type="dxa"/>
            <w:vAlign w:val="bottom"/>
            <w:vMerge w:val="restart"/>
          </w:tcPr>
          <w:p>
            <w:pPr>
              <w:spacing w:after="0"/>
              <w:rPr>
                <w:sz w:val="20"/>
                <w:szCs w:val="20"/>
                <w:color w:val="auto"/>
              </w:rPr>
            </w:pPr>
            <w:r>
              <w:rPr>
                <w:rFonts w:ascii="Arial" w:cs="Arial" w:eastAsia="Arial" w:hAnsi="Arial"/>
                <w:sz w:val="22"/>
                <w:szCs w:val="22"/>
                <w:b w:val="1"/>
                <w:bCs w:val="1"/>
                <w:color w:val="auto"/>
              </w:rPr>
              <w:t>​</w:t>
            </w:r>
          </w:p>
        </w:tc>
        <w:tc>
          <w:tcPr>
            <w:tcW w:w="480" w:type="dxa"/>
            <w:vAlign w:val="bottom"/>
            <w:vMerge w:val="restart"/>
          </w:tcPr>
          <w:p>
            <w:pPr>
              <w:ind w:left="240"/>
              <w:spacing w:after="0"/>
              <w:rPr>
                <w:sz w:val="20"/>
                <w:szCs w:val="20"/>
                <w:color w:val="auto"/>
              </w:rPr>
            </w:pPr>
            <w:r>
              <w:rPr>
                <w:rFonts w:ascii="Arial" w:cs="Arial" w:eastAsia="Arial" w:hAnsi="Arial"/>
                <w:sz w:val="22"/>
                <w:szCs w:val="22"/>
                <w:b w:val="1"/>
                <w:bCs w:val="1"/>
                <w:color w:val="auto"/>
              </w:rPr>
              <w:t>​ ​</w:t>
            </w:r>
          </w:p>
        </w:tc>
        <w:tc>
          <w:tcPr>
            <w:tcW w:w="2520" w:type="dxa"/>
            <w:vAlign w:val="bottom"/>
          </w:tcPr>
          <w:p>
            <w:pPr>
              <w:jc w:val="center"/>
              <w:spacing w:after="0"/>
              <w:rPr>
                <w:sz w:val="20"/>
                <w:szCs w:val="20"/>
                <w:color w:val="auto"/>
              </w:rPr>
            </w:pPr>
            <w:r>
              <w:rPr>
                <w:rFonts w:ascii="Arial" w:cs="Arial" w:eastAsia="Arial" w:hAnsi="Arial"/>
                <w:sz w:val="18"/>
                <w:szCs w:val="18"/>
                <w:i w:val="1"/>
                <w:iCs w:val="1"/>
                <w:color w:val="auto"/>
                <w:w w:val="99"/>
              </w:rPr>
              <w:t>Co-Managers</w:t>
            </w:r>
          </w:p>
        </w:tc>
        <w:tc>
          <w:tcPr>
            <w:tcW w:w="28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 ​</w:t>
            </w:r>
          </w:p>
        </w:tc>
        <w:tc>
          <w:tcPr>
            <w:tcW w:w="2560" w:type="dxa"/>
            <w:vAlign w:val="bottom"/>
          </w:tcPr>
          <w:p>
            <w:pPr>
              <w:spacing w:after="0"/>
              <w:rPr>
                <w:sz w:val="24"/>
                <w:szCs w:val="24"/>
                <w:color w:val="auto"/>
              </w:rPr>
            </w:pPr>
          </w:p>
        </w:tc>
        <w:tc>
          <w:tcPr>
            <w:tcW w:w="80" w:type="dxa"/>
            <w:vAlign w:val="bottom"/>
            <w:vMerge w:val="restart"/>
          </w:tcPr>
          <w:p>
            <w:pPr>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12"/>
        </w:trPr>
        <w:tc>
          <w:tcPr>
            <w:tcW w:w="2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520" w:type="dxa"/>
            <w:vAlign w:val="bottom"/>
            <w:vMerge w:val="restart"/>
          </w:tcPr>
          <w:p>
            <w:pPr>
              <w:jc w:val="center"/>
              <w:spacing w:after="0"/>
              <w:rPr>
                <w:sz w:val="20"/>
                <w:szCs w:val="20"/>
                <w:color w:val="auto"/>
              </w:rPr>
            </w:pPr>
            <w:r>
              <w:rPr>
                <w:rFonts w:ascii="Arial" w:cs="Arial" w:eastAsia="Arial" w:hAnsi="Arial"/>
                <w:sz w:val="22"/>
                <w:szCs w:val="22"/>
                <w:b w:val="1"/>
                <w:bCs w:val="1"/>
                <w:color w:val="auto"/>
              </w:rPr>
              <w:t>BTIG</w:t>
            </w:r>
          </w:p>
        </w:tc>
        <w:tc>
          <w:tcPr>
            <w:tcW w:w="280" w:type="dxa"/>
            <w:vAlign w:val="bottom"/>
            <w:vMerge w:val="continue"/>
          </w:tcPr>
          <w:p>
            <w:pPr>
              <w:spacing w:after="0"/>
              <w:rPr>
                <w:sz w:val="18"/>
                <w:szCs w:val="18"/>
                <w:color w:val="auto"/>
              </w:rPr>
            </w:pPr>
          </w:p>
        </w:tc>
        <w:tc>
          <w:tcPr>
            <w:tcW w:w="25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H.C. Wainwright &amp; Co.</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0"/>
                <w:szCs w:val="20"/>
                <w:color w:val="auto"/>
              </w:rPr>
            </w:pPr>
            <w:r>
              <w:rPr>
                <w:rFonts w:ascii="Arial" w:cs="Arial" w:eastAsia="Arial" w:hAnsi="Arial"/>
                <w:sz w:val="22"/>
                <w:szCs w:val="22"/>
                <w:b w:val="1"/>
                <w:bCs w:val="1"/>
                <w:color w:val="auto"/>
              </w:rPr>
              <w:t>Wedbush PacGrow</w:t>
            </w:r>
          </w:p>
        </w:tc>
        <w:tc>
          <w:tcPr>
            <w:tcW w:w="4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480"/>
        <w:spacing w:after="0"/>
        <w:rPr>
          <w:sz w:val="20"/>
          <w:szCs w:val="20"/>
          <w:color w:val="auto"/>
        </w:rPr>
      </w:pPr>
      <w:r>
        <w:rPr>
          <w:rFonts w:ascii="Arial" w:cs="Arial" w:eastAsia="Arial" w:hAnsi="Arial"/>
          <w:sz w:val="17"/>
          <w:szCs w:val="17"/>
          <w:color w:val="auto"/>
        </w:rPr>
        <w:t>Prospectus Supplement dated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2571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7"/>
          <w:szCs w:val="17"/>
          <w:b w:val="1"/>
          <w:bCs w:val="1"/>
          <w:color w:val="auto"/>
        </w:rPr>
        <w:t>​</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About</w:t>
      </w:r>
      <w:r>
        <w:rPr>
          <w:rFonts w:ascii="Arial" w:cs="Arial" w:eastAsia="Arial" w:hAnsi="Arial"/>
          <w:sz w:val="17"/>
          <w:szCs w:val="17"/>
          <w:color w:val="000000"/>
        </w:rPr>
        <w:t>​</w:t>
      </w:r>
      <w:r>
        <w:rPr>
          <w:rFonts w:ascii="Arial" w:cs="Arial" w:eastAsia="Arial" w:hAnsi="Arial"/>
          <w:sz w:val="17"/>
          <w:szCs w:val="17"/>
          <w:color w:val="0000EE"/>
        </w:rPr>
        <w:t xml:space="preserve"> This Prospectus Supplement</w:t>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Cautionary</w:t>
      </w:r>
      <w:r>
        <w:rPr>
          <w:rFonts w:ascii="Arial" w:cs="Arial" w:eastAsia="Arial" w:hAnsi="Arial"/>
          <w:sz w:val="17"/>
          <w:szCs w:val="17"/>
          <w:color w:val="000000"/>
        </w:rPr>
        <w:t>​</w:t>
      </w:r>
      <w:r>
        <w:rPr>
          <w:rFonts w:ascii="Arial" w:cs="Arial" w:eastAsia="Arial" w:hAnsi="Arial"/>
          <w:sz w:val="17"/>
          <w:szCs w:val="17"/>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2738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81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Prospectus</w:t>
      </w:r>
      <w:r>
        <w:rPr>
          <w:rFonts w:ascii="Arial" w:cs="Arial" w:eastAsia="Arial" w:hAnsi="Arial"/>
          <w:sz w:val="17"/>
          <w:szCs w:val="17"/>
          <w:color w:val="000000"/>
        </w:rPr>
        <w:t>​</w:t>
      </w:r>
      <w:r>
        <w:rPr>
          <w:rFonts w:ascii="Arial" w:cs="Arial" w:eastAsia="Arial" w:hAnsi="Arial"/>
          <w:sz w:val="17"/>
          <w:szCs w:val="17"/>
          <w:color w:val="0000EE"/>
        </w:rPr>
        <w:t xml:space="preserve"> Supplement Summary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The</w:t>
      </w:r>
      <w:r>
        <w:rPr>
          <w:rFonts w:ascii="Arial" w:cs="Arial" w:eastAsia="Arial" w:hAnsi="Arial"/>
          <w:sz w:val="17"/>
          <w:szCs w:val="17"/>
          <w:color w:val="000000"/>
        </w:rPr>
        <w:t>​</w:t>
      </w:r>
      <w:r>
        <w:rPr>
          <w:rFonts w:ascii="Arial" w:cs="Arial" w:eastAsia="Arial" w:hAnsi="Arial"/>
          <w:sz w:val="17"/>
          <w:szCs w:val="17"/>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600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7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Risk</w:t>
      </w:r>
      <w:r>
        <w:rPr>
          <w:rFonts w:ascii="Arial" w:cs="Arial" w:eastAsia="Arial" w:hAnsi="Arial"/>
          <w:sz w:val="17"/>
          <w:szCs w:val="17"/>
          <w:color w:val="000000"/>
        </w:rPr>
        <w:t>​</w:t>
      </w:r>
      <w:r>
        <w:rPr>
          <w:rFonts w:ascii="Arial" w:cs="Arial" w:eastAsia="Arial" w:hAnsi="Arial"/>
          <w:sz w:val="17"/>
          <w:szCs w:val="17"/>
          <w:color w:val="0000EE"/>
        </w:rPr>
        <w:t xml:space="preserve"> Factors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Use</w:t>
      </w:r>
      <w:r>
        <w:rPr>
          <w:rFonts w:ascii="Arial" w:cs="Arial" w:eastAsia="Arial" w:hAnsi="Arial"/>
          <w:sz w:val="17"/>
          <w:szCs w:val="17"/>
          <w:color w:val="000000"/>
        </w:rPr>
        <w:t>​</w:t>
      </w:r>
      <w:r>
        <w:rPr>
          <w:rFonts w:ascii="Arial" w:cs="Arial" w:eastAsia="Arial" w:hAnsi="Arial"/>
          <w:sz w:val="17"/>
          <w:szCs w:val="17"/>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8020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Dividend</w:t>
      </w:r>
      <w:r>
        <w:rPr>
          <w:rFonts w:ascii="Arial" w:cs="Arial" w:eastAsia="Arial" w:hAnsi="Arial"/>
          <w:sz w:val="17"/>
          <w:szCs w:val="17"/>
          <w:color w:val="000000"/>
        </w:rPr>
        <w:t>​</w:t>
      </w:r>
      <w:r>
        <w:rPr>
          <w:rFonts w:ascii="Arial" w:cs="Arial" w:eastAsia="Arial" w:hAnsi="Arial"/>
          <w:sz w:val="17"/>
          <w:szCs w:val="17"/>
          <w:color w:val="0000EE"/>
        </w:rPr>
        <w:t xml:space="preserve"> Policy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Dilution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Material</w:t>
      </w:r>
      <w:r>
        <w:rPr>
          <w:rFonts w:ascii="Arial" w:cs="Arial" w:eastAsia="Arial" w:hAnsi="Arial"/>
          <w:sz w:val="17"/>
          <w:szCs w:val="17"/>
          <w:color w:val="000000"/>
        </w:rPr>
        <w:t>​</w:t>
      </w:r>
      <w:r>
        <w:rPr>
          <w:rFonts w:ascii="Arial" w:cs="Arial" w:eastAsia="Arial" w:hAnsi="Arial"/>
          <w:sz w:val="17"/>
          <w:szCs w:val="17"/>
          <w:color w:val="0000EE"/>
        </w:rPr>
        <w:t xml:space="preserve"> Tax Considerations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Underwriting</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Legal</w:t>
      </w:r>
      <w:r>
        <w:rPr>
          <w:rFonts w:ascii="Arial" w:cs="Arial" w:eastAsia="Arial" w:hAnsi="Arial"/>
          <w:sz w:val="17"/>
          <w:szCs w:val="17"/>
          <w:color w:val="000000"/>
        </w:rPr>
        <w:t>​</w:t>
      </w:r>
      <w:r>
        <w:rPr>
          <w:rFonts w:ascii="Arial" w:cs="Arial" w:eastAsia="Arial" w:hAnsi="Arial"/>
          <w:sz w:val="17"/>
          <w:szCs w:val="17"/>
          <w:color w:val="0000EE"/>
        </w:rPr>
        <w:t xml:space="preserve"> Matters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Experts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About</w:t>
      </w:r>
      <w:r>
        <w:rPr>
          <w:rFonts w:ascii="Arial" w:cs="Arial" w:eastAsia="Arial" w:hAnsi="Arial"/>
          <w:sz w:val="17"/>
          <w:szCs w:val="17"/>
          <w:color w:val="000000"/>
        </w:rPr>
        <w:t>​</w:t>
      </w:r>
      <w:r>
        <w:rPr>
          <w:rFonts w:ascii="Arial" w:cs="Arial" w:eastAsia="Arial" w:hAnsi="Arial"/>
          <w:sz w:val="17"/>
          <w:szCs w:val="17"/>
          <w:color w:val="0000EE"/>
        </w:rPr>
        <w:t xml:space="preserve"> This Prospectus</w:t>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3222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226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The</w:t>
      </w:r>
      <w:r>
        <w:rPr>
          <w:rFonts w:ascii="Arial" w:cs="Arial" w:eastAsia="Arial" w:hAnsi="Arial"/>
          <w:sz w:val="17"/>
          <w:szCs w:val="17"/>
          <w:color w:val="000000"/>
        </w:rPr>
        <w:t>​</w:t>
      </w:r>
      <w:r>
        <w:rPr>
          <w:rFonts w:ascii="Arial" w:cs="Arial" w:eastAsia="Arial" w:hAnsi="Arial"/>
          <w:sz w:val="17"/>
          <w:szCs w:val="17"/>
          <w:color w:val="0000EE"/>
        </w:rPr>
        <w:t xml:space="preserve"> Company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Risk</w:t>
      </w:r>
      <w:r>
        <w:rPr>
          <w:rFonts w:ascii="Arial" w:cs="Arial" w:eastAsia="Arial" w:hAnsi="Arial"/>
          <w:sz w:val="17"/>
          <w:szCs w:val="17"/>
          <w:color w:val="000000"/>
        </w:rPr>
        <w:t>​</w:t>
      </w:r>
      <w:r>
        <w:rPr>
          <w:rFonts w:ascii="Arial" w:cs="Arial" w:eastAsia="Arial" w:hAnsi="Arial"/>
          <w:sz w:val="17"/>
          <w:szCs w:val="17"/>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602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2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Use</w:t>
      </w:r>
      <w:r>
        <w:rPr>
          <w:rFonts w:ascii="Arial" w:cs="Arial" w:eastAsia="Arial" w:hAnsi="Arial"/>
          <w:sz w:val="17"/>
          <w:szCs w:val="17"/>
          <w:color w:val="000000"/>
        </w:rPr>
        <w:t>​</w:t>
      </w:r>
      <w:r>
        <w:rPr>
          <w:rFonts w:ascii="Arial" w:cs="Arial" w:eastAsia="Arial" w:hAnsi="Arial"/>
          <w:sz w:val="17"/>
          <w:szCs w:val="17"/>
          <w:color w:val="0000EE"/>
        </w:rPr>
        <w:t xml:space="preserve"> of Proceeds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Share Capital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2653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American Depositary Shares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1428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87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Warrants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Global</w:t>
      </w:r>
      <w:r>
        <w:rPr>
          <w:rFonts w:ascii="Arial" w:cs="Arial" w:eastAsia="Arial" w:hAnsi="Arial"/>
          <w:sz w:val="17"/>
          <w:szCs w:val="17"/>
          <w:color w:val="000000"/>
        </w:rPr>
        <w:t>​</w:t>
      </w:r>
      <w:r>
        <w:rPr>
          <w:rFonts w:ascii="Arial" w:cs="Arial" w:eastAsia="Arial" w:hAnsi="Arial"/>
          <w:sz w:val="17"/>
          <w:szCs w:val="17"/>
          <w:color w:val="0000EE"/>
        </w:rPr>
        <w:t xml:space="preser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8197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97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Plan</w:t>
      </w:r>
      <w:r>
        <w:rPr>
          <w:rFonts w:ascii="Arial" w:cs="Arial" w:eastAsia="Arial" w:hAnsi="Arial"/>
          <w:sz w:val="17"/>
          <w:szCs w:val="17"/>
          <w:color w:val="000000"/>
        </w:rPr>
        <w:t>​</w:t>
      </w:r>
      <w:r>
        <w:rPr>
          <w:rFonts w:ascii="Arial" w:cs="Arial" w:eastAsia="Arial" w:hAnsi="Arial"/>
          <w:sz w:val="17"/>
          <w:szCs w:val="17"/>
          <w:color w:val="0000EE"/>
        </w:rPr>
        <w:t xml:space="preserve"> of Distribution</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Legal</w:t>
      </w:r>
      <w:r>
        <w:rPr>
          <w:rFonts w:ascii="Arial" w:cs="Arial" w:eastAsia="Arial" w:hAnsi="Arial"/>
          <w:sz w:val="17"/>
          <w:szCs w:val="17"/>
          <w:color w:val="000000"/>
        </w:rPr>
        <w:t>​</w:t>
      </w:r>
      <w:r>
        <w:rPr>
          <w:rFonts w:ascii="Arial" w:cs="Arial" w:eastAsia="Arial" w:hAnsi="Arial"/>
          <w:sz w:val="17"/>
          <w:szCs w:val="17"/>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657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S-1</w:t>
      </w:r>
      <w:r>
        <w:rPr>
          <w:rFonts w:ascii="Arial" w:cs="Arial" w:eastAsia="Arial" w:hAnsi="Arial"/>
          <w:sz w:val="17"/>
          <w:szCs w:val="17"/>
          <w:b w:val="1"/>
          <w:bCs w:val="1"/>
          <w:color w:val="auto"/>
        </w:rPr>
        <w:t>​</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S-3</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S-4</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S-6</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S-8</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S-9</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S-10</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S-11</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S-12</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S-19</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S-27</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S-27</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S-28</w:t>
      </w:r>
      <w:r>
        <w:rPr>
          <w:rFonts w:ascii="Arial" w:cs="Arial" w:eastAsia="Arial" w:hAnsi="Arial"/>
          <w:sz w:val="17"/>
          <w:szCs w:val="17"/>
          <w:b w:val="1"/>
          <w:bCs w:val="1"/>
          <w:color w:val="auto"/>
        </w:rPr>
        <w:t>​</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184"/>
        </w:trPr>
        <w:tc>
          <w:tcPr>
            <w:tcW w:w="400" w:type="dxa"/>
            <w:vAlign w:val="bottom"/>
          </w:tcPr>
          <w:p>
            <w:pPr>
              <w:spacing w:after="0" w:line="178" w:lineRule="exact"/>
              <w:rPr>
                <w:sz w:val="20"/>
                <w:szCs w:val="20"/>
                <w:color w:val="auto"/>
              </w:rPr>
            </w:pPr>
            <w:r>
              <w:rPr>
                <w:rFonts w:ascii="Arial" w:cs="Arial" w:eastAsia="Arial" w:hAnsi="Arial"/>
                <w:sz w:val="17"/>
                <w:szCs w:val="17"/>
                <w:color w:val="auto"/>
              </w:rPr>
              <w:t>​ ​​</w:t>
            </w:r>
          </w:p>
        </w:tc>
        <w:tc>
          <w:tcPr>
            <w:tcW w:w="80" w:type="dxa"/>
            <w:vAlign w:val="bottom"/>
          </w:tcPr>
          <w:p>
            <w:pPr>
              <w:spacing w:after="0"/>
              <w:rPr>
                <w:sz w:val="16"/>
                <w:szCs w:val="16"/>
                <w:color w:val="auto"/>
              </w:rPr>
            </w:pPr>
          </w:p>
        </w:tc>
        <w:tc>
          <w:tcPr>
            <w:tcW w:w="120" w:type="dxa"/>
            <w:vAlign w:val="bottom"/>
            <w:tcBorders>
              <w:bottom w:val="single" w:sz="8" w:color="0000EE"/>
            </w:tcBorders>
            <w:gridSpan w:val="2"/>
          </w:tcPr>
          <w:p>
            <w:pPr>
              <w:jc w:val="right"/>
              <w:spacing w:after="0" w:line="164" w:lineRule="exact"/>
              <w:rPr>
                <w:sz w:val="20"/>
                <w:szCs w:val="20"/>
                <w:color w:val="auto"/>
              </w:rPr>
            </w:pPr>
            <w:r>
              <w:rPr>
                <w:rFonts w:ascii="Arial" w:cs="Arial" w:eastAsia="Arial" w:hAnsi="Arial"/>
                <w:sz w:val="17"/>
                <w:szCs w:val="17"/>
                <w:color w:val="0000EE"/>
                <w:w w:val="84"/>
              </w:rPr>
              <w:t>1</w:t>
            </w:r>
          </w:p>
        </w:tc>
        <w:tc>
          <w:tcPr>
            <w:tcW w:w="40" w:type="dxa"/>
            <w:vAlign w:val="bottom"/>
          </w:tcPr>
          <w:p>
            <w:pPr>
              <w:spacing w:after="0" w:line="178" w:lineRule="exact"/>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7</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23</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33</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40</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42</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46</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48</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bl>
    <w:p>
      <w:pPr>
        <w:spacing w:after="0" w:line="48" w:lineRule="exact"/>
        <w:rPr>
          <w:sz w:val="20"/>
          <w:szCs w:val="20"/>
          <w:color w:val="auto"/>
        </w:rPr>
      </w:pPr>
    </w:p>
    <w:p>
      <w:pPr>
        <w:sectPr>
          <w:pgSz w:w="11900" w:h="16838" w:orient="portrait"/>
          <w:cols w:equalWidth="0" w:num="2">
            <w:col w:w="8100" w:space="720"/>
            <w:col w:w="10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5"/>
        </w:trPr>
        <w:tc>
          <w:tcPr>
            <w:tcW w:w="58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7"/>
                <w:szCs w:val="17"/>
                <w:color w:val="0000EE"/>
                <w:w w:val="97"/>
              </w:rPr>
              <w:t>Experts</w:t>
            </w:r>
          </w:p>
        </w:tc>
        <w:tc>
          <w:tcPr>
            <w:tcW w:w="7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7"/>
                <w:szCs w:val="17"/>
                <w:color w:val="0000EE"/>
                <w:w w:val="84"/>
              </w:rPr>
              <w:t>48</w:t>
            </w:r>
          </w:p>
        </w:tc>
        <w:tc>
          <w:tcPr>
            <w:tcW w:w="60" w:type="dxa"/>
            <w:vAlign w:val="bottom"/>
          </w:tcPr>
          <w:p>
            <w:pPr>
              <w:spacing w:after="0"/>
              <w:rPr>
                <w:sz w:val="16"/>
                <w:szCs w:val="16"/>
                <w:color w:val="auto"/>
              </w:rPr>
            </w:pPr>
          </w:p>
        </w:tc>
      </w:tr>
      <w:tr>
        <w:trPr>
          <w:trHeight w:val="223"/>
        </w:trPr>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ABOUT THIS PROSPECTUS SUPPLEMENT</w:t>
      </w:r>
    </w:p>
    <w:p>
      <w:pPr>
        <w:spacing w:after="0" w:line="343" w:lineRule="exact"/>
        <w:rPr>
          <w:sz w:val="20"/>
          <w:szCs w:val="20"/>
          <w:color w:val="auto"/>
        </w:rPr>
      </w:pPr>
    </w:p>
    <w:p>
      <w:pPr>
        <w:ind w:left="1260" w:right="439"/>
        <w:spacing w:after="0" w:line="255" w:lineRule="auto"/>
        <w:rPr>
          <w:sz w:val="20"/>
          <w:szCs w:val="20"/>
          <w:color w:val="auto"/>
        </w:rPr>
      </w:pPr>
      <w:r>
        <w:rPr>
          <w:rFonts w:ascii="Arial" w:cs="Arial" w:eastAsia="Arial" w:hAnsi="Arial"/>
          <w:sz w:val="17"/>
          <w:szCs w:val="17"/>
          <w:color w:val="auto"/>
        </w:rPr>
        <w:t xml:space="preserve">This document is in two parts. The first part is this prospectus supplement, which describes the terms of the offering of the securities offered hereby and also adds to and updates the information contained in the accompanying prospectus and the documents incorporated by reference into this prospectus supplement and the accompanying prospectus. The second part is the accompanying prospectus, including the documents incorporated by reference, which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Incorporation by Reference” on page </w:t>
      </w:r>
      <w:r>
        <w:rPr>
          <w:rFonts w:ascii="Arial" w:cs="Arial" w:eastAsia="Arial" w:hAnsi="Arial"/>
          <w:sz w:val="17"/>
          <w:szCs w:val="17"/>
          <w:u w:val="single" w:color="auto"/>
          <w:color w:val="0000EE"/>
        </w:rPr>
        <w:t>S-28</w:t>
      </w:r>
      <w:r>
        <w:rPr>
          <w:rFonts w:ascii="Arial" w:cs="Arial" w:eastAsia="Arial" w:hAnsi="Arial"/>
          <w:sz w:val="17"/>
          <w:szCs w:val="17"/>
          <w:color w:val="auto"/>
        </w:rPr>
        <w:t xml:space="preserve"> of this prospectus supplement. These documents contain information you should consider when making your investment decision. This prospectus supplement may add, update or change information contained in the accompanying prospectus. To the extent that there is any conflict between the information contained in this prospectus supplement, on the one hand, and the information contained in the accompanying prospectus or any document incorporated by reference herein or therein, on the other hand, you should rely on the information in this prospectus supplement or any free writing prospectus.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23" w:lineRule="exact"/>
        <w:rPr>
          <w:sz w:val="20"/>
          <w:szCs w:val="20"/>
          <w:color w:val="auto"/>
        </w:rPr>
      </w:pPr>
    </w:p>
    <w:p>
      <w:pPr>
        <w:ind w:left="1260" w:right="559"/>
        <w:spacing w:after="0" w:line="259"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utilizing a “shelf” registration process. Under this shelf registration process, we may offer from time to time various securities, including the ADSs that we are offering under this prospectus supplement and the accompanying prospectus.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113"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color w:val="auto"/>
        </w:rPr>
        <w:t xml:space="preserve">You should rely only on the information contained in this prospectus supplement, the accompanying prospectus or incorporated herein or therein by reference and in any free writing prospectus that we have authorized for use in connection with this offering. We have not, and the underwriters have not, authorized anyone to provide you with information that is different. We and the underwriters are offering to sell, and seeking offers to buy, the securities offered hereby only in jurisdictions where offers and sales are permitted. The information contained, or incorporated by reference, in this prospectus supplement and the accompanying prospectus is accurate only as of the respective dates thereof, regardless of the time of delivery of those respective documents, or of any sale of our ADSs. It is important for you to read and consider all information contained in this prospectus supplement and the accompanying prospectus, including the documents we have referred you to in the section titled “Where You Can Find More Information; Incorporation by Reference” on page </w:t>
      </w:r>
      <w:r>
        <w:rPr>
          <w:rFonts w:ascii="Arial" w:cs="Arial" w:eastAsia="Arial" w:hAnsi="Arial"/>
          <w:sz w:val="17"/>
          <w:szCs w:val="17"/>
          <w:u w:val="single" w:color="auto"/>
          <w:color w:val="0000EE"/>
        </w:rPr>
        <w:t>S-28.</w:t>
      </w:r>
    </w:p>
    <w:p>
      <w:pPr>
        <w:spacing w:after="0" w:line="114"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The industry and market data contained in or incorporated by reference into this prospectus supplement are based on independent industry publications, reports by market research firms or other published independent sources. In addition, the market and industry data and forecasts included or incorporated by reference in this prospectus supplement may involve estimates, assumptions and other risks and uncertainties and are subject to change based on various factors, including those discussed under the heading “Risk Factors” contained in this prospectus supplement, the accompanying prospectus and any applicable free writing prospectus, and under similar headings in other documents that are incorporated by reference into this prospectus supplement. Accordingly, investors should not place undue reliance on this information.</w:t>
      </w:r>
    </w:p>
    <w:p>
      <w:pPr>
        <w:spacing w:after="0" w:line="113" w:lineRule="exact"/>
        <w:rPr>
          <w:sz w:val="20"/>
          <w:szCs w:val="20"/>
          <w:color w:val="auto"/>
        </w:rPr>
      </w:pPr>
    </w:p>
    <w:p>
      <w:pPr>
        <w:ind w:left="1260" w:right="559"/>
        <w:spacing w:after="0" w:line="266" w:lineRule="auto"/>
        <w:rPr>
          <w:sz w:val="20"/>
          <w:szCs w:val="20"/>
          <w:color w:val="auto"/>
        </w:rPr>
      </w:pPr>
      <w:r>
        <w:rPr>
          <w:rFonts w:ascii="Arial" w:cs="Arial" w:eastAsia="Arial" w:hAnsi="Arial"/>
          <w:sz w:val="17"/>
          <w:szCs w:val="17"/>
          <w:color w:val="auto"/>
        </w:rPr>
        <w:t>When we refer to “Verona,” “we,” “our,” “us” and the “Company” in this prospectus supplement, we mean Verona Pharma plc and its consolidated subsidiary, unless otherwise specified. When we refer to “you,” we mean the potential holders of the applicable series of securities.</w:t>
      </w:r>
    </w:p>
    <w:p>
      <w:pPr>
        <w:spacing w:after="0" w:line="120" w:lineRule="exact"/>
        <w:rPr>
          <w:sz w:val="20"/>
          <w:szCs w:val="20"/>
          <w:color w:val="auto"/>
        </w:rPr>
      </w:pPr>
    </w:p>
    <w:p>
      <w:pPr>
        <w:ind w:left="1260" w:right="439"/>
        <w:spacing w:after="0" w:line="249" w:lineRule="auto"/>
        <w:rPr>
          <w:sz w:val="20"/>
          <w:szCs w:val="20"/>
          <w:color w:val="auto"/>
        </w:rPr>
      </w:pPr>
      <w:r>
        <w:rPr>
          <w:rFonts w:ascii="Arial" w:cs="Arial" w:eastAsia="Arial" w:hAnsi="Arial"/>
          <w:sz w:val="17"/>
          <w:szCs w:val="17"/>
          <w:color w:val="auto"/>
        </w:rPr>
        <w:t xml:space="preserve">Solely for convenience, any trademarks, service marks, logos and trade names referred to in this prospectus supplement, the accompanying base prospectus and the documents incorporated by reference herein or therein, are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 symbols, but such references are not intended to indicate, in any way, that we will not assert, to the fullest extent under applicable law, our rights. This prospectus supplement, the accompanying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71" w:lineRule="auto"/>
        <w:rPr>
          <w:sz w:val="20"/>
          <w:szCs w:val="20"/>
          <w:color w:val="auto"/>
        </w:rPr>
      </w:pPr>
      <w:r>
        <w:rPr>
          <w:rFonts w:ascii="Arial" w:cs="Arial" w:eastAsia="Arial" w:hAnsi="Arial"/>
          <w:sz w:val="17"/>
          <w:szCs w:val="17"/>
          <w:color w:val="auto"/>
        </w:rPr>
        <w:t>prospectus and the documents incorporated by reference herein and therein, may contain additional trademarks, service marks and trade names of others, which are the property of their respective owners. All trademarks, service marks and trade names appearing in this prospectus supplement, the accompanying prospectus and the documents incorporated by reference herein and therein,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57"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prospectus and the documents incorporated by reference herein and therein and any free writing prospectus, including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potential regulatory approvals and commercialization,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our credit facility and from cash receipts from U.K. tax credits, the sufficiency of our cash and cash equivalents to fund operations, and our intended use of proceeds from this offering are forward-looking statements. We intend the forward-looking statements contained in this prospectus supplement to be covered by the safe harbor provisions for forward-looking statements contained in Section 27A of the Securities Act of 1933, as amended, or the Securities Act, and Section 21E of the Securities Exchange Act of 1934, as amended, or the Exchange Act.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1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and therein and any free writing prospectus are only predictions. We have based these forward-looking statements largely on our expectations and projections about future events and financial trends that we believe may affect our business, financial condition and results of operations. These forward-looking statements speak only as of the date of this prospectus supplement, the accompanying prospectus and the documents incorporated by reference herein and therein and any free writing prospectus, as applicable, and are subject to a number of risks, uncertainties and assumptions, including those described under “Risk Factors” in this prospectus supplement and in documents incorporated by reference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prospectus and the documents incorporated by reference herein and therein and any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PROSPECTUS SUPPLEMENT SUMMARY</w:t>
      </w:r>
    </w:p>
    <w:p>
      <w:pPr>
        <w:spacing w:after="0" w:line="345" w:lineRule="exact"/>
        <w:rPr>
          <w:sz w:val="20"/>
          <w:szCs w:val="20"/>
          <w:color w:val="auto"/>
        </w:rPr>
      </w:pPr>
    </w:p>
    <w:p>
      <w:pPr>
        <w:ind w:left="1280" w:right="399"/>
        <w:spacing w:after="0" w:line="269" w:lineRule="auto"/>
        <w:rPr>
          <w:sz w:val="20"/>
          <w:szCs w:val="20"/>
          <w:color w:val="auto"/>
        </w:rPr>
      </w:pPr>
      <w:r>
        <w:rPr>
          <w:rFonts w:ascii="Arial" w:cs="Arial" w:eastAsia="Arial" w:hAnsi="Arial"/>
          <w:sz w:val="17"/>
          <w:szCs w:val="17"/>
          <w:i w:val="1"/>
          <w:iCs w:val="1"/>
          <w:color w:val="auto"/>
        </w:rPr>
        <w:t xml:space="preserve">This summary highlights selected information about us, this offering and information appearing elsewhere in this prospectus supplement, the accompanying prospectus and the documents incorporated by reference herein and therein and any free writing prospectus that we have authorized for use in connection with this offering. This summary is not complete and does not contain all of the information you should consider before investing in our securities. Before making an investment decision, to fully understand this offering and its consequences to you, you should carefully read this entire prospectus supplement and the accompanying prospectus, including the information set forth under “Risk Factors” beginning on page </w:t>
      </w:r>
      <w:r>
        <w:rPr>
          <w:rFonts w:ascii="Arial" w:cs="Arial" w:eastAsia="Arial" w:hAnsi="Arial"/>
          <w:sz w:val="17"/>
          <w:szCs w:val="17"/>
          <w:i w:val="1"/>
          <w:iCs w:val="1"/>
          <w:u w:val="single" w:color="auto"/>
          <w:color w:val="0000EE"/>
        </w:rPr>
        <w:t>S-8</w:t>
      </w:r>
      <w:r>
        <w:rPr>
          <w:rFonts w:ascii="Arial" w:cs="Arial" w:eastAsia="Arial" w:hAnsi="Arial"/>
          <w:sz w:val="17"/>
          <w:szCs w:val="17"/>
          <w:i w:val="1"/>
          <w:iCs w:val="1"/>
          <w:color w:val="auto"/>
        </w:rPr>
        <w:t xml:space="preserve"> of this prospectus supplement and the financial statements and related notes and the other information that we incorporate by reference into this prospectus supplement.</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Our Company</w:t>
      </w:r>
    </w:p>
    <w:p>
      <w:pPr>
        <w:spacing w:after="0" w:line="61" w:lineRule="exact"/>
        <w:rPr>
          <w:sz w:val="20"/>
          <w:szCs w:val="20"/>
          <w:color w:val="auto"/>
        </w:rPr>
      </w:pPr>
    </w:p>
    <w:p>
      <w:pPr>
        <w:ind w:left="1280" w:right="419"/>
        <w:spacing w:after="0" w:line="270" w:lineRule="auto"/>
        <w:rPr>
          <w:sz w:val="20"/>
          <w:szCs w:val="20"/>
          <w:color w:val="auto"/>
        </w:rPr>
      </w:pPr>
      <w:r>
        <w:rPr>
          <w:rFonts w:ascii="Arial" w:cs="Arial" w:eastAsia="Arial" w:hAnsi="Arial"/>
          <w:sz w:val="17"/>
          <w:szCs w:val="17"/>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which is designed to act as both a bronchodilator and an anti-inflammatory agent. In the third quarter of 2020, we commenced our Phase 3 ENHANCE (Ensifentrine as a Novel inHAled Nebulized COPD thErapy) trials and, if approved, we intend to commercialize ensifentrine for the maintenance treatment of chronic obstructive pulmonary disease, or COPD, for the nebulized formulation in the United States.</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61" w:lineRule="exact"/>
        <w:rPr>
          <w:sz w:val="20"/>
          <w:szCs w:val="20"/>
          <w:color w:val="auto"/>
        </w:rPr>
      </w:pPr>
    </w:p>
    <w:p>
      <w:pPr>
        <w:ind w:left="1280" w:right="539"/>
        <w:spacing w:after="0" w:line="301" w:lineRule="auto"/>
        <w:rPr>
          <w:sz w:val="20"/>
          <w:szCs w:val="20"/>
          <w:color w:val="auto"/>
        </w:rPr>
      </w:pPr>
      <w:r>
        <w:rPr>
          <w:rFonts w:ascii="Arial" w:cs="Arial" w:eastAsia="Arial" w:hAnsi="Arial"/>
          <w:sz w:val="17"/>
          <w:szCs w:val="17"/>
          <w:color w:val="auto"/>
        </w:rPr>
        <w:t>On August 9, 2022, we announced the following top-line results from the Phase 3 ENHANCE-2 clinical trial evaluating nebulized ensifentrine for the maintenance treatment of COPD:</w:t>
      </w:r>
    </w:p>
    <w:p>
      <w:pPr>
        <w:spacing w:after="0" w:line="23" w:lineRule="exact"/>
        <w:rPr>
          <w:sz w:val="20"/>
          <w:szCs w:val="20"/>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Study population (n=789)</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2220" w:right="899" w:hanging="222"/>
        <w:spacing w:after="0" w:line="301"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Subject demographics and disease characteristics were well balanced between treatment groups.</w:t>
      </w:r>
    </w:p>
    <w:p>
      <w:pPr>
        <w:spacing w:after="0" w:line="9" w:lineRule="exact"/>
        <w:rPr>
          <w:rFonts w:ascii="Arial" w:cs="Arial" w:eastAsia="Arial" w:hAnsi="Arial"/>
          <w:sz w:val="17"/>
          <w:szCs w:val="17"/>
          <w:color w:val="auto"/>
        </w:rPr>
      </w:pPr>
    </w:p>
    <w:p>
      <w:pPr>
        <w:ind w:left="2220" w:right="459" w:hanging="222"/>
        <w:spacing w:after="0" w:line="268"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Approximately 52% of subjects received background COPD therapy, either a long-acting muscarinic antagonist, or LAMA, or a long-acting beta-agonist, or LABA. Additionally, 15% of all subjects received inhaled corticosteroids, or ICS, with concomitant LAMA or LABA.</w:t>
      </w:r>
    </w:p>
    <w:p>
      <w:pPr>
        <w:spacing w:after="0" w:line="1" w:lineRule="exact"/>
        <w:rPr>
          <w:rFonts w:ascii="Arial" w:cs="Arial" w:eastAsia="Arial" w:hAnsi="Arial"/>
          <w:sz w:val="17"/>
          <w:szCs w:val="17"/>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Primary endpoint met (FEV</w:t>
      </w:r>
      <w:r>
        <w:rPr>
          <w:rFonts w:ascii="Arial" w:cs="Arial" w:eastAsia="Arial" w:hAnsi="Arial"/>
          <w:sz w:val="25"/>
          <w:szCs w:val="25"/>
          <w:b w:val="1"/>
          <w:bCs w:val="1"/>
          <w:color w:val="auto"/>
          <w:vertAlign w:val="subscript"/>
        </w:rPr>
        <w:t>1</w:t>
      </w:r>
      <w:r>
        <w:rPr>
          <w:rFonts w:ascii="Arial" w:cs="Arial" w:eastAsia="Arial" w:hAnsi="Arial"/>
          <w:sz w:val="17"/>
          <w:szCs w:val="17"/>
          <w:b w:val="1"/>
          <w:bCs w:val="1"/>
          <w:color w:val="auto"/>
        </w:rPr>
        <w:t>* AUC 0-12 hr)</w:t>
      </w:r>
      <w:r>
        <w:rPr>
          <w:rFonts w:ascii="Arial" w:cs="Arial" w:eastAsia="Arial" w:hAnsi="Arial"/>
          <w:sz w:val="17"/>
          <w:szCs w:val="17"/>
          <w:color w:val="auto"/>
        </w:rPr>
        <w:t>:</w:t>
      </w:r>
    </w:p>
    <w:p>
      <w:pPr>
        <w:spacing w:after="0" w:line="28" w:lineRule="exact"/>
        <w:rPr>
          <w:rFonts w:ascii="Arial" w:cs="Arial" w:eastAsia="Arial" w:hAnsi="Arial"/>
          <w:sz w:val="17"/>
          <w:szCs w:val="17"/>
          <w:color w:val="auto"/>
        </w:rPr>
      </w:pPr>
    </w:p>
    <w:p>
      <w:pPr>
        <w:ind w:left="2220" w:right="619" w:hanging="222"/>
        <w:spacing w:after="0" w:line="270"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average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area under the curve 0-12 hours post dose at week 12 was 94 mL (p&lt;0.0001) for ensifentrine.</w:t>
      </w:r>
    </w:p>
    <w:p>
      <w:pPr>
        <w:spacing w:after="0" w:line="23" w:lineRule="exact"/>
        <w:rPr>
          <w:rFonts w:ascii="Arial" w:cs="Arial" w:eastAsia="Arial" w:hAnsi="Arial"/>
          <w:sz w:val="17"/>
          <w:szCs w:val="17"/>
          <w:color w:val="auto"/>
        </w:rPr>
      </w:pPr>
    </w:p>
    <w:p>
      <w:pPr>
        <w:ind w:left="2220" w:right="599" w:hanging="222"/>
        <w:spacing w:after="0" w:line="242"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Statistically significant and clinically meaningful improvements with ensifentrine demonstrated across all subgroups including, gender, age, smoking status, COPD severity, background medication, ICS use, chronic bronchitis,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reversibility, and geographic region.</w:t>
      </w:r>
    </w:p>
    <w:p>
      <w:pPr>
        <w:spacing w:after="0" w:line="58" w:lineRule="exact"/>
        <w:rPr>
          <w:rFonts w:ascii="Arial" w:cs="Arial" w:eastAsia="Arial" w:hAnsi="Arial"/>
          <w:sz w:val="17"/>
          <w:szCs w:val="17"/>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Secondary endpoints of lung function met</w:t>
      </w:r>
      <w:r>
        <w:rPr>
          <w:rFonts w:ascii="Arial" w:cs="Arial" w:eastAsia="Arial" w:hAnsi="Arial"/>
          <w:sz w:val="17"/>
          <w:szCs w:val="17"/>
          <w:color w:val="auto"/>
        </w:rPr>
        <w:t>:</w:t>
      </w:r>
    </w:p>
    <w:p>
      <w:pPr>
        <w:spacing w:after="0" w:line="39" w:lineRule="exact"/>
        <w:rPr>
          <w:rFonts w:ascii="Arial" w:cs="Arial" w:eastAsia="Arial" w:hAnsi="Arial"/>
          <w:sz w:val="17"/>
          <w:szCs w:val="17"/>
          <w:color w:val="auto"/>
        </w:rPr>
      </w:pPr>
    </w:p>
    <w:p>
      <w:pPr>
        <w:ind w:left="2220" w:right="1079" w:hanging="222"/>
        <w:spacing w:after="0" w:line="249"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increase in peak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of 146 mL (p&lt;0.0001) 0-4 hours post dose at week 12.</w:t>
      </w:r>
    </w:p>
    <w:p>
      <w:pPr>
        <w:spacing w:after="0" w:line="1" w:lineRule="exact"/>
        <w:rPr>
          <w:rFonts w:ascii="Arial" w:cs="Arial" w:eastAsia="Arial" w:hAnsi="Arial"/>
          <w:sz w:val="17"/>
          <w:szCs w:val="17"/>
          <w:color w:val="auto"/>
        </w:rPr>
      </w:pPr>
    </w:p>
    <w:p>
      <w:pPr>
        <w:ind w:left="2220" w:right="1219" w:hanging="222"/>
        <w:spacing w:after="0" w:line="276"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increase in morning trough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of 49 mL (p=0.0017) at week 12, supporting twice daily dosing regimen.</w:t>
      </w:r>
    </w:p>
    <w:p>
      <w:pPr>
        <w:spacing w:after="0" w:line="29" w:lineRule="exact"/>
        <w:rPr>
          <w:rFonts w:ascii="Arial" w:cs="Arial" w:eastAsia="Arial" w:hAnsi="Arial"/>
          <w:sz w:val="17"/>
          <w:szCs w:val="17"/>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Exacerbation rate reduced</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2220" w:right="459" w:hanging="222"/>
        <w:spacing w:after="0" w:line="301"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Subjects receiving ensifentrine demonstrated a 42% reduction in the rate of moderate to severe COPD exacerbations over 24 weeks compared to those receiving placebo (p=0.0109).</w:t>
      </w:r>
    </w:p>
    <w:p>
      <w:pPr>
        <w:spacing w:after="0" w:line="9" w:lineRule="exact"/>
        <w:rPr>
          <w:rFonts w:ascii="Arial" w:cs="Arial" w:eastAsia="Arial" w:hAnsi="Arial"/>
          <w:sz w:val="17"/>
          <w:szCs w:val="17"/>
          <w:color w:val="auto"/>
        </w:rPr>
      </w:pPr>
    </w:p>
    <w:p>
      <w:pPr>
        <w:ind w:left="2220" w:right="539" w:hanging="222"/>
        <w:spacing w:after="0" w:line="301"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Treatment with ensifentrine significantly decreased the risk of a moderate/severe exacerbation as measured by time to first exacerbation when compared with placebo by 42% (p=0.0088).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60" w:hanging="222"/>
        <w:spacing w:after="0"/>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COPD symptoms and Quality of Life, or QOL</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2220" w:right="499" w:hanging="222"/>
        <w:spacing w:after="0" w:line="272" w:lineRule="auto"/>
        <w:tabs>
          <w:tab w:leader="none" w:pos="2220" w:val="left"/>
        </w:tabs>
        <w:numPr>
          <w:ilvl w:val="2"/>
          <w:numId w:val="3"/>
        </w:numPr>
        <w:rPr>
          <w:rFonts w:ascii="Arial" w:cs="Arial" w:eastAsia="Arial" w:hAnsi="Arial"/>
          <w:sz w:val="17"/>
          <w:szCs w:val="17"/>
          <w:color w:val="auto"/>
        </w:rPr>
      </w:pPr>
      <w:r>
        <w:rPr>
          <w:rFonts w:ascii="Arial" w:cs="Arial" w:eastAsia="Arial" w:hAnsi="Arial"/>
          <w:sz w:val="17"/>
          <w:szCs w:val="17"/>
          <w:color w:val="auto"/>
        </w:rPr>
        <w:t>Daily symptoms and QOL as measured by E-RS** Total Score and SGRQ** Total Score in the ensifentrine group improved from baseline to greater than the minimal clinically important difference of  -2 units and -4 units, respectively, at week 24. Improvements in these measures were seen as early as 6 weeks and showed continued improvement at 12 and 24 weeks, numerically exceeding placebo at each measurement. Statistical significance was not achieved due to improvements in the placebo group over time.</w:t>
      </w:r>
    </w:p>
    <w:p>
      <w:pPr>
        <w:spacing w:after="0" w:line="128" w:lineRule="exact"/>
        <w:rPr>
          <w:rFonts w:ascii="Arial" w:cs="Arial" w:eastAsia="Arial" w:hAnsi="Arial"/>
          <w:sz w:val="17"/>
          <w:szCs w:val="17"/>
          <w:color w:val="auto"/>
        </w:rPr>
      </w:pPr>
    </w:p>
    <w:p>
      <w:pPr>
        <w:ind w:left="1860" w:hanging="222"/>
        <w:spacing w:after="0"/>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Favorable safety results:</w:t>
      </w:r>
    </w:p>
    <w:p>
      <w:pPr>
        <w:spacing w:after="0" w:line="88" w:lineRule="exact"/>
        <w:rPr>
          <w:rFonts w:ascii="Arial" w:cs="Arial" w:eastAsia="Arial" w:hAnsi="Arial"/>
          <w:sz w:val="17"/>
          <w:szCs w:val="17"/>
          <w:color w:val="auto"/>
        </w:rPr>
      </w:pPr>
    </w:p>
    <w:p>
      <w:pPr>
        <w:ind w:left="2220" w:right="719" w:hanging="222"/>
        <w:spacing w:after="0" w:line="301" w:lineRule="auto"/>
        <w:tabs>
          <w:tab w:leader="none" w:pos="2220" w:val="left"/>
        </w:tabs>
        <w:numPr>
          <w:ilvl w:val="2"/>
          <w:numId w:val="3"/>
        </w:numPr>
        <w:rPr>
          <w:rFonts w:ascii="Arial" w:cs="Arial" w:eastAsia="Arial" w:hAnsi="Arial"/>
          <w:sz w:val="17"/>
          <w:szCs w:val="17"/>
          <w:color w:val="auto"/>
        </w:rPr>
      </w:pPr>
      <w:r>
        <w:rPr>
          <w:rFonts w:ascii="Arial" w:cs="Arial" w:eastAsia="Arial" w:hAnsi="Arial"/>
          <w:sz w:val="17"/>
          <w:szCs w:val="17"/>
          <w:color w:val="auto"/>
        </w:rPr>
        <w:t>Ensifentrine was well tolerated with safety results similar to placebo, including occurrence of pneumonia, gastrointestinal and cardiovascular adverse events.</w:t>
      </w:r>
    </w:p>
    <w:p>
      <w:pPr>
        <w:spacing w:after="0" w:line="258" w:lineRule="exact"/>
        <w:rPr>
          <w:rFonts w:ascii="Arial" w:cs="Arial" w:eastAsia="Arial" w:hAnsi="Arial"/>
          <w:sz w:val="17"/>
          <w:szCs w:val="17"/>
          <w:color w:val="auto"/>
        </w:rPr>
      </w:pPr>
    </w:p>
    <w:p>
      <w:pPr>
        <w:ind w:left="1280"/>
        <w:spacing w:after="0"/>
        <w:rPr>
          <w:rFonts w:ascii="Arial" w:cs="Arial" w:eastAsia="Arial" w:hAnsi="Arial"/>
          <w:sz w:val="17"/>
          <w:szCs w:val="17"/>
          <w:color w:val="auto"/>
        </w:rPr>
      </w:pPr>
      <w:r>
        <w:rPr>
          <w:rFonts w:ascii="Arial" w:cs="Arial" w:eastAsia="Arial" w:hAnsi="Arial"/>
          <w:sz w:val="13"/>
          <w:szCs w:val="13"/>
          <w:color w:val="auto"/>
        </w:rPr>
        <w:t>*</w:t>
      </w:r>
      <w:r>
        <w:rPr>
          <w:rFonts w:ascii="Arial" w:cs="Arial" w:eastAsia="Arial" w:hAnsi="Arial"/>
          <w:sz w:val="12"/>
          <w:szCs w:val="12"/>
          <w:color w:val="auto"/>
        </w:rPr>
        <w:t>FEV</w:t>
      </w:r>
      <w:r>
        <w:rPr>
          <w:rFonts w:ascii="Arial" w:cs="Arial" w:eastAsia="Arial" w:hAnsi="Arial"/>
          <w:sz w:val="18"/>
          <w:szCs w:val="18"/>
          <w:color w:val="auto"/>
          <w:vertAlign w:val="subscript"/>
        </w:rPr>
        <w:t>1</w:t>
      </w:r>
      <w:r>
        <w:rPr>
          <w:rFonts w:ascii="Arial" w:cs="Arial" w:eastAsia="Arial" w:hAnsi="Arial"/>
          <w:sz w:val="12"/>
          <w:szCs w:val="12"/>
          <w:color w:val="auto"/>
        </w:rPr>
        <w:t>: Forced Expiratory Volume in one second, a standard measure of lung function</w:t>
      </w:r>
    </w:p>
    <w:p>
      <w:pPr>
        <w:spacing w:after="0" w:line="114" w:lineRule="exact"/>
        <w:rPr>
          <w:rFonts w:ascii="Arial" w:cs="Arial" w:eastAsia="Arial" w:hAnsi="Arial"/>
          <w:sz w:val="17"/>
          <w:szCs w:val="17"/>
          <w:color w:val="auto"/>
        </w:rPr>
      </w:pPr>
    </w:p>
    <w:p>
      <w:pPr>
        <w:ind w:left="1640" w:hanging="362"/>
        <w:spacing w:after="0"/>
        <w:tabs>
          <w:tab w:leader="none" w:pos="1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E-RS, Evaluating Respiratory Symptoms, and SGRQ, St. George’s Respiratory Questionnaire, are validated patient reported outcome tools</w:t>
      </w:r>
    </w:p>
    <w:p>
      <w:pPr>
        <w:spacing w:after="0" w:line="168" w:lineRule="exact"/>
        <w:rPr>
          <w:sz w:val="20"/>
          <w:szCs w:val="20"/>
          <w:color w:val="auto"/>
        </w:rPr>
      </w:pPr>
    </w:p>
    <w:p>
      <w:pPr>
        <w:jc w:val="both"/>
        <w:ind w:left="1280" w:right="579"/>
        <w:spacing w:after="0" w:line="283" w:lineRule="auto"/>
        <w:rPr>
          <w:sz w:val="20"/>
          <w:szCs w:val="20"/>
          <w:color w:val="auto"/>
        </w:rPr>
      </w:pPr>
      <w:r>
        <w:rPr>
          <w:rFonts w:ascii="Arial" w:cs="Arial" w:eastAsia="Arial" w:hAnsi="Arial"/>
          <w:sz w:val="17"/>
          <w:szCs w:val="17"/>
          <w:color w:val="auto"/>
        </w:rPr>
        <w:t>These data, along with results from our ongoing Phase 3 ENHANCE-1 clinical trial, which is on track to be reported around the end of 2022, are expected to support the submission of a New Drug Application to the U.S. Food and Drug Administration in the first half of 2023.</w:t>
      </w:r>
    </w:p>
    <w:p>
      <w:pPr>
        <w:spacing w:after="0" w:line="92" w:lineRule="exact"/>
        <w:rPr>
          <w:sz w:val="20"/>
          <w:szCs w:val="20"/>
          <w:color w:val="auto"/>
        </w:rPr>
      </w:pPr>
    </w:p>
    <w:p>
      <w:pPr>
        <w:ind w:left="1280" w:right="399"/>
        <w:spacing w:after="0" w:line="270" w:lineRule="auto"/>
        <w:rPr>
          <w:sz w:val="20"/>
          <w:szCs w:val="20"/>
          <w:color w:val="auto"/>
        </w:rPr>
      </w:pPr>
      <w:r>
        <w:rPr>
          <w:rFonts w:ascii="Arial" w:cs="Arial" w:eastAsia="Arial" w:hAnsi="Arial"/>
          <w:sz w:val="17"/>
          <w:szCs w:val="17"/>
          <w:color w:val="auto"/>
        </w:rPr>
        <w:t>In 2020, there were approximately 6 million patients on maintenance treatment for COPD in the United States, with approximately 5 million patients receiving two or more therapies or alternative therapies. Of those patients, approximately 40% remain symptomatic, resulting in more than 1 million patients that we believe has the potential to be treated with ensifentrine. As of December 2021, 35 payers covered more than 200 million lives, or 85% of all lives covered, for nebulizers, with the majority of claims for nebulizers in the United States reimbursed through Medicare Part B. If ensifentrine is approved, we plan to target the approximately 12,000 pulmonologists in the United States and expects that it will need approximately 100 sales representatives.</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Corporate Information</w:t>
      </w:r>
    </w:p>
    <w:p>
      <w:pPr>
        <w:spacing w:after="0" w:line="61" w:lineRule="exact"/>
        <w:rPr>
          <w:sz w:val="20"/>
          <w:szCs w:val="20"/>
          <w:color w:val="auto"/>
        </w:rPr>
      </w:pPr>
    </w:p>
    <w:p>
      <w:pPr>
        <w:ind w:left="1280" w:right="519"/>
        <w:spacing w:after="0" w:line="271" w:lineRule="auto"/>
        <w:rPr>
          <w:sz w:val="20"/>
          <w:szCs w:val="20"/>
          <w:color w:val="auto"/>
        </w:rPr>
      </w:pPr>
      <w:r>
        <w:rPr>
          <w:rFonts w:ascii="Arial" w:cs="Arial" w:eastAsia="Arial" w:hAnsi="Arial"/>
          <w:sz w:val="17"/>
          <w:szCs w:val="17"/>
          <w:color w:val="auto"/>
        </w:rPr>
        <w:t xml:space="preserve">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 and our telephone number is +(44) 203 283 4200. Our corporate website address is </w:t>
      </w:r>
      <w:r>
        <w:rPr>
          <w:rFonts w:ascii="Arial" w:cs="Arial" w:eastAsia="Arial" w:hAnsi="Arial"/>
          <w:sz w:val="17"/>
          <w:szCs w:val="17"/>
          <w:i w:val="1"/>
          <w:iCs w:val="1"/>
          <w:color w:val="auto"/>
        </w:rPr>
        <w:t>www.veronapharma.com</w:t>
      </w:r>
      <w:r>
        <w:rPr>
          <w:rFonts w:ascii="Arial" w:cs="Arial" w:eastAsia="Arial" w:hAnsi="Arial"/>
          <w:sz w:val="17"/>
          <w:szCs w:val="17"/>
          <w:color w:val="auto"/>
        </w:rPr>
        <w:t>. Information contained on or accessible through our website is not a part of this prospectus supplement, and the inclusion of our website address in this prospectus supplement is an inactive textual reference only.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821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82162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ADSs offered by us</w:t>
      </w:r>
    </w:p>
    <w:p>
      <w:pPr>
        <w:spacing w:after="0" w:line="331" w:lineRule="exact"/>
        <w:rPr>
          <w:sz w:val="20"/>
          <w:szCs w:val="20"/>
          <w:color w:val="auto"/>
        </w:rPr>
      </w:pPr>
    </w:p>
    <w:p>
      <w:pPr>
        <w:ind w:left="1460" w:right="380" w:hanging="179"/>
        <w:spacing w:after="0" w:line="284" w:lineRule="auto"/>
        <w:rPr>
          <w:sz w:val="20"/>
          <w:szCs w:val="20"/>
          <w:color w:val="auto"/>
        </w:rPr>
      </w:pPr>
      <w:r>
        <w:rPr>
          <w:rFonts w:ascii="Arial" w:cs="Arial" w:eastAsia="Arial" w:hAnsi="Arial"/>
          <w:sz w:val="17"/>
          <w:szCs w:val="17"/>
          <w:color w:val="auto"/>
        </w:rPr>
        <w:t>Underwriters’ 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60" w:hanging="179"/>
        <w:spacing w:after="0" w:line="266" w:lineRule="auto"/>
        <w:rPr>
          <w:sz w:val="20"/>
          <w:szCs w:val="20"/>
          <w:color w:val="auto"/>
        </w:rPr>
      </w:pPr>
      <w:r>
        <w:rPr>
          <w:rFonts w:ascii="Arial" w:cs="Arial" w:eastAsia="Arial" w:hAnsi="Arial"/>
          <w:sz w:val="17"/>
          <w:szCs w:val="17"/>
          <w:color w:val="auto"/>
        </w:rPr>
        <w:t>Ordinary shares (including ordinary shares represented by ADSs) to be outstanding immediately after the offering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Depositary</w:t>
      </w:r>
    </w:p>
    <w:p>
      <w:pPr>
        <w:spacing w:after="0" w:line="34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12,400,000 ADSs.</w:t>
      </w:r>
    </w:p>
    <w:p>
      <w:pPr>
        <w:spacing w:after="0" w:line="200" w:lineRule="exact"/>
        <w:rPr>
          <w:sz w:val="20"/>
          <w:szCs w:val="20"/>
          <w:color w:val="auto"/>
        </w:rPr>
      </w:pPr>
    </w:p>
    <w:p>
      <w:pPr>
        <w:spacing w:after="0" w:line="334" w:lineRule="exact"/>
        <w:rPr>
          <w:sz w:val="20"/>
          <w:szCs w:val="20"/>
          <w:color w:val="auto"/>
        </w:rPr>
      </w:pPr>
    </w:p>
    <w:p>
      <w:pPr>
        <w:jc w:val="both"/>
        <w:ind w:right="579"/>
        <w:spacing w:after="0" w:line="283" w:lineRule="auto"/>
        <w:rPr>
          <w:sz w:val="20"/>
          <w:szCs w:val="20"/>
          <w:color w:val="auto"/>
        </w:rPr>
      </w:pPr>
      <w:r>
        <w:rPr>
          <w:rFonts w:ascii="Arial" w:cs="Arial" w:eastAsia="Arial" w:hAnsi="Arial"/>
          <w:sz w:val="17"/>
          <w:szCs w:val="17"/>
          <w:color w:val="auto"/>
        </w:rPr>
        <w:t>We have granted the underwriters a 30-day option to purchase up to 1,860,000 additional ADSs at the public offering price, less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59"/>
        <w:spacing w:after="0" w:line="283" w:lineRule="auto"/>
        <w:rPr>
          <w:sz w:val="20"/>
          <w:szCs w:val="20"/>
          <w:color w:val="auto"/>
        </w:rPr>
      </w:pPr>
      <w:r>
        <w:rPr>
          <w:rFonts w:ascii="Arial" w:cs="Arial" w:eastAsia="Arial" w:hAnsi="Arial"/>
          <w:sz w:val="17"/>
          <w:szCs w:val="17"/>
          <w:color w:val="auto"/>
        </w:rPr>
        <w:t>586,833,374 ordinary shares (or 601,713,374 ordinary shares if the underwriters exercise in full their option to purchase additional ADSs).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Each ADS represents eight ordinary shares.</w:t>
      </w:r>
    </w:p>
    <w:p>
      <w:pPr>
        <w:spacing w:after="0" w:line="142" w:lineRule="exact"/>
        <w:rPr>
          <w:sz w:val="20"/>
          <w:szCs w:val="20"/>
          <w:color w:val="auto"/>
        </w:rPr>
      </w:pPr>
    </w:p>
    <w:p>
      <w:pPr>
        <w:ind w:right="399"/>
        <w:spacing w:after="0" w:line="258" w:lineRule="auto"/>
        <w:rPr>
          <w:sz w:val="20"/>
          <w:szCs w:val="20"/>
          <w:color w:val="auto"/>
        </w:rPr>
      </w:pPr>
      <w:r>
        <w:rPr>
          <w:rFonts w:ascii="Arial" w:cs="Arial" w:eastAsia="Arial" w:hAnsi="Arial"/>
          <w:sz w:val="17"/>
          <w:szCs w:val="17"/>
          <w:color w:val="auto"/>
        </w:rPr>
        <w:t>The depositary (through its custodian) will hold the ordinary shares underlying the ADSs. Investors will have rights as provided in the deposit agreement among us, Citibank, N.A., as depositary, and all owners and holders from time to time of ADSs issued thereunder. Investors may, among other things, cancel their ADSs and withdraw the underlying ordinary shares against a fee paid to the depositary. In certain limited instances described in the deposit agreement, we may amend or terminate the deposit agreement without our investors’ consent. If an investor continues to hold ADSs, the investor agrees to be bound by the terms of the deposit agreement then in effect.</w:t>
      </w:r>
    </w:p>
    <w:p>
      <w:pPr>
        <w:spacing w:after="0" w:line="119" w:lineRule="exact"/>
        <w:rPr>
          <w:sz w:val="20"/>
          <w:szCs w:val="20"/>
          <w:color w:val="auto"/>
        </w:rPr>
      </w:pPr>
    </w:p>
    <w:p>
      <w:pPr>
        <w:ind w:right="439"/>
        <w:spacing w:after="0" w:line="260" w:lineRule="auto"/>
        <w:rPr>
          <w:sz w:val="20"/>
          <w:szCs w:val="20"/>
          <w:color w:val="auto"/>
        </w:rPr>
      </w:pPr>
      <w:r>
        <w:rPr>
          <w:rFonts w:ascii="Arial" w:cs="Arial" w:eastAsia="Arial" w:hAnsi="Arial"/>
          <w:sz w:val="17"/>
          <w:szCs w:val="17"/>
          <w:color w:val="auto"/>
        </w:rPr>
        <w:t>To better understand the terms of the ADSs and the deposit agreement, including applicable fees and charges, you should carefully read “Description of American Depositary Shares” in the accompanying prospectus and the documents incorporated by reference herein and therein. You should also read the deposit agreement, which is an exhibit to the registration statement of which this prospectus supplement forms a part.</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Citibank, N.A.</w:t>
      </w:r>
    </w:p>
    <w:p>
      <w:pPr>
        <w:spacing w:after="0" w:line="345" w:lineRule="exact"/>
        <w:rPr>
          <w:sz w:val="20"/>
          <w:szCs w:val="20"/>
          <w:color w:val="auto"/>
        </w:rPr>
      </w:pPr>
    </w:p>
    <w:p>
      <w:pPr>
        <w:ind w:right="419"/>
        <w:spacing w:after="0" w:line="268" w:lineRule="auto"/>
        <w:rPr>
          <w:sz w:val="20"/>
          <w:szCs w:val="20"/>
          <w:color w:val="auto"/>
        </w:rPr>
      </w:pPr>
      <w:r>
        <w:rPr>
          <w:rFonts w:ascii="Arial" w:cs="Arial" w:eastAsia="Arial" w:hAnsi="Arial"/>
          <w:sz w:val="17"/>
          <w:szCs w:val="17"/>
          <w:color w:val="auto"/>
        </w:rPr>
        <w:t xml:space="preserve">We estimate that our net proceeds from this offering will be approximately $122.0 million, or approximately $140.4 million if the underwriters exercise their option to purchase additional ADSs in full, after deducting underwriting discounts and commissions and estimated offering expenses payable by us. We intend to use the net proceeds of this offering to advance the development of ensifentrine, commercial preparation activities and, if approved, the commercial launch of ensifentrine, other research and development activities, and for working capital and other general corporate purposes. See the section entitled “Use of Proceeds” on page </w:t>
      </w:r>
      <w:r>
        <w:rPr>
          <w:rFonts w:ascii="Arial" w:cs="Arial" w:eastAsia="Arial" w:hAnsi="Arial"/>
          <w:sz w:val="17"/>
          <w:szCs w:val="17"/>
          <w:u w:val="single" w:color="auto"/>
          <w:color w:val="0000EE"/>
        </w:rPr>
        <w:t>S-9</w:t>
      </w:r>
      <w:r>
        <w:rPr>
          <w:rFonts w:ascii="Arial" w:cs="Arial" w:eastAsia="Arial" w:hAnsi="Arial"/>
          <w:sz w:val="17"/>
          <w:szCs w:val="17"/>
          <w:color w:val="auto"/>
        </w:rPr>
        <w:t xml:space="preserve"> of this prospectus supplement.</w:t>
      </w:r>
    </w:p>
    <w:p>
      <w:pPr>
        <w:spacing w:after="0" w:line="299" w:lineRule="exact"/>
        <w:rPr>
          <w:sz w:val="20"/>
          <w:szCs w:val="20"/>
          <w:color w:val="auto"/>
        </w:rPr>
      </w:pPr>
    </w:p>
    <w:p>
      <w:pPr>
        <w:ind w:right="719"/>
        <w:spacing w:after="0" w:line="283" w:lineRule="auto"/>
        <w:rPr>
          <w:sz w:val="20"/>
          <w:szCs w:val="20"/>
          <w:color w:val="auto"/>
        </w:rPr>
      </w:pPr>
      <w:r>
        <w:rPr>
          <w:rFonts w:ascii="Arial" w:cs="Arial" w:eastAsia="Arial" w:hAnsi="Arial"/>
          <w:sz w:val="17"/>
          <w:szCs w:val="17"/>
          <w:color w:val="auto"/>
        </w:rPr>
        <w:t xml:space="preserve">Investing in our ADSs involves risks. See “Risk Factors” beginning on page </w:t>
      </w:r>
      <w:r>
        <w:rPr>
          <w:rFonts w:ascii="Arial" w:cs="Arial" w:eastAsia="Arial" w:hAnsi="Arial"/>
          <w:sz w:val="17"/>
          <w:szCs w:val="17"/>
          <w:u w:val="single" w:color="auto"/>
          <w:color w:val="0000EE"/>
        </w:rPr>
        <w:t>S-8</w:t>
      </w:r>
      <w:r>
        <w:rPr>
          <w:rFonts w:ascii="Arial" w:cs="Arial" w:eastAsia="Arial" w:hAnsi="Arial"/>
          <w:sz w:val="17"/>
          <w:szCs w:val="17"/>
          <w:color w:val="auto"/>
        </w:rPr>
        <w:t xml:space="preserve"> of this prospectus supplement and the other</w:t>
      </w:r>
    </w:p>
    <w:p>
      <w:pPr>
        <w:spacing w:after="0" w:line="200" w:lineRule="exact"/>
        <w:rPr>
          <w:sz w:val="20"/>
          <w:szCs w:val="20"/>
          <w:color w:val="auto"/>
        </w:rPr>
      </w:pPr>
    </w:p>
    <w:p>
      <w:pPr>
        <w:sectPr>
          <w:pgSz w:w="11900" w:h="16838" w:orient="portrait"/>
          <w:cols w:equalWidth="0" w:num="2">
            <w:col w:w="4120" w:space="400"/>
            <w:col w:w="5359"/>
          </w:cols>
          <w:pgMar w:left="580" w:top="97" w:right="1440" w:bottom="1440" w:gutter="0" w:footer="0" w:header="0"/>
          <w:type w:val="continuous"/>
        </w:sectPr>
      </w:pPr>
    </w:p>
    <w:p>
      <w:pPr>
        <w:spacing w:after="0" w:line="19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information included in, or incorporated by reference into, this</w:t>
      </w:r>
    </w:p>
    <w:p>
      <w:pPr>
        <w:spacing w:after="0" w:line="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prospectus supplement for a discussion of certain factors you</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should carefully consider before deciding to invest in our ADSs.</w:t>
      </w:r>
    </w:p>
    <w:p>
      <w:pPr>
        <w:spacing w:after="0" w:line="322"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Nasdaq Global Market symbol</w:t>
      </w:r>
      <w:r>
        <w:rPr>
          <w:sz w:val="20"/>
          <w:szCs w:val="20"/>
          <w:color w:val="auto"/>
        </w:rPr>
        <w:tab/>
      </w:r>
      <w:r>
        <w:rPr>
          <w:rFonts w:ascii="Arial" w:cs="Arial" w:eastAsia="Arial" w:hAnsi="Arial"/>
          <w:sz w:val="16"/>
          <w:szCs w:val="16"/>
          <w:color w:val="auto"/>
        </w:rPr>
        <w:t>VRNA</w:t>
      </w:r>
    </w:p>
    <w:p>
      <w:pPr>
        <w:spacing w:after="0" w:line="358" w:lineRule="exact"/>
        <w:rPr>
          <w:sz w:val="20"/>
          <w:szCs w:val="20"/>
          <w:color w:val="auto"/>
        </w:rPr>
      </w:pPr>
    </w:p>
    <w:p>
      <w:pPr>
        <w:ind w:left="1280" w:right="679"/>
        <w:spacing w:after="0" w:line="283" w:lineRule="auto"/>
        <w:rPr>
          <w:sz w:val="20"/>
          <w:szCs w:val="20"/>
          <w:color w:val="auto"/>
        </w:rPr>
      </w:pPr>
      <w:r>
        <w:rPr>
          <w:rFonts w:ascii="Arial" w:cs="Arial" w:eastAsia="Arial" w:hAnsi="Arial"/>
          <w:sz w:val="17"/>
          <w:szCs w:val="17"/>
          <w:color w:val="auto"/>
        </w:rPr>
        <w:t>The number of ordinary shares (including ordinary shares represented by ADSs) to be outstanding immediately after this offering is based on 487,633,374 ordinary shares outstanding as of August 1, 2022 and excludes:</w:t>
      </w:r>
    </w:p>
    <w:p>
      <w:pPr>
        <w:spacing w:after="0" w:line="24" w:lineRule="exact"/>
        <w:rPr>
          <w:sz w:val="20"/>
          <w:szCs w:val="20"/>
          <w:color w:val="auto"/>
        </w:rPr>
      </w:pPr>
    </w:p>
    <w:p>
      <w:pPr>
        <w:ind w:left="1860" w:right="499" w:hanging="222"/>
        <w:spacing w:after="0" w:line="301"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15,639,600 ordinary shares issuable upon the exercise of share options outstanding as of August 1, 2022, at a weighted average exercise price of  $1.14 per ordinary share;</w:t>
      </w:r>
    </w:p>
    <w:p>
      <w:pPr>
        <w:spacing w:after="0" w:line="9" w:lineRule="exact"/>
        <w:rPr>
          <w:rFonts w:ascii="Arial" w:cs="Arial" w:eastAsia="Arial" w:hAnsi="Arial"/>
          <w:sz w:val="17"/>
          <w:szCs w:val="17"/>
          <w:color w:val="auto"/>
        </w:rPr>
      </w:pPr>
    </w:p>
    <w:p>
      <w:pPr>
        <w:ind w:left="1860" w:right="1079" w:hanging="222"/>
        <w:spacing w:after="0" w:line="301"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27,367,456 ordinary shares issuable upon vesting of restricted share units outstanding as of August 1, 2022; and</w:t>
      </w:r>
    </w:p>
    <w:p>
      <w:pPr>
        <w:spacing w:after="0" w:line="22" w:lineRule="exact"/>
        <w:rPr>
          <w:rFonts w:ascii="Arial" w:cs="Arial" w:eastAsia="Arial" w:hAnsi="Arial"/>
          <w:sz w:val="17"/>
          <w:szCs w:val="17"/>
          <w:color w:val="auto"/>
        </w:rPr>
      </w:pPr>
    </w:p>
    <w:p>
      <w:pPr>
        <w:jc w:val="both"/>
        <w:ind w:left="1860" w:right="679" w:hanging="222"/>
        <w:spacing w:after="0" w:line="283"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17,000,601 ordinary shares reserved for future issuance under our 2017 Incentive Award Plan, or the 2017 Plan, as of August 1, 2022, and ordinary shares that may become available pursuant to provisions in the 2017 Plan that automatically increase the share reserve under the 2017 Plan.</w:t>
      </w:r>
    </w:p>
    <w:p>
      <w:pPr>
        <w:spacing w:after="0" w:line="92" w:lineRule="exact"/>
        <w:rPr>
          <w:sz w:val="20"/>
          <w:szCs w:val="20"/>
          <w:color w:val="auto"/>
        </w:rPr>
      </w:pPr>
    </w:p>
    <w:p>
      <w:pPr>
        <w:ind w:left="1280" w:right="479"/>
        <w:spacing w:after="0" w:line="301" w:lineRule="auto"/>
        <w:rPr>
          <w:sz w:val="20"/>
          <w:szCs w:val="20"/>
          <w:color w:val="auto"/>
        </w:rPr>
      </w:pPr>
      <w:r>
        <w:rPr>
          <w:rFonts w:ascii="Arial" w:cs="Arial" w:eastAsia="Arial" w:hAnsi="Arial"/>
          <w:sz w:val="17"/>
          <w:szCs w:val="17"/>
          <w:color w:val="auto"/>
        </w:rPr>
        <w:t>Unless otherwise indicated, all information contained in this prospectus supplement assumes no exercise of the outstanding options and no vesting of the restricted share units described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RISK FACTORS</w:t>
      </w:r>
    </w:p>
    <w:p>
      <w:pPr>
        <w:spacing w:after="0" w:line="359"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i w:val="1"/>
          <w:iCs w:val="1"/>
          <w:color w:val="auto"/>
        </w:rPr>
        <w:t>Investment in any securities offered pursuant to this prospectus supplement and the accompanying prospectus involves risks. You should carefully consider the risk factors described below and in our Annual Report on Form 10-K for the fiscal year ended December 31, 2021 and the other documents incorporated by reference in this prospectus supplement.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Risks Relating to this Offering</w:t>
      </w:r>
    </w:p>
    <w:p>
      <w:pPr>
        <w:spacing w:after="0" w:line="129" w:lineRule="exact"/>
        <w:rPr>
          <w:sz w:val="20"/>
          <w:szCs w:val="20"/>
          <w:color w:val="auto"/>
        </w:rPr>
      </w:pPr>
    </w:p>
    <w:p>
      <w:pPr>
        <w:ind w:left="1260" w:right="439"/>
        <w:spacing w:after="0" w:line="286" w:lineRule="auto"/>
        <w:rPr>
          <w:sz w:val="20"/>
          <w:szCs w:val="20"/>
          <w:color w:val="auto"/>
        </w:rPr>
      </w:pPr>
      <w:r>
        <w:rPr>
          <w:rFonts w:ascii="Arial" w:cs="Arial" w:eastAsia="Arial" w:hAnsi="Arial"/>
          <w:sz w:val="17"/>
          <w:szCs w:val="17"/>
          <w:b w:val="1"/>
          <w:bCs w:val="1"/>
          <w:color w:val="auto"/>
        </w:rPr>
        <w:t>If you purchase ADSs sold in this offering, you will experience immediate and substantial dilution in the net tangible book value of your ADSs. In addition, we may issue additional equity or convertible debt securities in the future, which may result in additional dilution to you.</w:t>
      </w:r>
    </w:p>
    <w:p>
      <w:pPr>
        <w:spacing w:after="0" w:line="314"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 xml:space="preserve">The price per ADS being offered may be higher than the net tangible book value per ADS prior to this offering. If you purchase ADSs in this offering, you will incur immediate and substantial dilution in the as adjusted net tangible book value of your ADSs because the price that you pay will be substantially greater than the net tangible book value per ADS you acquire. For a more detailed discussion of the foregoing, see the section entitled “Dilution” on page </w:t>
      </w:r>
      <w:r>
        <w:rPr>
          <w:rFonts w:ascii="Arial" w:cs="Arial" w:eastAsia="Arial" w:hAnsi="Arial"/>
          <w:sz w:val="17"/>
          <w:szCs w:val="17"/>
          <w:u w:val="single" w:color="auto"/>
          <w:color w:val="0000EE"/>
        </w:rPr>
        <w:t>S-11</w:t>
      </w:r>
      <w:r>
        <w:rPr>
          <w:rFonts w:ascii="Arial" w:cs="Arial" w:eastAsia="Arial" w:hAnsi="Arial"/>
          <w:sz w:val="17"/>
          <w:szCs w:val="17"/>
          <w:color w:val="auto"/>
        </w:rPr>
        <w:t>. To the extent outstanding share options are exercised or restricted share units vest, there will be further dilution to new investors. In addition, to the extent we need to raise additional capital in the future and we issue additional ADSs or securities convertible or exchangeable for our ordinary shares or ADSs, our then-existing shareholders may experience dilution and the new securities may have rights senior to those of our ADSs offered in this offering.</w:t>
      </w:r>
    </w:p>
    <w:p>
      <w:pPr>
        <w:spacing w:after="0" w:line="107" w:lineRule="exact"/>
        <w:rPr>
          <w:sz w:val="20"/>
          <w:szCs w:val="20"/>
          <w:color w:val="auto"/>
        </w:rPr>
      </w:pPr>
    </w:p>
    <w:p>
      <w:pPr>
        <w:ind w:left="1260" w:right="459"/>
        <w:spacing w:after="0" w:line="313" w:lineRule="auto"/>
        <w:rPr>
          <w:sz w:val="20"/>
          <w:szCs w:val="20"/>
          <w:color w:val="auto"/>
        </w:rPr>
      </w:pPr>
      <w:r>
        <w:rPr>
          <w:rFonts w:ascii="Arial" w:cs="Arial" w:eastAsia="Arial" w:hAnsi="Arial"/>
          <w:sz w:val="17"/>
          <w:szCs w:val="17"/>
          <w:b w:val="1"/>
          <w:bCs w:val="1"/>
          <w:color w:val="auto"/>
        </w:rPr>
        <w:t>We have broad discretion in the use of the net proceeds from this offering and may not use them effectively.</w:t>
      </w:r>
    </w:p>
    <w:p>
      <w:pPr>
        <w:spacing w:after="0" w:line="71"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advance the development of ensifentrine, commercial preparation activities and, if approved, the commercial launch of ensifentrine, other research and development activities, and for working capital and other general corporate purposes. Failure by our management to apply these funds effectively could harm our business. Pending their use, we plan to invest the net proceeds from this offering in short- and intermediate-term, interest-bearing obligations, investment-grade instruments, certificates of deposit or direct, guaranteed obligations of the U.S. government, or money market mutual funds that invest in the listed securities. These investments may not yield a favorable return to our shareholders. If we do not invest or apply the net proceeds from this offering in ways that enhance shareholder value, we may fail to achieve expected financial results, which could cause our ADS price to decline.</w:t>
      </w:r>
    </w:p>
    <w:p>
      <w:pPr>
        <w:spacing w:after="0" w:line="125" w:lineRule="exact"/>
        <w:rPr>
          <w:sz w:val="20"/>
          <w:szCs w:val="20"/>
          <w:color w:val="auto"/>
        </w:rPr>
      </w:pPr>
    </w:p>
    <w:p>
      <w:pPr>
        <w:ind w:left="1260" w:right="859"/>
        <w:spacing w:after="0" w:line="313" w:lineRule="auto"/>
        <w:rPr>
          <w:sz w:val="20"/>
          <w:szCs w:val="20"/>
          <w:color w:val="auto"/>
        </w:rPr>
      </w:pPr>
      <w:r>
        <w:rPr>
          <w:rFonts w:ascii="Arial" w:cs="Arial" w:eastAsia="Arial" w:hAnsi="Arial"/>
          <w:sz w:val="17"/>
          <w:szCs w:val="17"/>
          <w:b w:val="1"/>
          <w:bCs w:val="1"/>
          <w:color w:val="auto"/>
        </w:rPr>
        <w:t>Future sales or issuances of our ADSs in the public markets, or the perception of such sales, could depress the trading price of our ADSs.</w:t>
      </w:r>
    </w:p>
    <w:p>
      <w:pPr>
        <w:spacing w:after="0" w:line="57"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The sale of a substantial number of our ADSs or other equity-related securities in the public markets, or the perception that such sales could occur, could depress the market price of our ADSs and impair our ability to raise capital through the sale of additional equity securities. Sales in the United States of our ADSs held by our directors, executive officers and affiliated shareholders are subject to restrictions. If these shareholders sell substantial amounts of ADSs in the public market, or the market perceives that such sales may occur, the market price of our ADSs and our ability to raise capital through an issue of equity securities in the future could be adversely affected.</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USE OF PROCEEDS</w:t>
      </w:r>
    </w:p>
    <w:p>
      <w:pPr>
        <w:spacing w:after="0" w:line="357" w:lineRule="exact"/>
        <w:rPr>
          <w:sz w:val="20"/>
          <w:szCs w:val="20"/>
          <w:color w:val="auto"/>
        </w:rPr>
      </w:pPr>
    </w:p>
    <w:p>
      <w:pPr>
        <w:ind w:left="1260" w:right="479"/>
        <w:spacing w:after="0" w:line="283" w:lineRule="auto"/>
        <w:rPr>
          <w:sz w:val="20"/>
          <w:szCs w:val="20"/>
          <w:color w:val="auto"/>
        </w:rPr>
      </w:pPr>
      <w:r>
        <w:rPr>
          <w:rFonts w:ascii="Arial" w:cs="Arial" w:eastAsia="Arial" w:hAnsi="Arial"/>
          <w:sz w:val="17"/>
          <w:szCs w:val="17"/>
          <w:color w:val="auto"/>
        </w:rPr>
        <w:t>We estimate that the net proceeds from this offering, after deducting underwriting discounts and commissions and estimated offering expenses payable by us, will be approximately $122.0 million (or $140.4 million if the underwriters exercise in full their option to purchase additional ADSs).</w:t>
      </w:r>
    </w:p>
    <w:p>
      <w:pPr>
        <w:spacing w:after="0" w:line="92" w:lineRule="exact"/>
        <w:rPr>
          <w:sz w:val="20"/>
          <w:szCs w:val="20"/>
          <w:color w:val="auto"/>
        </w:rPr>
      </w:pPr>
    </w:p>
    <w:p>
      <w:pPr>
        <w:ind w:left="1260" w:right="619"/>
        <w:spacing w:after="0" w:line="283" w:lineRule="auto"/>
        <w:rPr>
          <w:sz w:val="20"/>
          <w:szCs w:val="20"/>
          <w:color w:val="auto"/>
        </w:rPr>
      </w:pPr>
      <w:r>
        <w:rPr>
          <w:rFonts w:ascii="Arial" w:cs="Arial" w:eastAsia="Arial" w:hAnsi="Arial"/>
          <w:sz w:val="17"/>
          <w:szCs w:val="17"/>
          <w:color w:val="auto"/>
        </w:rPr>
        <w:t>We intend to use the net proceeds of this offering to advance the development of ensifentrine, commercial preparation activities and, if approved, the commercial launch of ensifentrine, other research and development activities, and for working capital and other general corporate purposes.</w:t>
      </w:r>
    </w:p>
    <w:p>
      <w:pPr>
        <w:spacing w:after="0" w:line="105"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the accompanying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short-and intermediate-term, interest-bearing obligations, investment-grade instruments, certificates of deposit or direct or guaranteed obligations of the U.S. government.</w:t>
      </w:r>
    </w:p>
    <w:p>
      <w:pPr>
        <w:spacing w:after="0" w:line="117"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Based on the planned use of proceeds described above, we believe that the net proceeds from this offering, together with our existing cash and cash equivalents, expected cash receipts from the U.K. tax credit program and funding expected to become available under our debt facility with Silicon Valley Bank, will be sufficient to enable us to fund our operating expenses and capital expenditure requirements at least through the third quarter of 2024. We have based this estimate on assumptions that may prove to be incorrect, including our assumptions regarding the amount and timing of cash receipts from U.K. tax credits, which may be subject to changes in U.K. tax law, and our ability to achieve certain milestones that will enable us to access additional funding under our debt facility.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DIVIDEND POLICY</w:t>
      </w:r>
    </w:p>
    <w:p>
      <w:pPr>
        <w:spacing w:after="0" w:line="357"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 See “Description of Share Capital and Articles of Association” of the accompanying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DILUTION</w:t>
      </w:r>
    </w:p>
    <w:p>
      <w:pPr>
        <w:spacing w:after="0" w:line="357"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price per ADS you pay in this offering and the net tangible book value per ADS immediately after this offering. Our net tangible book value as of June 30, 2022 was $110.3 million, or approximately $1.82 per ADS. Net tangible book value per ADS is equal to our total tangible assets, less our total liabilities, divided by the total number of our ordinary shares outstanding as of June 30, 2022, multiplied by eight, which is the number of ordinary shares represented by one ADS.</w:t>
      </w:r>
    </w:p>
    <w:p>
      <w:pPr>
        <w:spacing w:after="0" w:line="102" w:lineRule="exact"/>
        <w:rPr>
          <w:sz w:val="20"/>
          <w:szCs w:val="20"/>
          <w:color w:val="auto"/>
        </w:rPr>
      </w:pPr>
    </w:p>
    <w:p>
      <w:pPr>
        <w:ind w:left="1260" w:right="419"/>
        <w:spacing w:after="0" w:line="295" w:lineRule="auto"/>
        <w:rPr>
          <w:sz w:val="20"/>
          <w:szCs w:val="20"/>
          <w:color w:val="auto"/>
        </w:rPr>
      </w:pPr>
      <w:r>
        <w:rPr>
          <w:rFonts w:ascii="Arial" w:cs="Arial" w:eastAsia="Arial" w:hAnsi="Arial"/>
          <w:sz w:val="16"/>
          <w:szCs w:val="16"/>
          <w:color w:val="auto"/>
        </w:rPr>
        <w:t>After giving effect to the sale of 12,400,000 ADSs at the public offering price of  $10.50 per ADS, and after deducting underwriting discounts and commissions and estimated offering expenses payable by us, our as adjusted net tangible book value as of June 30, 2022 would have been $232.3 million, or $3.18 per ADS. This represents an immediate increase in net tangible book value of  $1.36 per ADS to our existing shareholders and an immediate dilution in net tangible book value of  $7.32 per ADS to new investors in this offering.</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illustrates this calculation on a per ADS basis.</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392"/>
        </w:trPr>
        <w:tc>
          <w:tcPr>
            <w:tcW w:w="6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​Public offering price per ADS</w:t>
            </w:r>
          </w:p>
        </w:tc>
        <w:tc>
          <w:tcPr>
            <w:tcW w:w="300" w:type="dxa"/>
            <w:vAlign w:val="bottom"/>
            <w:tcBorders>
              <w:top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 xml:space="preserve">     </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 ​​$ 10.50​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6620" w:type="dxa"/>
            <w:vAlign w:val="bottom"/>
          </w:tcPr>
          <w:p>
            <w:pPr>
              <w:ind w:left="80"/>
              <w:spacing w:after="0"/>
              <w:rPr>
                <w:sz w:val="20"/>
                <w:szCs w:val="20"/>
                <w:color w:val="auto"/>
              </w:rPr>
            </w:pPr>
            <w:r>
              <w:rPr>
                <w:rFonts w:ascii="Arial" w:cs="Arial" w:eastAsia="Arial" w:hAnsi="Arial"/>
                <w:sz w:val="17"/>
                <w:szCs w:val="17"/>
                <w:color w:val="auto"/>
              </w:rPr>
              <w:t>Net tangible book value per ADS as of June 30, 2022</w:t>
            </w:r>
          </w:p>
        </w:tc>
        <w:tc>
          <w:tcPr>
            <w:tcW w:w="1100" w:type="dxa"/>
            <w:vAlign w:val="bottom"/>
            <w:gridSpan w:val="4"/>
          </w:tcPr>
          <w:p>
            <w:pPr>
              <w:ind w:left="60"/>
              <w:spacing w:after="0"/>
              <w:rPr>
                <w:sz w:val="20"/>
                <w:szCs w:val="20"/>
                <w:color w:val="auto"/>
              </w:rPr>
            </w:pPr>
            <w:r>
              <w:rPr>
                <w:rFonts w:ascii="Arial" w:cs="Arial" w:eastAsia="Arial" w:hAnsi="Arial"/>
                <w:sz w:val="17"/>
                <w:szCs w:val="17"/>
                <w:color w:val="auto"/>
              </w:rPr>
              <w:t>​ ​​$1.82​​ ​​ ​</w:t>
            </w:r>
          </w:p>
        </w:tc>
        <w:tc>
          <w:tcPr>
            <w:tcW w:w="3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Increase in net tangible book value per ADS attributable to the offering</w:t>
            </w:r>
          </w:p>
        </w:tc>
        <w:tc>
          <w:tcPr>
            <w:tcW w:w="1100" w:type="dxa"/>
            <w:vAlign w:val="bottom"/>
            <w:gridSpan w:val="4"/>
            <w:shd w:val="clear" w:color="auto" w:fill="CCEEFF"/>
          </w:tcPr>
          <w:p>
            <w:pPr>
              <w:ind w:left="60"/>
              <w:spacing w:after="0" w:line="269" w:lineRule="exact"/>
              <w:rPr>
                <w:sz w:val="20"/>
                <w:szCs w:val="20"/>
                <w:color w:val="auto"/>
              </w:rPr>
            </w:pPr>
            <w:r>
              <w:rPr>
                <w:rFonts w:ascii="Arial" w:cs="Arial" w:eastAsia="Arial" w:hAnsi="Arial"/>
                <w:sz w:val="16"/>
                <w:szCs w:val="16"/>
                <w:color w:val="auto"/>
              </w:rPr>
              <w:t>​ ​​</w:t>
            </w:r>
            <w:r>
              <w:rPr>
                <w:rFonts w:ascii="Arial" w:cs="Arial" w:eastAsia="Arial" w:hAnsi="Arial"/>
                <w:sz w:val="31"/>
                <w:szCs w:val="31"/>
                <w:u w:val="single" w:color="auto"/>
                <w:color w:val="auto"/>
                <w:vertAlign w:val="superscript"/>
              </w:rPr>
              <w:t>$</w:t>
            </w:r>
            <w:r>
              <w:rPr>
                <w:rFonts w:ascii="Arial" w:cs="Arial" w:eastAsia="Arial" w:hAnsi="Arial"/>
                <w:sz w:val="31"/>
                <w:szCs w:val="31"/>
                <w:color w:val="auto"/>
                <w:vertAlign w:val="superscript"/>
              </w:rPr>
              <w:t>1.36</w:t>
            </w:r>
            <w:r>
              <w:rPr>
                <w:rFonts w:ascii="Arial" w:cs="Arial" w:eastAsia="Arial" w:hAnsi="Arial"/>
                <w:sz w:val="16"/>
                <w:szCs w:val="16"/>
                <w:color w:val="auto"/>
              </w:rPr>
              <w:t>​​ ​​ ​</w:t>
            </w:r>
          </w:p>
        </w:tc>
        <w:tc>
          <w:tcPr>
            <w:tcW w:w="3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2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7"/>
                <w:szCs w:val="17"/>
                <w:color w:val="auto"/>
              </w:rPr>
              <w:t>As adjusted net tangible book value per ADS after giving effect to the offering</w:t>
            </w:r>
          </w:p>
        </w:tc>
        <w:tc>
          <w:tcPr>
            <w:tcW w:w="300" w:type="dxa"/>
            <w:vAlign w:val="bottom"/>
            <w:vMerge w:val="restart"/>
          </w:tcPr>
          <w:p>
            <w:pPr>
              <w:ind w:left="60"/>
              <w:spacing w:after="0"/>
              <w:rPr>
                <w:sz w:val="20"/>
                <w:szCs w:val="20"/>
                <w:color w:val="auto"/>
              </w:rPr>
            </w:pPr>
            <w:r>
              <w:rPr>
                <w:rFonts w:ascii="Arial" w:cs="Arial" w:eastAsia="Arial" w:hAnsi="Arial"/>
                <w:sz w:val="17"/>
                <w:szCs w:val="17"/>
                <w:color w:val="auto"/>
              </w:rPr>
              <w:t>​ ​​</w:t>
            </w:r>
          </w:p>
        </w:tc>
        <w:tc>
          <w:tcPr>
            <w:tcW w:w="38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5"/>
              <w:spacing w:after="0" w:line="169"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3.</w:t>
            </w:r>
            <w:r>
              <w:rPr>
                <w:rFonts w:ascii="Arial" w:cs="Arial" w:eastAsia="Arial" w:hAnsi="Arial"/>
                <w:sz w:val="17"/>
                <w:szCs w:val="17"/>
                <w:u w:val="single" w:color="auto"/>
                <w:color w:val="auto"/>
              </w:rPr>
              <w:t>18</w:t>
            </w:r>
          </w:p>
        </w:tc>
        <w:tc>
          <w:tcPr>
            <w:tcW w:w="0" w:type="dxa"/>
            <w:vAlign w:val="bottom"/>
          </w:tcPr>
          <w:p>
            <w:pPr>
              <w:spacing w:after="0"/>
              <w:rPr>
                <w:sz w:val="1"/>
                <w:szCs w:val="1"/>
                <w:color w:val="auto"/>
              </w:rPr>
            </w:pPr>
          </w:p>
        </w:tc>
      </w:tr>
      <w:tr>
        <w:trPr>
          <w:trHeight w:val="81"/>
        </w:trPr>
        <w:tc>
          <w:tcPr>
            <w:tcW w:w="100" w:type="dxa"/>
            <w:vAlign w:val="bottom"/>
          </w:tcPr>
          <w:p>
            <w:pPr>
              <w:spacing w:after="0" w:line="81" w:lineRule="exact"/>
              <w:rPr>
                <w:sz w:val="20"/>
                <w:szCs w:val="20"/>
                <w:color w:val="auto"/>
              </w:rPr>
            </w:pPr>
            <w:r>
              <w:rPr>
                <w:rFonts w:ascii="Arial" w:cs="Arial" w:eastAsia="Arial" w:hAnsi="Arial"/>
                <w:sz w:val="9"/>
                <w:szCs w:val="9"/>
                <w:color w:val="auto"/>
              </w:rPr>
              <w:t>​</w:t>
            </w:r>
          </w:p>
        </w:tc>
        <w:tc>
          <w:tcPr>
            <w:tcW w:w="66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420" w:type="dxa"/>
            <w:vAlign w:val="bottom"/>
            <w:gridSpan w:val="2"/>
          </w:tcPr>
          <w:p>
            <w:pPr>
              <w:jc w:val="right"/>
              <w:ind w:right="75"/>
              <w:spacing w:after="0" w:line="81" w:lineRule="exact"/>
              <w:rPr>
                <w:sz w:val="20"/>
                <w:szCs w:val="20"/>
                <w:color w:val="auto"/>
              </w:rPr>
            </w:pPr>
            <w:r>
              <w:rPr>
                <w:rFonts w:ascii="Arial" w:cs="Arial" w:eastAsia="Arial" w:hAnsi="Arial"/>
                <w:sz w:val="9"/>
                <w:szCs w:val="9"/>
                <w:color w:val="auto"/>
              </w:rPr>
              <w:t>​​ ​​</w:t>
            </w:r>
          </w:p>
        </w:tc>
        <w:tc>
          <w:tcPr>
            <w:tcW w:w="380" w:type="dxa"/>
            <w:vAlign w:val="bottom"/>
          </w:tcPr>
          <w:p>
            <w:pPr>
              <w:spacing w:after="0"/>
              <w:rPr>
                <w:sz w:val="7"/>
                <w:szCs w:val="7"/>
                <w:color w:val="auto"/>
              </w:rPr>
            </w:pPr>
          </w:p>
        </w:tc>
        <w:tc>
          <w:tcPr>
            <w:tcW w:w="60" w:type="dxa"/>
            <w:vAlign w:val="bottom"/>
          </w:tcPr>
          <w:p>
            <w:pPr>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83"/>
        </w:trPr>
        <w:tc>
          <w:tcPr>
            <w:tcW w:w="67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Dilution per ADS to new investors participating in the offering</w:t>
            </w:r>
          </w:p>
        </w:tc>
        <w:tc>
          <w:tcPr>
            <w:tcW w:w="300" w:type="dxa"/>
            <w:vAlign w:val="bottom"/>
            <w:tcBorders>
              <w:top w:val="single" w:sz="8" w:color="CCEEFF"/>
              <w:right w:val="single" w:sz="8" w:color="CCEEFF"/>
            </w:tcBorders>
            <w:vMerge w:val="restart"/>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80" w:type="dxa"/>
            <w:vAlign w:val="bottom"/>
            <w:tcBorders>
              <w:top w:val="single" w:sz="8" w:color="CCEEFF"/>
            </w:tcBorders>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7.32</w:t>
            </w:r>
          </w:p>
        </w:tc>
        <w:tc>
          <w:tcPr>
            <w:tcW w:w="6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8"/>
        </w:trPr>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620" w:type="dxa"/>
            <w:vAlign w:val="bottom"/>
            <w:shd w:val="clear" w:color="auto" w:fill="CCEEFF"/>
          </w:tcPr>
          <w:p>
            <w:pPr>
              <w:spacing w:after="0"/>
              <w:rPr>
                <w:sz w:val="7"/>
                <w:szCs w:val="7"/>
                <w:color w:val="auto"/>
              </w:rPr>
            </w:pPr>
          </w:p>
        </w:tc>
        <w:tc>
          <w:tcPr>
            <w:tcW w:w="300" w:type="dxa"/>
            <w:vAlign w:val="bottom"/>
            <w:tcBorders>
              <w:right w:val="single" w:sz="8" w:color="CCEEFF"/>
            </w:tcBorders>
            <w:vMerge w:val="continue"/>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420" w:type="dxa"/>
            <w:vAlign w:val="bottom"/>
            <w:gridSpan w:val="2"/>
            <w:shd w:val="clear" w:color="auto" w:fill="CCEEFF"/>
          </w:tcPr>
          <w:p>
            <w:pPr>
              <w:jc w:val="right"/>
              <w:ind w:right="75"/>
              <w:spacing w:after="0" w:line="68" w:lineRule="exact"/>
              <w:rPr>
                <w:sz w:val="20"/>
                <w:szCs w:val="20"/>
                <w:color w:val="auto"/>
              </w:rPr>
            </w:pPr>
            <w:r>
              <w:rPr>
                <w:rFonts w:ascii="Arial" w:cs="Arial" w:eastAsia="Arial" w:hAnsi="Arial"/>
                <w:sz w:val="7"/>
                <w:szCs w:val="7"/>
                <w:b w:val="1"/>
                <w:bCs w:val="1"/>
                <w:color w:val="auto"/>
              </w:rPr>
              <w:t>​</w:t>
            </w:r>
            <w:r>
              <w:rPr>
                <w:rFonts w:ascii="Arial" w:cs="Arial" w:eastAsia="Arial" w:hAnsi="Arial"/>
                <w:sz w:val="7"/>
                <w:szCs w:val="7"/>
                <w:color w:val="auto"/>
              </w:rPr>
              <w:t>​ ​​</w:t>
            </w:r>
          </w:p>
        </w:tc>
        <w:tc>
          <w:tcPr>
            <w:tcW w:w="38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tcBorders>
              <w:bottom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-282575</wp:posOffset>
            </wp:positionV>
            <wp:extent cx="4834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106" w:lineRule="exact"/>
        <w:rPr>
          <w:sz w:val="20"/>
          <w:szCs w:val="20"/>
          <w:color w:val="auto"/>
        </w:rPr>
      </w:pPr>
    </w:p>
    <w:p>
      <w:pPr>
        <w:ind w:left="1260" w:right="479"/>
        <w:spacing w:after="0" w:line="277" w:lineRule="auto"/>
        <w:rPr>
          <w:sz w:val="20"/>
          <w:szCs w:val="20"/>
          <w:color w:val="auto"/>
        </w:rPr>
      </w:pPr>
      <w:r>
        <w:rPr>
          <w:rFonts w:ascii="Arial" w:cs="Arial" w:eastAsia="Arial" w:hAnsi="Arial"/>
          <w:sz w:val="17"/>
          <w:szCs w:val="17"/>
          <w:color w:val="auto"/>
        </w:rPr>
        <w:t>If the underwriters exercise in full their option to purchase additional ADSs, and after deducting underwriting discounts and commissions and estimated offering expenses payable by us, the as adjusted net tangible book value after giving effect to this offering would increase to $1.53 per ADS, and dilution per ADS to new investors participating in this offering would decrease to $7.15 per ADS.</w:t>
      </w:r>
    </w:p>
    <w:p>
      <w:pPr>
        <w:spacing w:after="0" w:line="110" w:lineRule="exact"/>
        <w:rPr>
          <w:sz w:val="20"/>
          <w:szCs w:val="20"/>
          <w:color w:val="auto"/>
        </w:rPr>
      </w:pPr>
    </w:p>
    <w:p>
      <w:pPr>
        <w:ind w:left="1260" w:right="459"/>
        <w:spacing w:after="0" w:line="301" w:lineRule="auto"/>
        <w:rPr>
          <w:sz w:val="20"/>
          <w:szCs w:val="20"/>
          <w:color w:val="auto"/>
        </w:rPr>
      </w:pPr>
      <w:r>
        <w:rPr>
          <w:rFonts w:ascii="Arial" w:cs="Arial" w:eastAsia="Arial" w:hAnsi="Arial"/>
          <w:sz w:val="17"/>
          <w:szCs w:val="17"/>
          <w:color w:val="auto"/>
        </w:rPr>
        <w:t>The foregoing tables and calculations are based on 485,298,326 ordinary shares outstanding as of June 30, 2022, and excludes:</w:t>
      </w:r>
    </w:p>
    <w:p>
      <w:pPr>
        <w:spacing w:after="0" w:line="9" w:lineRule="exact"/>
        <w:rPr>
          <w:sz w:val="20"/>
          <w:szCs w:val="20"/>
          <w:color w:val="auto"/>
        </w:rPr>
      </w:pPr>
    </w:p>
    <w:p>
      <w:pPr>
        <w:ind w:left="1840" w:right="579" w:hanging="220"/>
        <w:spacing w:after="0" w:line="301" w:lineRule="auto"/>
        <w:tabs>
          <w:tab w:leader="none" w:pos="1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15,063,200 ordinary shares issuable upon the exercise of share options outstanding as of June 30, 2022, at a weighted average exercise price of  $1.24 per ordinary share;</w:t>
      </w:r>
    </w:p>
    <w:p>
      <w:pPr>
        <w:spacing w:after="0" w:line="9" w:lineRule="exact"/>
        <w:rPr>
          <w:rFonts w:ascii="Arial" w:cs="Arial" w:eastAsia="Arial" w:hAnsi="Arial"/>
          <w:sz w:val="17"/>
          <w:szCs w:val="17"/>
          <w:color w:val="auto"/>
        </w:rPr>
      </w:pPr>
    </w:p>
    <w:p>
      <w:pPr>
        <w:ind w:left="1840" w:right="1119" w:hanging="220"/>
        <w:spacing w:after="0" w:line="301" w:lineRule="auto"/>
        <w:tabs>
          <w:tab w:leader="none" w:pos="1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31,119,944 ordinary shares issuable upon vesting of restricted share units outstanding as of June 30, 2022; and</w:t>
      </w:r>
    </w:p>
    <w:p>
      <w:pPr>
        <w:spacing w:after="0" w:line="22" w:lineRule="exact"/>
        <w:rPr>
          <w:rFonts w:ascii="Arial" w:cs="Arial" w:eastAsia="Arial" w:hAnsi="Arial"/>
          <w:sz w:val="17"/>
          <w:szCs w:val="17"/>
          <w:color w:val="auto"/>
        </w:rPr>
      </w:pPr>
    </w:p>
    <w:p>
      <w:pPr>
        <w:ind w:left="1840" w:right="619" w:hanging="220"/>
        <w:spacing w:after="0" w:line="283" w:lineRule="auto"/>
        <w:tabs>
          <w:tab w:leader="none" w:pos="1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19,551,001 ordinary shares reserved for future issuance under the 2017 Plan as of June 30, 2022, and ordinary shares that may become available pursuant to provisions in the 2017 Plan that automatically increase the share reserve under the 2017 Plan.</w:t>
      </w:r>
    </w:p>
    <w:p>
      <w:pPr>
        <w:spacing w:after="0" w:line="92" w:lineRule="exact"/>
        <w:rPr>
          <w:sz w:val="20"/>
          <w:szCs w:val="20"/>
          <w:color w:val="auto"/>
        </w:rPr>
      </w:pPr>
    </w:p>
    <w:p>
      <w:pPr>
        <w:ind w:left="1260" w:right="419"/>
        <w:spacing w:after="0" w:line="283" w:lineRule="auto"/>
        <w:rPr>
          <w:sz w:val="20"/>
          <w:szCs w:val="20"/>
          <w:color w:val="auto"/>
        </w:rPr>
      </w:pPr>
      <w:r>
        <w:rPr>
          <w:rFonts w:ascii="Arial" w:cs="Arial" w:eastAsia="Arial" w:hAnsi="Arial"/>
          <w:sz w:val="17"/>
          <w:szCs w:val="17"/>
          <w:color w:val="auto"/>
        </w:rPr>
        <w:t>The foregoing table does not give effect to the exercise of any outstanding options or the vesting of any restricted share units. To the extent options are exercised, or restricted share units vest, there may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MATERIAL TAX CONSIDERATIONS</w:t>
      </w: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Material U.S. Federal Income Tax Consequences to U.S. Holders</w:t>
      </w:r>
    </w:p>
    <w:p>
      <w:pPr>
        <w:spacing w:after="0" w:line="142"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color w:val="auto"/>
        </w:rPr>
        <w:t>The following discussion is a summary of the material U.S. federal income tax consequences to the U.S. Holders (as defined below) of the ownership and disposition of our ordinary shares or ADSs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U.S. Treasury regulations promulgated thereunder, the income tax treaty between the United Kingdom and the United States (the “Treaty”),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There can be no assurance the IRS or a court will not take a contrary position to that discussed below regarding the tax consequences of the ownership and disposition of our ordinary shares or ADSs.</w:t>
      </w:r>
    </w:p>
    <w:p>
      <w:pPr>
        <w:spacing w:after="0" w:line="114" w:lineRule="exact"/>
        <w:rPr>
          <w:sz w:val="20"/>
          <w:szCs w:val="20"/>
          <w:color w:val="auto"/>
        </w:rPr>
      </w:pPr>
    </w:p>
    <w:p>
      <w:pPr>
        <w:ind w:left="1260" w:right="499"/>
        <w:spacing w:after="0" w:line="262" w:lineRule="auto"/>
        <w:rPr>
          <w:sz w:val="20"/>
          <w:szCs w:val="20"/>
          <w:color w:val="auto"/>
        </w:rPr>
      </w:pPr>
      <w:r>
        <w:rPr>
          <w:rFonts w:ascii="Arial" w:cs="Arial" w:eastAsia="Arial" w:hAnsi="Arial"/>
          <w:sz w:val="17"/>
          <w:szCs w:val="17"/>
          <w:color w:val="auto"/>
        </w:rPr>
        <w:t>This discussion is limited to U.S. Holders that hold our ordinary shares or ADSs as a “capital asset”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and the alternative minimum tax. In addition, it does not address consequences relevant to U.S. Holders subject to special rules, including, without limitation:</w:t>
      </w:r>
    </w:p>
    <w:p>
      <w:pPr>
        <w:spacing w:after="0" w:line="43" w:lineRule="exact"/>
        <w:rPr>
          <w:sz w:val="20"/>
          <w:szCs w:val="20"/>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dealers or traders in securities who use a mark-to-market method of tax accounting;</w:t>
      </w:r>
    </w:p>
    <w:p>
      <w:pPr>
        <w:spacing w:after="0" w:line="88" w:lineRule="exact"/>
        <w:rPr>
          <w:rFonts w:ascii="Arial" w:cs="Arial" w:eastAsia="Arial" w:hAnsi="Arial"/>
          <w:sz w:val="17"/>
          <w:szCs w:val="17"/>
          <w:color w:val="auto"/>
        </w:rPr>
      </w:pPr>
    </w:p>
    <w:p>
      <w:pPr>
        <w:ind w:left="1840" w:right="479" w:hanging="220"/>
        <w:spacing w:after="0" w:line="283"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holding our ordinary shares or ADSs as part of a hedging transaction, “straddle,” wash sale, conversion transaction, or integrated transaction, or persons entering into a constructive sale with respect to ordinary shares or ADSs;</w:t>
      </w:r>
    </w:p>
    <w:p>
      <w:pPr>
        <w:spacing w:after="0" w:line="37"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whose “functional currency” for U.S. federal income tax purposes is not the U.S. dollar;</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brokers, dealers or traders in securities, commodities, or currencies;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tax-exempt entities or government organizations;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deemed to sell ordinary shares or ADSs under the constructive sale provisions of the Code;</w:t>
      </w:r>
    </w:p>
    <w:p>
      <w:pPr>
        <w:spacing w:after="0" w:line="88" w:lineRule="exact"/>
        <w:rPr>
          <w:rFonts w:ascii="Arial" w:cs="Arial" w:eastAsia="Arial" w:hAnsi="Arial"/>
          <w:sz w:val="17"/>
          <w:szCs w:val="17"/>
          <w:color w:val="auto"/>
        </w:rPr>
      </w:pPr>
    </w:p>
    <w:p>
      <w:pPr>
        <w:ind w:left="1840" w:right="639" w:hanging="220"/>
        <w:spacing w:after="0" w:line="301"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 corporations or partnerships or other entities or arrangements classified as partnerships for U.S. federal income tax purposes;</w:t>
      </w:r>
    </w:p>
    <w:p>
      <w:pPr>
        <w:spacing w:after="0" w:line="9" w:lineRule="exact"/>
        <w:rPr>
          <w:rFonts w:ascii="Arial" w:cs="Arial" w:eastAsia="Arial" w:hAnsi="Arial"/>
          <w:sz w:val="17"/>
          <w:szCs w:val="17"/>
          <w:color w:val="auto"/>
        </w:rPr>
      </w:pPr>
    </w:p>
    <w:p>
      <w:pPr>
        <w:ind w:left="1840" w:hanging="220"/>
        <w:spacing w:after="0"/>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regulated investment companies or real estate investment trusts;</w:t>
      </w:r>
    </w:p>
    <w:p>
      <w:pPr>
        <w:spacing w:after="0" w:line="88" w:lineRule="exact"/>
        <w:rPr>
          <w:rFonts w:ascii="Arial" w:cs="Arial" w:eastAsia="Arial" w:hAnsi="Arial"/>
          <w:sz w:val="17"/>
          <w:szCs w:val="17"/>
          <w:color w:val="auto"/>
        </w:rPr>
      </w:pPr>
    </w:p>
    <w:p>
      <w:pPr>
        <w:ind w:left="1840" w:right="559" w:hanging="220"/>
        <w:spacing w:after="0" w:line="301"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who acquired our ordinary shares or ADSs pursuant to the exercise of any employee stock option or otherwise as compensation;</w:t>
      </w:r>
    </w:p>
    <w:p>
      <w:pPr>
        <w:spacing w:after="0" w:line="9" w:lineRule="exact"/>
        <w:rPr>
          <w:rFonts w:ascii="Arial" w:cs="Arial" w:eastAsia="Arial" w:hAnsi="Arial"/>
          <w:sz w:val="17"/>
          <w:szCs w:val="17"/>
          <w:color w:val="auto"/>
        </w:rPr>
      </w:pPr>
    </w:p>
    <w:p>
      <w:pPr>
        <w:ind w:left="1840" w:right="579" w:hanging="220"/>
        <w:spacing w:after="0" w:line="301"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ordinary shares or ADSs being taken into account in an applicable financial statement;</w:t>
      </w:r>
    </w:p>
    <w:p>
      <w:pPr>
        <w:spacing w:after="0" w:line="9" w:lineRule="exact"/>
        <w:rPr>
          <w:rFonts w:ascii="Arial" w:cs="Arial" w:eastAsia="Arial" w:hAnsi="Arial"/>
          <w:sz w:val="17"/>
          <w:szCs w:val="17"/>
          <w:color w:val="auto"/>
        </w:rPr>
      </w:pPr>
    </w:p>
    <w:p>
      <w:pPr>
        <w:ind w:left="1840" w:right="499" w:hanging="220"/>
        <w:spacing w:after="0" w:line="301"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that own or are deemed to own ten percent or more of our ordinary shares or ADSs by vote or value; and</w:t>
      </w:r>
    </w:p>
    <w:p>
      <w:pPr>
        <w:spacing w:after="0" w:line="9" w:lineRule="exact"/>
        <w:rPr>
          <w:rFonts w:ascii="Arial" w:cs="Arial" w:eastAsia="Arial" w:hAnsi="Arial"/>
          <w:sz w:val="17"/>
          <w:szCs w:val="17"/>
          <w:color w:val="auto"/>
        </w:rPr>
      </w:pPr>
    </w:p>
    <w:p>
      <w:pPr>
        <w:ind w:left="1840" w:right="819" w:hanging="220"/>
        <w:spacing w:after="0" w:line="301"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persons holding our ordinary shares or ADSs in connection with a trade or business, permanent establishment, or fixed base outside the United States.</w:t>
      </w:r>
    </w:p>
    <w:p>
      <w:pPr>
        <w:spacing w:after="0" w:line="77" w:lineRule="exact"/>
        <w:rPr>
          <w:sz w:val="20"/>
          <w:szCs w:val="20"/>
          <w:color w:val="auto"/>
        </w:rPr>
      </w:pPr>
    </w:p>
    <w:p>
      <w:pPr>
        <w:ind w:left="1260" w:right="499"/>
        <w:spacing w:after="0" w:line="259" w:lineRule="auto"/>
        <w:rPr>
          <w:sz w:val="20"/>
          <w:szCs w:val="20"/>
          <w:color w:val="auto"/>
        </w:rPr>
      </w:pPr>
      <w:r>
        <w:rPr>
          <w:rFonts w:ascii="Arial" w:cs="Arial" w:eastAsia="Arial" w:hAnsi="Arial"/>
          <w:sz w:val="17"/>
          <w:szCs w:val="17"/>
          <w:color w:val="auto"/>
        </w:rPr>
        <w:t>If an entity that is classified as a partnership for U.S. federal income tax purposes holds our ordinary shares or ADSs, the U.S. federal income tax treatment of a partner in the partnership will depend on the status of the partner, the activities of the partnership, and certain determinations made at the partner level. Accordingly, partnerships holding our ordinary shares or ADSs and partners in such partnerships are encouraged to consult their tax advisers as to the U.S. federal income tax consequences of owning and disposing of our ordinary shares or ADSs.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579"/>
        <w:spacing w:after="0" w:line="273" w:lineRule="auto"/>
        <w:rPr>
          <w:sz w:val="20"/>
          <w:szCs w:val="20"/>
          <w:color w:val="auto"/>
        </w:rPr>
      </w:pPr>
      <w:r>
        <w:rPr>
          <w:rFonts w:ascii="Arial" w:cs="Arial" w:eastAsia="Arial" w:hAnsi="Arial"/>
          <w:sz w:val="16"/>
          <w:szCs w:val="16"/>
          <w:color w:val="auto"/>
        </w:rPr>
        <w:t>THIS DISCUSSION IS FOR INFORMATIONAL PURPOSES ONLY AND IS NOT TAX ADVICE. INVESTORS SHOULD CONSULT THEIR TAX ADVISORS WITH RESPECT TO THE APPLICATION OF THE U.S. FEDERAL INCOME TAX LAWS TO THEIR PARTICULAR SITUATIONS AS WELL AS ANY TAX CONSEQUENCES OF THE OWNERSHIP AND DISPOSITION OF OUR ORDINARY SHARES OR ADSs ARISING UNDER THE U.S.</w:t>
      </w:r>
    </w:p>
    <w:p>
      <w:pPr>
        <w:spacing w:after="0" w:line="2" w:lineRule="exact"/>
        <w:rPr>
          <w:sz w:val="20"/>
          <w:szCs w:val="20"/>
          <w:color w:val="auto"/>
        </w:rPr>
      </w:pPr>
    </w:p>
    <w:p>
      <w:pPr>
        <w:ind w:left="1260" w:right="399"/>
        <w:spacing w:after="0" w:line="281" w:lineRule="auto"/>
        <w:rPr>
          <w:sz w:val="20"/>
          <w:szCs w:val="20"/>
          <w:color w:val="auto"/>
        </w:rPr>
      </w:pPr>
      <w:r>
        <w:rPr>
          <w:rFonts w:ascii="Arial" w:cs="Arial" w:eastAsia="Arial" w:hAnsi="Arial"/>
          <w:sz w:val="17"/>
          <w:szCs w:val="17"/>
          <w:color w:val="auto"/>
        </w:rPr>
        <w:t>FEDERAL ESTATE OR GIFT TAX LAWS OR UNDER THE LAWS OF ANY STATE, LOCAL, OR NON-U.S. TAXING JURISDICTION OR UNDER ANY APPLICABLE INCOME TAX TREATY.</w:t>
      </w:r>
    </w:p>
    <w:p>
      <w:pPr>
        <w:spacing w:after="0" w:line="93" w:lineRule="exact"/>
        <w:rPr>
          <w:sz w:val="20"/>
          <w:szCs w:val="20"/>
          <w:color w:val="auto"/>
        </w:rPr>
      </w:pPr>
    </w:p>
    <w:p>
      <w:pPr>
        <w:ind w:left="1260" w:right="599"/>
        <w:spacing w:after="0" w:line="266" w:lineRule="auto"/>
        <w:rPr>
          <w:sz w:val="20"/>
          <w:szCs w:val="20"/>
          <w:color w:val="auto"/>
        </w:rPr>
      </w:pPr>
      <w:r>
        <w:rPr>
          <w:rFonts w:ascii="Arial" w:cs="Arial" w:eastAsia="Arial" w:hAnsi="Arial"/>
          <w:sz w:val="17"/>
          <w:szCs w:val="17"/>
          <w:color w:val="auto"/>
        </w:rPr>
        <w:t>For purposes of this discussion, a “U.S. Holder” is a holder who, for U.S. federal income tax purposes, is a beneficial owner of our ordinary shares or ADSs who is eligible for the benefits of the Treaty and is or is treated as any of the following:</w:t>
      </w:r>
    </w:p>
    <w:p>
      <w:pPr>
        <w:spacing w:after="0" w:line="52" w:lineRule="exact"/>
        <w:rPr>
          <w:sz w:val="20"/>
          <w:szCs w:val="20"/>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74" w:lineRule="exact"/>
        <w:rPr>
          <w:rFonts w:ascii="Arial" w:cs="Arial" w:eastAsia="Arial" w:hAnsi="Arial"/>
          <w:sz w:val="17"/>
          <w:szCs w:val="17"/>
          <w:color w:val="auto"/>
        </w:rPr>
      </w:pPr>
    </w:p>
    <w:p>
      <w:pPr>
        <w:ind w:left="1840" w:right="639" w:hanging="220"/>
        <w:spacing w:after="0" w:line="301"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or under the laws of the United States, any state therein, or the District of Columbia;</w:t>
      </w:r>
    </w:p>
    <w:p>
      <w:pPr>
        <w:spacing w:after="0" w:line="9"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w:t>
      </w:r>
    </w:p>
    <w:p>
      <w:pPr>
        <w:spacing w:after="0" w:line="29" w:lineRule="exact"/>
        <w:rPr>
          <w:rFonts w:ascii="Arial" w:cs="Arial" w:eastAsia="Arial" w:hAnsi="Arial"/>
          <w:sz w:val="17"/>
          <w:szCs w:val="17"/>
          <w:color w:val="auto"/>
        </w:rPr>
      </w:pPr>
    </w:p>
    <w:p>
      <w:pPr>
        <w:ind w:left="1840" w:right="619"/>
        <w:spacing w:after="0" w:line="290" w:lineRule="auto"/>
        <w:rPr>
          <w:rFonts w:ascii="Arial" w:cs="Arial" w:eastAsia="Arial" w:hAnsi="Arial"/>
          <w:sz w:val="17"/>
          <w:szCs w:val="17"/>
          <w:color w:val="auto"/>
        </w:rPr>
      </w:pPr>
      <w:r>
        <w:rPr>
          <w:rFonts w:ascii="Arial" w:cs="Arial" w:eastAsia="Arial" w:hAnsi="Arial"/>
          <w:sz w:val="17"/>
          <w:szCs w:val="17"/>
          <w:color w:val="auto"/>
        </w:rPr>
        <w:t>“United States persons” (within​ the meaning of Section 7701(a)(30) of the Code), or (2) has a valid election in effect to be treated as a United States person for U.S. federal income tax purposes.</w:t>
      </w:r>
    </w:p>
    <w:p>
      <w:pPr>
        <w:spacing w:after="0" w:line="86"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The discussion below assumes that the representations contained in the deposit agreement with respect to our ADSs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our ADSs and our company if as a result of such actions the holders of our ADSs are not properly treated as beneficial owners of the underlying ordinary shares.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Passive Foreign Investment Company Rules</w:t>
      </w:r>
    </w:p>
    <w:p>
      <w:pPr>
        <w:spacing w:after="0" w:line="48"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We believe we may be classified as a passive foreign investment company (a “PFIC”) for the current taxable year ending December 31, 2022. We plan to perform an analysis after the close of the current taxable year to determine whether we are treated as a PFIC for such taxable year. A non-U.S. corporation will be classified as a PFIC for any taxable year in which, after applying certain look-through rules, either:</w:t>
      </w:r>
    </w:p>
    <w:p>
      <w:pPr>
        <w:spacing w:after="0" w:line="38" w:lineRule="exact"/>
        <w:rPr>
          <w:sz w:val="20"/>
          <w:szCs w:val="20"/>
          <w:color w:val="auto"/>
        </w:rPr>
      </w:pPr>
    </w:p>
    <w:p>
      <w:pPr>
        <w:ind w:left="1840" w:hanging="220"/>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least 75% of its gross income is passive income (such as interest income); or</w:t>
      </w:r>
    </w:p>
    <w:p>
      <w:pPr>
        <w:spacing w:after="0" w:line="88" w:lineRule="exact"/>
        <w:rPr>
          <w:rFonts w:ascii="Arial" w:cs="Arial" w:eastAsia="Arial" w:hAnsi="Arial"/>
          <w:sz w:val="17"/>
          <w:szCs w:val="17"/>
          <w:color w:val="auto"/>
        </w:rPr>
      </w:pPr>
    </w:p>
    <w:p>
      <w:pPr>
        <w:jc w:val="both"/>
        <w:ind w:left="1840" w:right="539" w:hanging="220"/>
        <w:spacing w:after="0" w:line="301" w:lineRule="auto"/>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least 50% of the value of its assets (generally determined on the basis of a quarterly average) is attributable to assets that produce passive income or are held for the production of passive income.</w:t>
      </w:r>
    </w:p>
    <w:p>
      <w:pPr>
        <w:spacing w:after="0" w:line="77" w:lineRule="exact"/>
        <w:rPr>
          <w:sz w:val="20"/>
          <w:szCs w:val="20"/>
          <w:color w:val="auto"/>
        </w:rPr>
      </w:pPr>
    </w:p>
    <w:p>
      <w:pPr>
        <w:ind w:left="1260" w:right="619"/>
        <w:spacing w:after="0" w:line="266" w:lineRule="auto"/>
        <w:rPr>
          <w:sz w:val="20"/>
          <w:szCs w:val="20"/>
          <w:color w:val="auto"/>
        </w:rPr>
      </w:pPr>
      <w:r>
        <w:rPr>
          <w:rFonts w:ascii="Arial" w:cs="Arial" w:eastAsia="Arial" w:hAnsi="Arial"/>
          <w:sz w:val="17"/>
          <w:szCs w:val="17"/>
          <w:color w:val="auto"/>
        </w:rPr>
        <w:t>For purposes of the above calculations, we will be treated as owning our proportionate share of the assets and earning our proportionate share of the income of any other corporation of which we own, directly or indirectly, 25% or more (by value) of the equity.</w:t>
      </w:r>
    </w:p>
    <w:p>
      <w:pPr>
        <w:spacing w:after="0" w:line="106" w:lineRule="exact"/>
        <w:rPr>
          <w:sz w:val="20"/>
          <w:szCs w:val="20"/>
          <w:color w:val="auto"/>
        </w:rPr>
      </w:pPr>
    </w:p>
    <w:p>
      <w:pPr>
        <w:ind w:left="1260" w:right="419"/>
        <w:spacing w:after="0" w:line="260" w:lineRule="auto"/>
        <w:rPr>
          <w:sz w:val="20"/>
          <w:szCs w:val="20"/>
          <w:color w:val="auto"/>
        </w:rPr>
      </w:pPr>
      <w:r>
        <w:rPr>
          <w:rFonts w:ascii="Arial" w:cs="Arial" w:eastAsia="Arial" w:hAnsi="Arial"/>
          <w:sz w:val="17"/>
          <w:szCs w:val="17"/>
          <w:color w:val="auto"/>
        </w:rPr>
        <w:t>A separate determination must be made after the close of each taxable year as to whether we were a PFIC for that year. As a result, our PFIC status may change. This analysis is factual, and it is possible that we may be treated as a PFIC even if we start generating substantial revenue from our business operations. In addition, the total value of our assets for purposes of the asset test generally will be calculated using the aggregate value of our outstanding equity, which may fluctuate considerably. Fluctuations in the market price of our ordinary shares or ADSs may result in our being a PFIC for any taxable year. In addition, our PFIC status may be affected by changes in the composition of our income or assets, including by how, and how quickly, we spend the cash we raise in any offering, including this offering.</w:t>
      </w:r>
    </w:p>
    <w:p>
      <w:pPr>
        <w:spacing w:after="0" w:line="115"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tests described above, unless (1) we cease to be a PFIC and the U.S. Holder has made a “deemed sale” election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under the PFIC rules, or (2) the U.S. Holder makes a QEF Election (defined below) with respect to all taxable years in which we are a PFIC during the U.S. Holder’s holding period or makes a purging election to cause a deemed sale of the ordinary shares or ADSs at their fair market value in conjunction with a QEF Election. If any such election is made, the U.S. Holder will be deemed to have sold our ordinary shares or ADSs it holds at their fair market value and any gain from such deemed sale would be subject to the rules described below. After the deemed sale election, so long as we do not become a PFIC in a subsequent taxable year, the ordinary shares or ADSs with respect to which such election was made will not be treated as shares in a PFIC and the U.S. Holder will not be subject to the rules described below with respect to any “excess distribution” it receives from us or any gain from an actual sale or other disposition of our ordinary shares or ADSs. If we are treated as a PFIC with respect to a U.S. Holder, and subsequently cease to be a PFIC, such U.S. Holders should consult their tax advisors as to the possibility and consequences of making a deemed sale election.</w:t>
      </w:r>
    </w:p>
    <w:p>
      <w:pPr>
        <w:spacing w:after="0" w:line="121"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If we are treated as a PFIC with respect to a U.S. Holder, such holder will be subject to special tax rules with respect to any “excess distribution” it receives and any gain it recognizes from a sale or other disposition (including a pledge) of our ordinary shares or ADSs, unless such holder makes a QEF Election or a mark-to-market election as discussed below. Distributions that a U.S. Holder receives in a taxable year that are greater than 125% of the average annual distributions received during the shorter of the three preceding taxable years or such holder’s holding period for our ordinary shares or ADSs will be treated as an excess distribution. Under these special tax rules:</w:t>
      </w:r>
    </w:p>
    <w:p>
      <w:pPr>
        <w:spacing w:after="0" w:line="43" w:lineRule="exact"/>
        <w:rPr>
          <w:sz w:val="20"/>
          <w:szCs w:val="20"/>
          <w:color w:val="auto"/>
        </w:rPr>
      </w:pPr>
    </w:p>
    <w:p>
      <w:pPr>
        <w:ind w:left="1840" w:right="859" w:hanging="220"/>
        <w:spacing w:after="0" w:line="301" w:lineRule="auto"/>
        <w:tabs>
          <w:tab w:leader="none" w:pos="1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such holder’s holding period for our ordinary shares or ADSs;</w:t>
      </w:r>
    </w:p>
    <w:p>
      <w:pPr>
        <w:spacing w:after="0" w:line="9" w:lineRule="exact"/>
        <w:rPr>
          <w:rFonts w:ascii="Arial" w:cs="Arial" w:eastAsia="Arial" w:hAnsi="Arial"/>
          <w:sz w:val="17"/>
          <w:szCs w:val="17"/>
          <w:color w:val="auto"/>
        </w:rPr>
      </w:pPr>
    </w:p>
    <w:p>
      <w:pPr>
        <w:ind w:left="1840" w:right="579" w:hanging="220"/>
        <w:spacing w:after="0" w:line="301" w:lineRule="auto"/>
        <w:tabs>
          <w:tab w:leader="none" w:pos="1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taxable year prior to the first taxable year in which we became a PFIC, will be treated as ordinary income; and</w:t>
      </w:r>
    </w:p>
    <w:p>
      <w:pPr>
        <w:spacing w:after="0" w:line="9" w:lineRule="exact"/>
        <w:rPr>
          <w:rFonts w:ascii="Arial" w:cs="Arial" w:eastAsia="Arial" w:hAnsi="Arial"/>
          <w:sz w:val="17"/>
          <w:szCs w:val="17"/>
          <w:color w:val="auto"/>
        </w:rPr>
      </w:pPr>
    </w:p>
    <w:p>
      <w:pPr>
        <w:ind w:left="1840" w:right="419" w:hanging="220"/>
        <w:spacing w:after="0" w:line="283" w:lineRule="auto"/>
        <w:tabs>
          <w:tab w:leader="none" w:pos="1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92" w:lineRule="exact"/>
        <w:rPr>
          <w:sz w:val="20"/>
          <w:szCs w:val="20"/>
          <w:color w:val="auto"/>
        </w:rPr>
      </w:pPr>
    </w:p>
    <w:p>
      <w:pPr>
        <w:ind w:left="1260" w:right="499"/>
        <w:spacing w:after="0" w:line="266" w:lineRule="auto"/>
        <w:rPr>
          <w:sz w:val="20"/>
          <w:szCs w:val="20"/>
          <w:color w:val="auto"/>
        </w:rPr>
      </w:pPr>
      <w:r>
        <w:rPr>
          <w:rFonts w:ascii="Arial" w:cs="Arial" w:eastAsia="Arial" w:hAnsi="Arial"/>
          <w:sz w:val="17"/>
          <w:szCs w:val="17"/>
          <w:color w:val="auto"/>
        </w:rPr>
        <w:t>The tax liability for amounts allocated to years prior to the year of disposition or “excess distribution” cannot be offset by any net operating losses for such years, and gains (but not losses) realized on the sale or other disposition of our ordinary shares or ADSs cannot be treated as capital, even if the U.S. Holder holds our ordinary shares or ADSs as capital assets.</w:t>
      </w:r>
    </w:p>
    <w:p>
      <w:pPr>
        <w:spacing w:after="0" w:line="105" w:lineRule="exact"/>
        <w:rPr>
          <w:sz w:val="20"/>
          <w:szCs w:val="20"/>
          <w:color w:val="auto"/>
        </w:rPr>
      </w:pPr>
    </w:p>
    <w:p>
      <w:pPr>
        <w:ind w:left="1260" w:right="539"/>
        <w:spacing w:after="0" w:line="261" w:lineRule="auto"/>
        <w:rPr>
          <w:sz w:val="20"/>
          <w:szCs w:val="20"/>
          <w:color w:val="auto"/>
        </w:rPr>
      </w:pPr>
      <w:r>
        <w:rPr>
          <w:rFonts w:ascii="Arial" w:cs="Arial" w:eastAsia="Arial" w:hAnsi="Arial"/>
          <w:sz w:val="17"/>
          <w:szCs w:val="17"/>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12"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color w:val="auto"/>
        </w:rPr>
        <w:t>U.S. Holders can avoid the interest charge on excess distributions or gain relating to our ordinary shares or ADSs by making a mark-to-market election with respect to our ordinary shares or ADSs, provided that our ordinary shares or ADSs are treated as “marketable stock”. Our ordinary shares or ADSs will be treated as “marketable stock” if they are “regularly traded” on a qualified exchange or other market, as defined in applicable U.S. Treasury regulations. For these purposes, our ordinary shares or ADSs will be considered “regularly traded” during any calendar year during which they are traded, other than in de minimis quantities, on at least 15 days during such calendar quarter. Any trades that have as their principal purpose meeting this requirement will be disregarded. Our ADSs are listed on The Nasdaq Global Market, which is a qualified exchange for these purposes. Consequently, if our ADSs remain listed on The Nasdaq Global Market and are regularly traded, we expect the mark-to-market election would be available to U.S. Holders of such ADSs if we are a PFIC. If we are a PFIC, each U.S. Holder should consult its tax advisor as to whether a mark-to-market election is available or advisable with respect to our ordinary shares or ADSs.</w:t>
      </w:r>
    </w:p>
    <w:p>
      <w:pPr>
        <w:spacing w:after="0" w:line="121" w:lineRule="exact"/>
        <w:rPr>
          <w:sz w:val="20"/>
          <w:szCs w:val="20"/>
          <w:color w:val="auto"/>
        </w:rPr>
      </w:pPr>
    </w:p>
    <w:p>
      <w:pPr>
        <w:ind w:left="1260" w:right="419"/>
        <w:spacing w:after="0" w:line="259"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our ordinary shares or ADSs at the close of the taxable year over the U.S. Holder’s adjusted tax basis in our ordinary shares or ADSs. Accordingly, a mark-to-market election may accelerate the recognition of income without a corresponding receipt of cash. An electing holder may also claim an ordinary loss deduction for the excess, if any, of the U.S. Holder’s adjusted basis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our ordinary shares or ADSs over the fair market value of our ordinary shares or ADSs at the close of the taxable year, but this deduction is allowable only to the extent of any net mark-to-market gains for</w:t>
      </w:r>
    </w:p>
    <w:p>
      <w:pPr>
        <w:spacing w:after="0" w:line="1"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prior years. Amounts included in a U.S. Holder’s income under a mark-to-market election, as well as any gain from an actual sale or other disposition of our ordinary shares or ADSs will be treated as ordinary income, and any losses incurred on a sale or other disposition of our ordinary shares or ADSs will be treated as an ordinary loss (to the extent of any net mark-to-market gains for prior years). A U.S. Holder’s basis in our ordinary shares or ADSs will be adjusted to reflect any such income or loss amounts. If a U.S. Holder makes a valid mark-to-market election, the tax rules that apply to distributions by corporations which are not PFICs would apply to distributions by us, except the lower applicable tax rates for qualified dividend income would not apply. If we cease to be a PFIC when a U.S. Holder has a mark-to-market election in effect, gain or loss realized by such holder on the subsequent sale of our ordinary shares or ADSs will be a capital gain or loss and taxed in the manner described below under “—Sale or Other Taxable Disposition of Our Ordinary Shares or ADSs.” Once made, the election cannot be revoked without the consent of the IRS, unless our ordinary shares or ADSs cease to be marketable.</w:t>
      </w:r>
    </w:p>
    <w:p>
      <w:pPr>
        <w:spacing w:after="0" w:line="122"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02"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121"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Accordingly, a QEF Election may accelerate the recognition of income or gain without a corresponding receipt of cash. If a U.S. Holder makes a QEF Election with respect to us, any distributions paid by us out of our earnings and profits that were previously included in the holder’s income under the QEF Election would not be taxable to the holder. A U.S. Holder will increase its tax basis in our ordinary shares or ADSs by an amount equal to any income included under the QEF Election and will decrease its tax basis by any amount distributed on our ordinary shares or ADSs that is not included in the holder’s income. In addition, a U.S. Holder will recognize capital gain or loss on the disposition of our ordinary shares or ADSs in an amount equal to the difference between the amount realized and the holder’s adjusted tax basis in our ordinary shares or ADSs. U.S. Holders should note that if they make QEF Elections with respect to us and lower-tier PFICs, they may be required to pay U.S. federal income tax with respect to our ordinary shares or ADSs for any taxable year significantly in excess of any cash distributions received on our ordinary shares or ADSs for such taxable year. U.S. Holders should consult their tax advisors regarding making QEF Elections in their particular circumstances.</w:t>
      </w:r>
    </w:p>
    <w:p>
      <w:pPr>
        <w:spacing w:after="0" w:line="127"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Unless otherwise provided by the U.S. Treasury, each U.S. 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Taxation of Distributions</w:t>
      </w:r>
    </w:p>
    <w:p>
      <w:pPr>
        <w:spacing w:after="0" w:line="61"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As discussed above under “Dividend Policy,” we do not anticipate paying any cash dividends on our ordinary shares or ADSs in the foreseeable future. In the event we do pay any distributions, subject to the discussion above under “Passive Foreign Investment Company Rules,” distributions paid on our ordinary shares or ADSs, other than certain pro rata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 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134"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our ordinary shares or ADSs at a rate not exceeding the rate provided by the Treaty may be creditable against the U.S. Holder’s U.S. federal income tax liability. The rules governing foreign tax credits are complex, there are significant and complex limits on a U.S. Holder’s ability to claim foreign tax credits, and recently issued U.S. Treasury regulations that apply to foreign income taxes paid or accrued in taxable years beginning on or after December 28, 2021 further restrict the availability of any such credit based on the nature of the withholding tax imposed by the foreign jurisdiction. U.S. Holders should consult their tax advisers regarding the creditability of foreign taxes in their particular circumstances.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Sale or Other Taxable Disposition of Our Ordinary Shares or ADSs</w:t>
      </w:r>
    </w:p>
    <w:p>
      <w:pPr>
        <w:spacing w:after="0" w:line="61"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Subject to the discussion above under “Passive Foreign Investment Company Rules,” gain or loss realized on the sale or other taxable disposition of our ordinary shares or ADSs will be capital gain or loss, and will be long-term capital gain or loss if the U.S. Holder held our ordinary shares or ADSs for more than one year. The amount of the gain or loss will equal the difference between the U.S. Holder’s tax basis in our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102"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our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such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holder will recognize foreign currency gain or loss to the extent of any difference between the U.S. dollar amount realized on the date of sale or other disposition and the U.S. dollar value of the currency received at the spot rate on the settlement date.</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b w:val="1"/>
          <w:bCs w:val="1"/>
          <w:color w:val="auto"/>
        </w:rPr>
        <w:t>WE STRONGLY URGE INVESTORS IN OUR ORDINARY SHARES OR ADSs TO CONSULT THEIR TAX ADVISORS REGARDING THE IMPACT OF OUR PFIC STATUS ON THEIR INVESTMENT IN OUR ORDINARY SHARES OR ADSs AS WELL AS THE APPLICATION OF THE PFIC RULES TO SUCH INVESTMENT IN OUR ORDINARY SHARES OR ADSs.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8"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09" w:lineRule="exact"/>
        <w:rPr>
          <w:sz w:val="20"/>
          <w:szCs w:val="20"/>
          <w:color w:val="auto"/>
        </w:rPr>
      </w:pPr>
    </w:p>
    <w:p>
      <w:pPr>
        <w:jc w:val="both"/>
        <w:ind w:left="1260" w:right="439"/>
        <w:spacing w:after="0" w:line="266" w:lineRule="auto"/>
        <w:rPr>
          <w:sz w:val="20"/>
          <w:szCs w:val="20"/>
          <w:color w:val="auto"/>
        </w:rPr>
      </w:pPr>
      <w:r>
        <w:rPr>
          <w:rFonts w:ascii="Arial" w:cs="Arial" w:eastAsia="Arial" w:hAnsi="Arial"/>
          <w:sz w:val="17"/>
          <w:szCs w:val="17"/>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48" w:lineRule="exact"/>
        <w:rPr>
          <w:sz w:val="20"/>
          <w:szCs w:val="20"/>
          <w:color w:val="auto"/>
        </w:rPr>
      </w:pPr>
    </w:p>
    <w:p>
      <w:pPr>
        <w:ind w:left="1260" w:right="459"/>
        <w:spacing w:after="0" w:line="261" w:lineRule="auto"/>
        <w:rPr>
          <w:sz w:val="20"/>
          <w:szCs w:val="20"/>
          <w:color w:val="auto"/>
        </w:rPr>
      </w:pPr>
      <w:r>
        <w:rPr>
          <w:rFonts w:ascii="Arial" w:cs="Arial" w:eastAsia="Arial" w:hAnsi="Arial"/>
          <w:sz w:val="17"/>
          <w:szCs w:val="17"/>
          <w:color w:val="auto"/>
        </w:rPr>
        <w:t>Certain U.S. Holders who are individuals (and, under proposed regulations, certain entities) may be required to report information relating to our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our ordinary shares or ADSs.</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Certain Material Tax Considerations for U.K. Holders</w:t>
      </w:r>
    </w:p>
    <w:p>
      <w:pPr>
        <w:spacing w:after="0" w:line="156"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The following paragraphs are intended as a general guide to current U.K. tax law and HM Revenue &amp; Customs published practice applying as at the date of this prospectus supplement (both of which are subject to change at any time, possibly with retrospective effect) relating to the holding of ADSs. They do not constitute legal or tax advice and do not purport to be a complete analysis of all U.K. tax considerations relating to the holding of ADSs. They relate only to persons who are absolute beneficial owners of ADSs (and where the ADSs are not held through an Individual Savings Account or a Self-Invested Personal Pension) and who are resident for tax purposes in (and only in) the U.K. (“U.K. Holders”) (except to the extent that the position of non-U.K. resident persons is expressly referred to).</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These paragraphs may not relate to certain classes of U.K. Holders, such as (but not limited to):</w:t>
      </w:r>
    </w:p>
    <w:p>
      <w:pPr>
        <w:spacing w:after="0" w:line="75" w:lineRule="exact"/>
        <w:rPr>
          <w:sz w:val="20"/>
          <w:szCs w:val="20"/>
          <w:color w:val="auto"/>
        </w:rPr>
      </w:pPr>
    </w:p>
    <w:p>
      <w:pPr>
        <w:ind w:left="1840" w:hanging="220"/>
        <w:spacing w:after="0"/>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persons who are connected with the Company;</w:t>
      </w:r>
    </w:p>
    <w:p>
      <w:pPr>
        <w:spacing w:after="0" w:line="74" w:lineRule="exact"/>
        <w:rPr>
          <w:rFonts w:ascii="Arial" w:cs="Arial" w:eastAsia="Arial" w:hAnsi="Arial"/>
          <w:sz w:val="17"/>
          <w:szCs w:val="17"/>
          <w:color w:val="auto"/>
        </w:rPr>
      </w:pPr>
    </w:p>
    <w:p>
      <w:pPr>
        <w:ind w:left="1840" w:hanging="220"/>
        <w:spacing w:after="0"/>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61" w:lineRule="exact"/>
        <w:rPr>
          <w:rFonts w:ascii="Arial" w:cs="Arial" w:eastAsia="Arial" w:hAnsi="Arial"/>
          <w:sz w:val="17"/>
          <w:szCs w:val="17"/>
          <w:color w:val="auto"/>
        </w:rPr>
      </w:pPr>
    </w:p>
    <w:p>
      <w:pPr>
        <w:ind w:left="1840" w:hanging="220"/>
        <w:spacing w:after="0"/>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charities;</w:t>
      </w:r>
    </w:p>
    <w:p>
      <w:pPr>
        <w:spacing w:after="0" w:line="61" w:lineRule="exact"/>
        <w:rPr>
          <w:rFonts w:ascii="Arial" w:cs="Arial" w:eastAsia="Arial" w:hAnsi="Arial"/>
          <w:sz w:val="17"/>
          <w:szCs w:val="17"/>
          <w:color w:val="auto"/>
        </w:rPr>
      </w:pPr>
    </w:p>
    <w:p>
      <w:pPr>
        <w:ind w:left="1840" w:hanging="220"/>
        <w:spacing w:after="0"/>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collective investment schemes;</w:t>
      </w:r>
    </w:p>
    <w:p>
      <w:pPr>
        <w:spacing w:after="0" w:line="74" w:lineRule="exact"/>
        <w:rPr>
          <w:rFonts w:ascii="Arial" w:cs="Arial" w:eastAsia="Arial" w:hAnsi="Arial"/>
          <w:sz w:val="17"/>
          <w:szCs w:val="17"/>
          <w:color w:val="auto"/>
        </w:rPr>
      </w:pPr>
    </w:p>
    <w:p>
      <w:pPr>
        <w:ind w:left="1840" w:hanging="220"/>
        <w:spacing w:after="0"/>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pension schemes;</w:t>
      </w:r>
    </w:p>
    <w:p>
      <w:pPr>
        <w:spacing w:after="0" w:line="61" w:lineRule="exact"/>
        <w:rPr>
          <w:rFonts w:ascii="Arial" w:cs="Arial" w:eastAsia="Arial" w:hAnsi="Arial"/>
          <w:sz w:val="17"/>
          <w:szCs w:val="17"/>
          <w:color w:val="auto"/>
        </w:rPr>
      </w:pPr>
    </w:p>
    <w:p>
      <w:pPr>
        <w:ind w:left="1840" w:hanging="220"/>
        <w:spacing w:after="0"/>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brokers or dealers in securities or persons who hold ADSs otherwise than as an investment;</w:t>
      </w:r>
    </w:p>
    <w:p>
      <w:pPr>
        <w:spacing w:after="0" w:line="74" w:lineRule="exact"/>
        <w:rPr>
          <w:rFonts w:ascii="Arial" w:cs="Arial" w:eastAsia="Arial" w:hAnsi="Arial"/>
          <w:sz w:val="17"/>
          <w:szCs w:val="17"/>
          <w:color w:val="auto"/>
        </w:rPr>
      </w:pPr>
    </w:p>
    <w:p>
      <w:pPr>
        <w:jc w:val="both"/>
        <w:ind w:left="1840" w:right="439" w:hanging="220"/>
        <w:spacing w:after="0" w:line="283" w:lineRule="auto"/>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persons who have (or are deemed to have) acquired their ADSs by virtue of an office or employment or who are or have been officers or employees of the Company or any of its affiliates; and individuals who are subject to U.K. taxation on a remittance basis.</w:t>
      </w:r>
    </w:p>
    <w:p>
      <w:pPr>
        <w:spacing w:after="0" w:line="78" w:lineRule="exact"/>
        <w:rPr>
          <w:sz w:val="20"/>
          <w:szCs w:val="20"/>
          <w:color w:val="auto"/>
        </w:rPr>
      </w:pPr>
    </w:p>
    <w:p>
      <w:pPr>
        <w:ind w:left="1260" w:right="559"/>
        <w:spacing w:after="0" w:line="266" w:lineRule="auto"/>
        <w:rPr>
          <w:sz w:val="20"/>
          <w:szCs w:val="20"/>
          <w:color w:val="auto"/>
        </w:rPr>
      </w:pPr>
      <w:r>
        <w:rPr>
          <w:rFonts w:ascii="Arial" w:cs="Arial" w:eastAsia="Arial" w:hAnsi="Arial"/>
          <w:sz w:val="17"/>
          <w:szCs w:val="17"/>
          <w:color w:val="auto"/>
        </w:rPr>
        <w:t>These paragraphs do not describe all of the circumstances in which holders of ADSs may benefit from an exemption or relief from U.K. taxation. It is recommended that all holders of ADSs obtain their own tax advice. In particular, non-U.K. resident or domiciled persons are advised to consider the potential impact of any relevant double tax agreements.</w:t>
      </w:r>
    </w:p>
    <w:p>
      <w:pPr>
        <w:spacing w:after="0" w:line="105" w:lineRule="exact"/>
        <w:rPr>
          <w:sz w:val="20"/>
          <w:szCs w:val="20"/>
          <w:color w:val="auto"/>
        </w:rPr>
      </w:pPr>
    </w:p>
    <w:p>
      <w:pPr>
        <w:jc w:val="both"/>
        <w:ind w:left="1260" w:right="639"/>
        <w:spacing w:after="0" w:line="274" w:lineRule="auto"/>
        <w:rPr>
          <w:sz w:val="20"/>
          <w:szCs w:val="20"/>
          <w:color w:val="auto"/>
        </w:rPr>
      </w:pPr>
      <w:r>
        <w:rPr>
          <w:rFonts w:ascii="Arial" w:cs="Arial" w:eastAsia="Arial" w:hAnsi="Arial"/>
          <w:sz w:val="17"/>
          <w:szCs w:val="17"/>
          <w:color w:val="auto"/>
        </w:rPr>
        <w:t>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Dividends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Withholding Tax</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Dividends paid by the Company will not be subject to any withholding or deduction for or on account of U.K.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tax, irrespective of the residence or particular circumstances of the holders of ordinary shares or ADSs.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Income Tax</w:t>
      </w:r>
    </w:p>
    <w:p>
      <w:pPr>
        <w:spacing w:after="0" w:line="59"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An individual U.K. Holder may, depending on his or her particular circumstances, be subject to U.K. tax on dividends received from the Company. An individual holder of ADSs who is not resident for tax purposes in the U.K. should not be chargeable to U.K. income tax on dividends received from the Company unless he or she carries on (whether solely or in partnership) any trade, profession or vocation in the U.K. through a branch or agency to which the ADSs are attributable (subject to certain exceptions for trading through independent agents, such as some brokers and investment managers).</w:t>
      </w:r>
    </w:p>
    <w:p>
      <w:pPr>
        <w:spacing w:after="0" w:line="115" w:lineRule="exact"/>
        <w:rPr>
          <w:sz w:val="20"/>
          <w:szCs w:val="20"/>
          <w:color w:val="auto"/>
        </w:rPr>
      </w:pPr>
    </w:p>
    <w:p>
      <w:pPr>
        <w:ind w:left="1260" w:right="659"/>
        <w:spacing w:after="0" w:line="277" w:lineRule="auto"/>
        <w:rPr>
          <w:sz w:val="20"/>
          <w:szCs w:val="20"/>
          <w:color w:val="auto"/>
        </w:rPr>
      </w:pPr>
      <w:r>
        <w:rPr>
          <w:rFonts w:ascii="Arial" w:cs="Arial" w:eastAsia="Arial" w:hAnsi="Arial"/>
          <w:sz w:val="17"/>
          <w:szCs w:val="17"/>
          <w:color w:val="auto"/>
        </w:rPr>
        <w:t>All individual U.K. Holders will receive a tax-free allowance of £2,000 per annum (for tax year 2022/2023). Dividend income in excess of this tax-free allowance will be charged at 8.75% for basic rate taxpayers, 33.75% for higher rate taxpayers, and 39.35% for additional rate taxpayers (for tax year 2022/2023). Dividend income is treated as the top slice of the total income chargeable to U.K. income tax.</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Corporation Tax</w:t>
      </w:r>
    </w:p>
    <w:p>
      <w:pPr>
        <w:spacing w:after="0" w:line="59" w:lineRule="exact"/>
        <w:rPr>
          <w:sz w:val="20"/>
          <w:szCs w:val="20"/>
          <w:color w:val="auto"/>
        </w:rPr>
      </w:pPr>
    </w:p>
    <w:p>
      <w:pPr>
        <w:ind w:left="1260" w:right="819"/>
        <w:spacing w:after="0" w:line="283" w:lineRule="auto"/>
        <w:rPr>
          <w:sz w:val="20"/>
          <w:szCs w:val="20"/>
          <w:color w:val="auto"/>
        </w:rPr>
      </w:pPr>
      <w:r>
        <w:rPr>
          <w:rFonts w:ascii="Arial" w:cs="Arial" w:eastAsia="Arial" w:hAnsi="Arial"/>
          <w:sz w:val="17"/>
          <w:szCs w:val="17"/>
          <w:color w:val="auto"/>
        </w:rPr>
        <w:t>Corporate U.K. Holders should not be subject to U.K. corporation tax on any dividend received from the Company so long as the dividends qualify for exemption, which should be the case, although certain conditions are met (including anti-avoidance conditions).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Chargeable Gains</w:t>
      </w:r>
    </w:p>
    <w:p>
      <w:pPr>
        <w:spacing w:after="0" w:line="61" w:lineRule="exact"/>
        <w:rPr>
          <w:sz w:val="20"/>
          <w:szCs w:val="20"/>
          <w:color w:val="auto"/>
        </w:rPr>
      </w:pPr>
    </w:p>
    <w:p>
      <w:pPr>
        <w:ind w:left="1260" w:right="459"/>
        <w:spacing w:after="0" w:line="283" w:lineRule="auto"/>
        <w:rPr>
          <w:sz w:val="20"/>
          <w:szCs w:val="20"/>
          <w:color w:val="auto"/>
        </w:rPr>
      </w:pPr>
      <w:r>
        <w:rPr>
          <w:rFonts w:ascii="Arial" w:cs="Arial" w:eastAsia="Arial" w:hAnsi="Arial"/>
          <w:sz w:val="17"/>
          <w:szCs w:val="17"/>
          <w:color w:val="auto"/>
        </w:rPr>
        <w:t>A disposal of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105" w:lineRule="exact"/>
        <w:rPr>
          <w:sz w:val="20"/>
          <w:szCs w:val="20"/>
          <w:color w:val="auto"/>
        </w:rPr>
      </w:pPr>
    </w:p>
    <w:p>
      <w:pPr>
        <w:ind w:left="1260" w:right="519"/>
        <w:spacing w:after="0" w:line="272" w:lineRule="auto"/>
        <w:rPr>
          <w:sz w:val="20"/>
          <w:szCs w:val="20"/>
          <w:color w:val="auto"/>
        </w:rPr>
      </w:pPr>
      <w:r>
        <w:rPr>
          <w:rFonts w:ascii="Arial" w:cs="Arial" w:eastAsia="Arial" w:hAnsi="Arial"/>
          <w:sz w:val="17"/>
          <w:szCs w:val="17"/>
          <w:color w:val="auto"/>
        </w:rPr>
        <w:t>If an individual U.K. Holder who is subject to U.K. income tax at either the higher or the additional rate becomes liable to U.K. capital gains tax on the disposal of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w:t>
      </w:r>
    </w:p>
    <w:p>
      <w:pPr>
        <w:spacing w:after="0" w:line="102" w:lineRule="exact"/>
        <w:rPr>
          <w:sz w:val="20"/>
          <w:szCs w:val="20"/>
          <w:color w:val="auto"/>
        </w:rPr>
      </w:pPr>
    </w:p>
    <w:p>
      <w:pPr>
        <w:ind w:left="1260" w:right="599"/>
        <w:spacing w:after="0" w:line="301" w:lineRule="auto"/>
        <w:rPr>
          <w:sz w:val="20"/>
          <w:szCs w:val="20"/>
          <w:color w:val="auto"/>
        </w:rPr>
      </w:pPr>
      <w:r>
        <w:rPr>
          <w:rFonts w:ascii="Arial" w:cs="Arial" w:eastAsia="Arial" w:hAnsi="Arial"/>
          <w:sz w:val="17"/>
          <w:szCs w:val="17"/>
          <w:color w:val="auto"/>
        </w:rPr>
        <w:t>If a corporate U.K. Holder becomes liable to U.K. corporation tax on the disposal of ADSs, the main rate of U.K. corporation tax (19% for tax year 2022/2023) would apply.</w:t>
      </w:r>
    </w:p>
    <w:p>
      <w:pPr>
        <w:spacing w:after="0" w:line="90" w:lineRule="exact"/>
        <w:rPr>
          <w:sz w:val="20"/>
          <w:szCs w:val="20"/>
          <w:color w:val="auto"/>
        </w:rPr>
      </w:pPr>
    </w:p>
    <w:p>
      <w:pPr>
        <w:jc w:val="both"/>
        <w:ind w:left="1260" w:right="819"/>
        <w:spacing w:after="0" w:line="268" w:lineRule="auto"/>
        <w:rPr>
          <w:sz w:val="20"/>
          <w:szCs w:val="20"/>
          <w:color w:val="auto"/>
        </w:rPr>
      </w:pPr>
      <w:r>
        <w:rPr>
          <w:rFonts w:ascii="Arial" w:cs="Arial" w:eastAsia="Arial" w:hAnsi="Arial"/>
          <w:sz w:val="17"/>
          <w:szCs w:val="17"/>
          <w:color w:val="auto"/>
        </w:rPr>
        <w:t>A holder of ADSs which is not resident for tax purposes in the U.K. should not normally be liable to U.K. capital gains tax or corporation tax on chargeable gains on a disposal of ADSs. However, an individual holder of ADSs who has ceased to be resident for tax purposes in the U.K. for a period of less than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five years and who disposes of ADSs during that period may be liable on his or her return to the U.K. to U.K.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tax on any capital gain realized (subject to any available exemption or relief).</w:t>
      </w:r>
    </w:p>
    <w:p>
      <w:pPr>
        <w:spacing w:after="0" w:line="160" w:lineRule="exact"/>
        <w:rPr>
          <w:sz w:val="20"/>
          <w:szCs w:val="20"/>
          <w:color w:val="auto"/>
        </w:rPr>
      </w:pPr>
    </w:p>
    <w:p>
      <w:pPr>
        <w:ind w:left="1260" w:right="419"/>
        <w:spacing w:after="0" w:line="301" w:lineRule="auto"/>
        <w:rPr>
          <w:sz w:val="20"/>
          <w:szCs w:val="20"/>
          <w:color w:val="auto"/>
        </w:rPr>
      </w:pPr>
      <w:r>
        <w:rPr>
          <w:rFonts w:ascii="Arial" w:cs="Arial" w:eastAsia="Arial" w:hAnsi="Arial"/>
          <w:sz w:val="17"/>
          <w:szCs w:val="17"/>
          <w:color w:val="auto"/>
        </w:rPr>
        <w:t>Any gains or losses in respect of currency fluctuations relating to the ADSs would be brought into account on the disposal.</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Stamp Duty and Stamp Duty Reserve Tax (“SDRT”)</w:t>
      </w:r>
    </w:p>
    <w:p>
      <w:pPr>
        <w:spacing w:after="0" w:line="61" w:lineRule="exact"/>
        <w:rPr>
          <w:sz w:val="20"/>
          <w:szCs w:val="20"/>
          <w:color w:val="auto"/>
        </w:rPr>
      </w:pPr>
    </w:p>
    <w:p>
      <w:pPr>
        <w:ind w:left="1260" w:right="439"/>
        <w:spacing w:after="0" w:line="301" w:lineRule="auto"/>
        <w:rPr>
          <w:sz w:val="20"/>
          <w:szCs w:val="20"/>
          <w:color w:val="auto"/>
        </w:rPr>
      </w:pPr>
      <w:r>
        <w:rPr>
          <w:rFonts w:ascii="Arial" w:cs="Arial" w:eastAsia="Arial" w:hAnsi="Arial"/>
          <w:sz w:val="17"/>
          <w:szCs w:val="17"/>
          <w:color w:val="auto"/>
        </w:rPr>
        <w:t>The discussion below is intended as a general guide to the current position relating to stamp duty and SDRT and applies to holders of ADSs wherever resident.</w:t>
      </w:r>
    </w:p>
    <w:p>
      <w:pPr>
        <w:spacing w:after="0" w:line="77" w:lineRule="exact"/>
        <w:rPr>
          <w:sz w:val="20"/>
          <w:szCs w:val="20"/>
          <w:color w:val="auto"/>
        </w:rPr>
      </w:pPr>
    </w:p>
    <w:p>
      <w:pPr>
        <w:ind w:left="1260" w:right="559"/>
        <w:spacing w:after="0" w:line="274" w:lineRule="auto"/>
        <w:rPr>
          <w:sz w:val="20"/>
          <w:szCs w:val="20"/>
          <w:color w:val="auto"/>
        </w:rPr>
      </w:pPr>
      <w:r>
        <w:rPr>
          <w:rFonts w:ascii="Arial" w:cs="Arial" w:eastAsia="Arial" w:hAnsi="Arial"/>
          <w:sz w:val="17"/>
          <w:szCs w:val="17"/>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of the value of the consideration.</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 SDRT will be payable in respect of agreement to transfer an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UNDERWRITING</w:t>
      </w:r>
    </w:p>
    <w:p>
      <w:pPr>
        <w:spacing w:after="0" w:line="357" w:lineRule="exact"/>
        <w:rPr>
          <w:sz w:val="20"/>
          <w:szCs w:val="20"/>
          <w:color w:val="auto"/>
        </w:rPr>
      </w:pPr>
    </w:p>
    <w:p>
      <w:pPr>
        <w:ind w:left="1260" w:right="439"/>
        <w:spacing w:after="0" w:line="282" w:lineRule="auto"/>
        <w:rPr>
          <w:sz w:val="20"/>
          <w:szCs w:val="20"/>
          <w:color w:val="auto"/>
        </w:rPr>
      </w:pPr>
      <w:r>
        <w:rPr>
          <w:rFonts w:ascii="Arial" w:cs="Arial" w:eastAsia="Arial" w:hAnsi="Arial"/>
          <w:sz w:val="17"/>
          <w:szCs w:val="17"/>
          <w:color w:val="auto"/>
        </w:rPr>
        <w:t>Subject to the terms and conditions set forth in the underwriting agreement, dated August 10, 2022, by and among us and Jefferies LLC, Piper Sandler &amp; Co., and Truist Securities, Inc., as the representatives of the underwriters named below and the joint book-running managers of this offering, we have agreed to sell to the underwriters, and each of the underwriters has agreed, severally and not jointly, to purchase from us, the respective number of ADSs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367"/>
        </w:trPr>
        <w:tc>
          <w:tcPr>
            <w:tcW w:w="658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680" w:type="dxa"/>
            <w:vAlign w:val="bottom"/>
            <w:gridSpan w:val="6"/>
          </w:tcPr>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NUMBER OF ADSs</w:t>
            </w:r>
            <w:r>
              <w:rPr>
                <w:rFonts w:ascii="Arial" w:cs="Arial" w:eastAsia="Arial" w:hAnsi="Arial"/>
                <w:sz w:val="28"/>
                <w:szCs w:val="28"/>
                <w:b w:val="1"/>
                <w:bCs w:val="1"/>
                <w:color w:val="auto"/>
                <w:vertAlign w:val="subscript"/>
              </w:rPr>
              <w:t>​</w:t>
            </w:r>
          </w:p>
        </w:tc>
      </w:tr>
      <w:tr>
        <w:trPr>
          <w:trHeight w:val="20"/>
        </w:trPr>
        <w:tc>
          <w:tcPr>
            <w:tcW w:w="6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Jefferies LLC</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4,960,000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57"/>
        </w:trPr>
        <w:tc>
          <w:tcPr>
            <w:tcW w:w="6580" w:type="dxa"/>
            <w:vAlign w:val="bottom"/>
          </w:tcPr>
          <w:p>
            <w:pPr>
              <w:spacing w:after="0"/>
              <w:rPr>
                <w:sz w:val="20"/>
                <w:szCs w:val="20"/>
                <w:color w:val="auto"/>
              </w:rPr>
            </w:pPr>
            <w:r>
              <w:rPr>
                <w:rFonts w:ascii="Arial" w:cs="Arial" w:eastAsia="Arial" w:hAnsi="Arial"/>
                <w:sz w:val="17"/>
                <w:szCs w:val="17"/>
                <w:color w:val="auto"/>
              </w:rPr>
              <w:t>Piper Sandler &amp; Co.</w:t>
            </w:r>
          </w:p>
        </w:tc>
        <w:tc>
          <w:tcPr>
            <w:tcW w:w="520" w:type="dxa"/>
            <w:vAlign w:val="bottom"/>
            <w:gridSpan w:val="3"/>
          </w:tcPr>
          <w:p>
            <w:pPr>
              <w:ind w:left="60"/>
              <w:spacing w:after="0"/>
              <w:rPr>
                <w:sz w:val="20"/>
                <w:szCs w:val="20"/>
                <w:color w:val="auto"/>
              </w:rPr>
            </w:pPr>
            <w:r>
              <w:rPr>
                <w:rFonts w:ascii="Arial" w:cs="Arial" w:eastAsia="Arial" w:hAnsi="Arial"/>
                <w:sz w:val="17"/>
                <w:szCs w:val="17"/>
                <w:color w:val="auto"/>
              </w:rPr>
              <w:t>​ ​ ​</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3,596,000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57"/>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Truist Securities, Inc.</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1,612,000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57"/>
        </w:trPr>
        <w:tc>
          <w:tcPr>
            <w:tcW w:w="6580" w:type="dxa"/>
            <w:vAlign w:val="bottom"/>
          </w:tcPr>
          <w:p>
            <w:pPr>
              <w:spacing w:after="0"/>
              <w:rPr>
                <w:sz w:val="20"/>
                <w:szCs w:val="20"/>
                <w:color w:val="auto"/>
              </w:rPr>
            </w:pPr>
            <w:r>
              <w:rPr>
                <w:rFonts w:ascii="Arial" w:cs="Arial" w:eastAsia="Arial" w:hAnsi="Arial"/>
                <w:sz w:val="17"/>
                <w:szCs w:val="17"/>
                <w:color w:val="auto"/>
              </w:rPr>
              <w:t>Wedbush Securities Inc.</w:t>
            </w:r>
          </w:p>
        </w:tc>
        <w:tc>
          <w:tcPr>
            <w:tcW w:w="520" w:type="dxa"/>
            <w:vAlign w:val="bottom"/>
            <w:gridSpan w:val="3"/>
          </w:tcPr>
          <w:p>
            <w:pPr>
              <w:ind w:left="60"/>
              <w:spacing w:after="0"/>
              <w:rPr>
                <w:sz w:val="20"/>
                <w:szCs w:val="20"/>
                <w:color w:val="auto"/>
              </w:rPr>
            </w:pPr>
            <w:r>
              <w:rPr>
                <w:rFonts w:ascii="Arial" w:cs="Arial" w:eastAsia="Arial" w:hAnsi="Arial"/>
                <w:sz w:val="17"/>
                <w:szCs w:val="17"/>
                <w:color w:val="auto"/>
              </w:rPr>
              <w:t>​ ​ ​</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992,000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56"/>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BTIG, LLC</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682,000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57"/>
        </w:trPr>
        <w:tc>
          <w:tcPr>
            <w:tcW w:w="6580" w:type="dxa"/>
            <w:vAlign w:val="bottom"/>
          </w:tcPr>
          <w:p>
            <w:pPr>
              <w:spacing w:after="0"/>
              <w:rPr>
                <w:sz w:val="20"/>
                <w:szCs w:val="20"/>
                <w:color w:val="auto"/>
              </w:rPr>
            </w:pPr>
            <w:r>
              <w:rPr>
                <w:rFonts w:ascii="Arial" w:cs="Arial" w:eastAsia="Arial" w:hAnsi="Arial"/>
                <w:sz w:val="17"/>
                <w:szCs w:val="17"/>
                <w:color w:val="auto"/>
              </w:rPr>
              <w:t>H.C. Wainwright &amp; Co., LLC</w:t>
            </w:r>
          </w:p>
        </w:tc>
        <w:tc>
          <w:tcPr>
            <w:tcW w:w="520" w:type="dxa"/>
            <w:vAlign w:val="bottom"/>
            <w:gridSpan w:val="3"/>
          </w:tcPr>
          <w:p>
            <w:pPr>
              <w:ind w:left="60"/>
              <w:spacing w:after="0"/>
              <w:rPr>
                <w:sz w:val="20"/>
                <w:szCs w:val="20"/>
                <w:color w:val="auto"/>
              </w:rPr>
            </w:pPr>
            <w:r>
              <w:rPr>
                <w:rFonts w:ascii="Arial" w:cs="Arial" w:eastAsia="Arial" w:hAnsi="Arial"/>
                <w:sz w:val="17"/>
                <w:szCs w:val="17"/>
                <w:color w:val="auto"/>
              </w:rPr>
              <w:t>​ ​ ​</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558,000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90"/>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520" w:type="dxa"/>
            <w:vAlign w:val="bottom"/>
            <w:gridSpan w:val="3"/>
            <w:shd w:val="clear" w:color="auto" w:fill="CCEEFF"/>
          </w:tcPr>
          <w:p>
            <w:pPr>
              <w:ind w:left="60"/>
              <w:spacing w:after="0" w:line="269" w:lineRule="exact"/>
              <w:rPr>
                <w:sz w:val="20"/>
                <w:szCs w:val="20"/>
                <w:color w:val="auto"/>
              </w:rPr>
            </w:pPr>
            <w:r>
              <w:rPr>
                <w:rFonts w:ascii="Arial" w:cs="Arial" w:eastAsia="Arial" w:hAnsi="Arial"/>
                <w:sz w:val="16"/>
                <w:szCs w:val="16"/>
                <w:color w:val="auto"/>
              </w:rPr>
              <w:t>​ ​ ​</w:t>
            </w:r>
            <w:r>
              <w:rPr>
                <w:rFonts w:ascii="Arial" w:cs="Arial" w:eastAsia="Arial" w:hAnsi="Arial"/>
                <w:sz w:val="31"/>
                <w:szCs w:val="31"/>
                <w:color w:val="auto"/>
                <w:vertAlign w:val="superscript"/>
              </w:rPr>
              <w:t>​</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12,400,000</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6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-1259840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3" w:lineRule="exact"/>
        <w:rPr>
          <w:sz w:val="20"/>
          <w:szCs w:val="20"/>
          <w:color w:val="auto"/>
        </w:rPr>
      </w:pPr>
    </w:p>
    <w:p>
      <w:pPr>
        <w:ind w:left="1260" w:right="499"/>
        <w:spacing w:after="0" w:line="279"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If an underwriter defaults, the underwriting agreement provides that the purchase commitments of the nondefaulting underwriters may be increased or the underwriting agreement may be terminated. The underwriting agreement provides that the underwriters will purchase all of the ADSs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13" w:lineRule="exact"/>
        <w:rPr>
          <w:sz w:val="20"/>
          <w:szCs w:val="20"/>
          <w:color w:val="auto"/>
        </w:rPr>
      </w:pPr>
    </w:p>
    <w:p>
      <w:pPr>
        <w:ind w:left="1260" w:right="519"/>
        <w:spacing w:after="0" w:line="28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w:t>
      </w:r>
    </w:p>
    <w:p>
      <w:pPr>
        <w:spacing w:after="0" w:line="106" w:lineRule="exact"/>
        <w:rPr>
          <w:sz w:val="20"/>
          <w:szCs w:val="20"/>
          <w:color w:val="auto"/>
        </w:rPr>
      </w:pPr>
    </w:p>
    <w:p>
      <w:pPr>
        <w:jc w:val="both"/>
        <w:ind w:left="1260" w:right="439"/>
        <w:spacing w:after="0" w:line="291" w:lineRule="auto"/>
        <w:rPr>
          <w:sz w:val="20"/>
          <w:szCs w:val="20"/>
          <w:color w:val="auto"/>
        </w:rPr>
      </w:pPr>
      <w:r>
        <w:rPr>
          <w:rFonts w:ascii="Arial" w:cs="Arial" w:eastAsia="Arial" w:hAnsi="Arial"/>
          <w:sz w:val="17"/>
          <w:szCs w:val="17"/>
          <w:color w:val="auto"/>
        </w:rPr>
        <w:t>The underwriters are offering the ADSs subject to their acceptance of the ADSs from us and subject to prior sale. The underwriters reserve the right to withdraw, cancel or modify offers to the public and to reject orders in whole or in part.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Commission and Expenses</w:t>
      </w:r>
    </w:p>
    <w:p>
      <w:pPr>
        <w:spacing w:after="0" w:line="61" w:lineRule="exact"/>
        <w:rPr>
          <w:sz w:val="20"/>
          <w:szCs w:val="20"/>
          <w:color w:val="auto"/>
        </w:rPr>
      </w:pPr>
    </w:p>
    <w:p>
      <w:pPr>
        <w:ind w:left="1260" w:right="419"/>
        <w:spacing w:after="0" w:line="282" w:lineRule="auto"/>
        <w:rPr>
          <w:sz w:val="20"/>
          <w:szCs w:val="20"/>
          <w:color w:val="auto"/>
        </w:rPr>
      </w:pPr>
      <w:r>
        <w:rPr>
          <w:rFonts w:ascii="Arial" w:cs="Arial" w:eastAsia="Arial" w:hAnsi="Arial"/>
          <w:sz w:val="17"/>
          <w:szCs w:val="17"/>
          <w:color w:val="auto"/>
        </w:rPr>
        <w:t>The underwriters have advised us that they propose to offer the ADSs to the public at the public offering price set forth on the cover page of this prospectus supplement and to certain dealers, which may include the underwriters, at that price less a concession not in excess of  $0.3780 per ADS. The underwriters may allow, and certain dealers may reallow, a discount from the concession not in excess of  $0.3780 per ADS to certain brokers and dealers. After the offering, the public offering price, concession and reallowance to dealers may be reduced by the representatives. No such reduction will change the amount of proceeds to be received by us as set forth on the cover page of this prospectus supplement.</w:t>
      </w:r>
    </w:p>
    <w:p>
      <w:pPr>
        <w:spacing w:after="0" w:line="107" w:lineRule="exact"/>
        <w:rPr>
          <w:sz w:val="20"/>
          <w:szCs w:val="20"/>
          <w:color w:val="auto"/>
        </w:rPr>
      </w:pPr>
    </w:p>
    <w:p>
      <w:pPr>
        <w:ind w:left="1260" w:right="519"/>
        <w:spacing w:after="0" w:line="28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535305</wp:posOffset>
            </wp:positionV>
            <wp:extent cx="5212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4120" w:type="dxa"/>
            <w:vAlign w:val="bottom"/>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 ​</w:t>
            </w:r>
          </w:p>
        </w:tc>
        <w:tc>
          <w:tcPr>
            <w:tcW w:w="4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WITHOUT</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7"/>
                <w:szCs w:val="17"/>
                <w:color w:val="auto"/>
              </w:rPr>
            </w:pPr>
          </w:p>
        </w:tc>
      </w:tr>
      <w:tr>
        <w:trPr>
          <w:trHeight w:val="189"/>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color w:val="auto"/>
              </w:rPr>
              <w:t>OPTION TO</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OPTION TO</w:t>
            </w:r>
          </w:p>
        </w:tc>
      </w:tr>
      <w:tr>
        <w:trPr>
          <w:trHeight w:val="189"/>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202"/>
              <w:spacing w:after="0"/>
              <w:rPr>
                <w:sz w:val="20"/>
                <w:szCs w:val="20"/>
                <w:color w:val="auto"/>
              </w:rPr>
            </w:pPr>
            <w:r>
              <w:rPr>
                <w:rFonts w:ascii="Arial" w:cs="Arial" w:eastAsia="Arial" w:hAnsi="Arial"/>
                <w:sz w:val="14"/>
                <w:szCs w:val="14"/>
                <w:b w:val="1"/>
                <w:bCs w:val="1"/>
                <w:color w:val="auto"/>
              </w:rPr>
              <w:t>PURCHASE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PURCHASE</w:t>
            </w:r>
          </w:p>
        </w:tc>
      </w:tr>
      <w:tr>
        <w:trPr>
          <w:trHeight w:val="212"/>
        </w:trPr>
        <w:tc>
          <w:tcPr>
            <w:tcW w:w="4120" w:type="dxa"/>
            <w:vAlign w:val="bottom"/>
          </w:tcPr>
          <w:p>
            <w:pPr>
              <w:spacing w:after="0"/>
              <w:rPr>
                <w:sz w:val="20"/>
                <w:szCs w:val="20"/>
                <w:color w:val="auto"/>
              </w:rPr>
            </w:pPr>
            <w:r>
              <w:rPr>
                <w:rFonts w:ascii="Arial" w:cs="Arial" w:eastAsia="Arial" w:hAnsi="Arial"/>
                <w:sz w:val="14"/>
                <w:szCs w:val="14"/>
                <w:b w:val="1"/>
                <w:bCs w:val="1"/>
                <w:color w:val="auto"/>
              </w:rPr>
              <w:t>​</w:t>
            </w:r>
          </w:p>
        </w:tc>
        <w:tc>
          <w:tcPr>
            <w:tcW w:w="4140" w:type="dxa"/>
            <w:vAlign w:val="bottom"/>
            <w:gridSpan w:val="10"/>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PER ADS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ADDITIONAL ADSs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ADDITIONAL ADSs</w:t>
            </w:r>
            <w:r>
              <w:rPr>
                <w:rFonts w:ascii="Arial" w:cs="Arial" w:eastAsia="Arial" w:hAnsi="Arial"/>
                <w:sz w:val="24"/>
                <w:szCs w:val="24"/>
                <w:b w:val="1"/>
                <w:bCs w:val="1"/>
                <w:color w:val="auto"/>
                <w:vertAlign w:val="subscript"/>
              </w:rPr>
              <w:t>​</w:t>
            </w:r>
          </w:p>
        </w:tc>
      </w:tr>
      <w:tr>
        <w:trPr>
          <w:trHeight w:val="20"/>
        </w:trPr>
        <w:tc>
          <w:tcPr>
            <w:tcW w:w="4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10.50​​​​$</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130,200,000​​​​$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149,730,000</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4120" w:type="dxa"/>
            <w:vAlign w:val="bottom"/>
          </w:tcPr>
          <w:p>
            <w:pPr>
              <w:spacing w:after="0"/>
              <w:rPr>
                <w:sz w:val="20"/>
                <w:szCs w:val="20"/>
                <w:color w:val="auto"/>
              </w:rPr>
            </w:pPr>
            <w:r>
              <w:rPr>
                <w:rFonts w:ascii="Arial" w:cs="Arial" w:eastAsia="Arial" w:hAnsi="Arial"/>
                <w:sz w:val="17"/>
                <w:szCs w:val="17"/>
                <w:color w:val="auto"/>
              </w:rPr>
              <w:t>Underwriting discounts and commissions paid by us</w:t>
            </w: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0.63​​​​$</w:t>
            </w:r>
          </w:p>
        </w:tc>
        <w:tc>
          <w:tcPr>
            <w:tcW w:w="1560" w:type="dxa"/>
            <w:vAlign w:val="bottom"/>
            <w:gridSpan w:val="3"/>
          </w:tcPr>
          <w:p>
            <w:pPr>
              <w:jc w:val="right"/>
              <w:ind w:right="80"/>
              <w:spacing w:after="0"/>
              <w:rPr>
                <w:sz w:val="20"/>
                <w:szCs w:val="20"/>
                <w:color w:val="auto"/>
              </w:rPr>
            </w:pPr>
            <w:r>
              <w:rPr>
                <w:rFonts w:ascii="Arial" w:cs="Arial" w:eastAsia="Arial" w:hAnsi="Arial"/>
                <w:sz w:val="17"/>
                <w:szCs w:val="17"/>
                <w:color w:val="auto"/>
              </w:rPr>
              <w:t>7,812,000​​​​$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8,983,800​</w:t>
            </w:r>
          </w:p>
        </w:tc>
      </w:tr>
      <w:tr>
        <w:trPr>
          <w:trHeight w:val="234"/>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122,388,000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140,746,200</w:t>
            </w:r>
          </w:p>
        </w:tc>
        <w:tc>
          <w:tcPr>
            <w:tcW w:w="60" w:type="dxa"/>
            <w:vAlign w:val="bottom"/>
          </w:tcPr>
          <w:p>
            <w:pPr>
              <w:spacing w:after="0"/>
              <w:rPr>
                <w:sz w:val="20"/>
                <w:szCs w:val="20"/>
                <w:color w:val="auto"/>
              </w:rPr>
            </w:pPr>
          </w:p>
        </w:tc>
      </w:tr>
      <w:tr>
        <w:trPr>
          <w:trHeight w:val="211"/>
        </w:trPr>
        <w:tc>
          <w:tcPr>
            <w:tcW w:w="4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-616585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-616585</wp:posOffset>
            </wp:positionV>
            <wp:extent cx="33172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93"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$380,000. We have also agreed to reimburse the underwriters for up to $35,000 for their Financial Industry Regulatory Authority, Inc. (“FINRA”) counsel fee. In accordance with FINRA Rule 5110, this reimbursed fee is deemed underwriting compensation for this offering.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Listing</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ADSs are listed on The Nasdaq Global Market under the symbol “VRNA.”</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Stamp Taxes</w:t>
      </w:r>
    </w:p>
    <w:p>
      <w:pPr>
        <w:spacing w:after="0" w:line="48" w:lineRule="exact"/>
        <w:rPr>
          <w:sz w:val="20"/>
          <w:szCs w:val="20"/>
          <w:color w:val="auto"/>
        </w:rPr>
      </w:pPr>
    </w:p>
    <w:p>
      <w:pPr>
        <w:jc w:val="both"/>
        <w:ind w:left="1260" w:right="499"/>
        <w:spacing w:after="0" w:line="274" w:lineRule="auto"/>
        <w:rPr>
          <w:sz w:val="20"/>
          <w:szCs w:val="20"/>
          <w:color w:val="auto"/>
        </w:rPr>
      </w:pPr>
      <w:r>
        <w:rPr>
          <w:rFonts w:ascii="Arial" w:cs="Arial" w:eastAsia="Arial" w:hAnsi="Arial"/>
          <w:sz w:val="17"/>
          <w:szCs w:val="17"/>
          <w:color w:val="auto"/>
        </w:rPr>
        <w:t>If you purchase ADSs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Option to Purchase Additional ADSs</w:t>
      </w:r>
    </w:p>
    <w:p>
      <w:pPr>
        <w:spacing w:after="0" w:line="48" w:lineRule="exact"/>
        <w:rPr>
          <w:sz w:val="20"/>
          <w:szCs w:val="20"/>
          <w:color w:val="auto"/>
        </w:rPr>
      </w:pPr>
    </w:p>
    <w:p>
      <w:pPr>
        <w:ind w:left="1260" w:right="539"/>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from time to time, in whole or in part, up to an aggregate of 1,860,000 ADSs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 Sales of Similar Securities</w:t>
      </w:r>
    </w:p>
    <w:p>
      <w:pPr>
        <w:spacing w:after="0" w:line="61"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We have agreed, subject to specified exceptions, not to directly or indirectly (i) sell, offer to sell, contract to sell or lend any ADSs, ordinary shares or related securities; (ii) effect any short sale, or establish or increase any “put equivalent position” (as​ defined in Rule 16a-1(h) under the Exchange Act) or liquidate or decrease any “call equivalent position” (as​ defined in Rule 16a-1(b) under the Exchange Act) of any ADSs, ordinary shares or related securities; (iii) pledge, hypothecate or grant any security interest in any ADSs, ordinary shares or related securities; (iv) in any other way transfer or dispose of any ADSs, ordinary shares or related securities; (v) enter into any swap, hedge or similar arrangement or agreement that transfers, in whole or in part, the economic risk of ownership of any ADSs, ordinary shares or related securities, regardless of whether any such transaction is to be settled in securities, in cash or otherwise; (vi) announce the offering of any ADSs, ordinary shares or related securities; (vii) file any registration statement under the Securities Act in respect of any ADSs, ordinary shares or related securities (other than as contemplated by the underwriting agreement with respect to the securities offered hereby); or (viii) publicly announce the intention to do any of the foregoing, for a period of 90 days after the date of this prospectus supplement without the prior written consent of Jefferies LLC and Piper Sandler &amp; Co. Notwithstanding the foregoing, we may offer and sell our ADSs under our “at the market offering” program pursuant to the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dated March 19, 2021, by and between the Company and Jefferies LLC.</w:t>
      </w:r>
    </w:p>
    <w:p>
      <w:pPr>
        <w:spacing w:after="0" w:line="36"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Our executive officers and directors have agreed, subject to specified exceptions, not to (i) sell or offer to sell any ADSs, ordinary shares or related securities currently or hereafter owned either of record or beneficially (as defined in Rule 13d-3 under the Exchange Act) by the securityholder or such securityholder’s family member; (ii) enter into any swap, hedge or similar arrangement or agreement that transfers, in whole or in part, the economic risk of ownership of ADSs, ordinary shares or related securities, regardless of whether any such</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transaction is to be settled in securities, in cash or otherwise; (iii) make any demand for, or exercise any right with respect to, the registration under the Securities Act of the offer and sale of any of our ordinary shares or related securities, or cause to be filed a registration statement, prospectus or prospectus supplement (or an amendment or supplement thereto) with respect to any such registration; or (iv) publicly announce any intention to do any of the foregoing, for a period of 90 days after the date of this prospectus supplement without the prior written consent of Jefferies LLC and Piper Sandler &amp; Co. Notwithstanding the foregoing, Jefferies LLC has agreed that one of our executive officers may transfer, sell, tender or otherwise dispose of up to an aggregate of 20,000 ADSs held by such person or a trust for the benefit of such person’s family members; provided that no such transfer, sale, tender or disposal shall be made at a price that is less than $12.00 per ADS.</w:t>
      </w:r>
    </w:p>
    <w:p>
      <w:pPr>
        <w:spacing w:after="0" w:line="90" w:lineRule="exact"/>
        <w:rPr>
          <w:sz w:val="20"/>
          <w:szCs w:val="20"/>
          <w:color w:val="auto"/>
        </w:rPr>
      </w:pPr>
    </w:p>
    <w:p>
      <w:pPr>
        <w:ind w:left="1260" w:right="759"/>
        <w:spacing w:after="0" w:line="230" w:lineRule="auto"/>
        <w:rPr>
          <w:sz w:val="20"/>
          <w:szCs w:val="20"/>
          <w:color w:val="auto"/>
        </w:rPr>
      </w:pPr>
      <w:r>
        <w:rPr>
          <w:rFonts w:ascii="Arial" w:cs="Arial" w:eastAsia="Arial" w:hAnsi="Arial"/>
          <w:sz w:val="17"/>
          <w:szCs w:val="17"/>
          <w:color w:val="auto"/>
        </w:rPr>
        <w:t>These restrictions terminate after the close of trading of the ADSs on and including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supplement.</w:t>
      </w:r>
    </w:p>
    <w:p>
      <w:pPr>
        <w:spacing w:after="0" w:line="127" w:lineRule="exact"/>
        <w:rPr>
          <w:sz w:val="20"/>
          <w:szCs w:val="20"/>
          <w:color w:val="auto"/>
        </w:rPr>
      </w:pPr>
    </w:p>
    <w:p>
      <w:pPr>
        <w:ind w:left="1260" w:right="419"/>
        <w:spacing w:after="0" w:line="265" w:lineRule="auto"/>
        <w:rPr>
          <w:sz w:val="20"/>
          <w:szCs w:val="20"/>
          <w:color w:val="auto"/>
        </w:rPr>
      </w:pPr>
      <w:r>
        <w:rPr>
          <w:rFonts w:ascii="Arial" w:cs="Arial" w:eastAsia="Arial" w:hAnsi="Arial"/>
          <w:sz w:val="17"/>
          <w:szCs w:val="17"/>
          <w:color w:val="auto"/>
        </w:rPr>
        <w:t>Jefferies LLC and Piper Sandler &amp; Co. may, in their sole discretion and at any time or from time to time before the termination of the 90-day period release all or any portion of the securities subject to lock-up agreements. Other than as disclosed above, there are no existing agreements between the underwriters and any of our shareholders who will execute a lock-up agreement, providing consent to the sale of ADSs or ordinary shares prior to the expiration of the lock-up period.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Stabilization</w:t>
      </w:r>
    </w:p>
    <w:p>
      <w:pPr>
        <w:spacing w:after="0" w:line="48" w:lineRule="exact"/>
        <w:rPr>
          <w:sz w:val="20"/>
          <w:szCs w:val="20"/>
          <w:color w:val="auto"/>
        </w:rPr>
      </w:pPr>
    </w:p>
    <w:p>
      <w:pPr>
        <w:ind w:left="1260" w:right="579"/>
        <w:spacing w:after="0" w:line="262"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w:t>
      </w:r>
    </w:p>
    <w:p>
      <w:pPr>
        <w:spacing w:after="0" w:line="97"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110"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119"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w:t>
      </w:r>
    </w:p>
    <w:p>
      <w:pPr>
        <w:spacing w:after="0" w:line="118" w:lineRule="exact"/>
        <w:rPr>
          <w:sz w:val="20"/>
          <w:szCs w:val="20"/>
          <w:color w:val="auto"/>
        </w:rPr>
      </w:pPr>
    </w:p>
    <w:p>
      <w:pPr>
        <w:ind w:left="1260" w:right="559"/>
        <w:spacing w:after="0" w:line="277"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ADSs. The underwriters are not obligated to engage in these activities and, if commenced, any of the activities may be discontinued at any time.</w:t>
      </w:r>
    </w:p>
    <w:p>
      <w:pPr>
        <w:spacing w:after="0" w:line="97" w:lineRule="exact"/>
        <w:rPr>
          <w:sz w:val="20"/>
          <w:szCs w:val="20"/>
          <w:color w:val="auto"/>
        </w:rPr>
      </w:pPr>
    </w:p>
    <w:p>
      <w:pPr>
        <w:ind w:left="1260" w:right="659"/>
        <w:spacing w:after="0" w:line="277" w:lineRule="auto"/>
        <w:rPr>
          <w:sz w:val="20"/>
          <w:szCs w:val="20"/>
          <w:color w:val="auto"/>
        </w:rPr>
      </w:pPr>
      <w:r>
        <w:rPr>
          <w:rFonts w:ascii="Arial" w:cs="Arial" w:eastAsia="Arial" w:hAnsi="Arial"/>
          <w:sz w:val="17"/>
          <w:szCs w:val="17"/>
          <w:color w:val="auto"/>
        </w:rPr>
        <w:t>The underwriters may also engage in passive market making transactions in our ADSs on The Nasdaq Global Market in accordance with Rule 103 of Regulation M during a period before the commencement of offers or sales of our ADSs in this offering and extending through the completion of distribution. A passive market</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260" w:right="439"/>
        <w:spacing w:after="0" w:line="258" w:lineRule="auto"/>
        <w:rPr>
          <w:sz w:val="20"/>
          <w:szCs w:val="20"/>
          <w:color w:val="auto"/>
        </w:rPr>
      </w:pPr>
      <w:r>
        <w:rPr>
          <w:rFonts w:ascii="Arial" w:cs="Arial" w:eastAsia="Arial" w:hAnsi="Arial"/>
          <w:sz w:val="17"/>
          <w:szCs w:val="17"/>
          <w:color w:val="auto"/>
        </w:rPr>
        <w:t>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Electronic Distribution</w:t>
      </w:r>
    </w:p>
    <w:p>
      <w:pPr>
        <w:spacing w:after="0" w:line="48" w:lineRule="exact"/>
        <w:rPr>
          <w:sz w:val="20"/>
          <w:szCs w:val="20"/>
          <w:color w:val="auto"/>
        </w:rPr>
      </w:pPr>
    </w:p>
    <w:p>
      <w:pPr>
        <w:ind w:left="1260" w:right="479"/>
        <w:spacing w:after="0" w:line="246" w:lineRule="auto"/>
        <w:rPr>
          <w:sz w:val="20"/>
          <w:szCs w:val="20"/>
          <w:color w:val="auto"/>
        </w:rPr>
      </w:pPr>
      <w:r>
        <w:rPr>
          <w:rFonts w:ascii="Arial" w:cs="Arial" w:eastAsia="Arial" w:hAnsi="Arial"/>
          <w:sz w:val="17"/>
          <w:szCs w:val="17"/>
          <w:color w:val="auto"/>
        </w:rPr>
        <w:t>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supplement in electronic format, the information on the underwriters’ websites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Other Activities and Relationships</w:t>
      </w:r>
    </w:p>
    <w:p>
      <w:pPr>
        <w:spacing w:after="0" w:line="48" w:lineRule="exact"/>
        <w:rPr>
          <w:sz w:val="20"/>
          <w:szCs w:val="20"/>
          <w:color w:val="auto"/>
        </w:rPr>
      </w:pPr>
    </w:p>
    <w:p>
      <w:pPr>
        <w:ind w:left="1260" w:right="419"/>
        <w:spacing w:after="0" w:line="244"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Jefferies LLC is the sales agent under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dated as of March 19, 2021, with us. Under the Open Market Sale Agreement, we may offer and sell, from time to time, ADSs through Jefferies LLC through an “at the market offering” as defined in Rule 415(a)(4) promulgated under the Securities Act.</w:t>
      </w:r>
    </w:p>
    <w:p>
      <w:pPr>
        <w:spacing w:after="0" w:line="129"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Disclaimers About Non-U.S. Jurisdictions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Canada</w:t>
      </w:r>
    </w:p>
    <w:p>
      <w:pPr>
        <w:spacing w:after="0" w:line="46" w:lineRule="exact"/>
        <w:rPr>
          <w:sz w:val="20"/>
          <w:szCs w:val="20"/>
          <w:color w:val="auto"/>
        </w:rPr>
      </w:pPr>
    </w:p>
    <w:p>
      <w:pPr>
        <w:ind w:left="1980" w:hanging="360"/>
        <w:spacing w:after="0"/>
        <w:tabs>
          <w:tab w:leader="none" w:pos="1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Resale Restrictions</w:t>
      </w:r>
    </w:p>
    <w:p>
      <w:pPr>
        <w:spacing w:after="0" w:line="155" w:lineRule="exact"/>
        <w:rPr>
          <w:rFonts w:ascii="Arial" w:cs="Arial" w:eastAsia="Arial" w:hAnsi="Arial"/>
          <w:sz w:val="17"/>
          <w:szCs w:val="17"/>
          <w:color w:val="auto"/>
        </w:rPr>
      </w:pPr>
    </w:p>
    <w:p>
      <w:pPr>
        <w:ind w:left="1980" w:right="439"/>
        <w:spacing w:after="0" w:line="257" w:lineRule="auto"/>
        <w:rPr>
          <w:rFonts w:ascii="Arial" w:cs="Arial" w:eastAsia="Arial" w:hAnsi="Arial"/>
          <w:sz w:val="17"/>
          <w:szCs w:val="17"/>
          <w:color w:val="auto"/>
        </w:rPr>
      </w:pPr>
      <w:r>
        <w:rPr>
          <w:rFonts w:ascii="Arial" w:cs="Arial" w:eastAsia="Arial" w:hAnsi="Arial"/>
          <w:sz w:val="17"/>
          <w:szCs w:val="17"/>
          <w:color w:val="auto"/>
        </w:rPr>
        <w:t>The distribution of ADSs in Canada is being made only in the provinces of Ontario, Quebec, Alberta, British Columbia, Manitoba, New Brunswick and Nova Scotia on a private placement basis exempt from the requirement that we prepare and file a prospectus supplement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27" w:lineRule="exact"/>
        <w:rPr>
          <w:rFonts w:ascii="Arial" w:cs="Arial" w:eastAsia="Arial" w:hAnsi="Arial"/>
          <w:sz w:val="17"/>
          <w:szCs w:val="17"/>
          <w:color w:val="auto"/>
        </w:rPr>
      </w:pPr>
    </w:p>
    <w:p>
      <w:pPr>
        <w:ind w:left="1980" w:hanging="360"/>
        <w:spacing w:after="0"/>
        <w:tabs>
          <w:tab w:leader="none" w:pos="1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Representations of Canadian Purchasers</w:t>
      </w:r>
    </w:p>
    <w:p>
      <w:pPr>
        <w:spacing w:after="0" w:line="142" w:lineRule="exact"/>
        <w:rPr>
          <w:rFonts w:ascii="Arial" w:cs="Arial" w:eastAsia="Arial" w:hAnsi="Arial"/>
          <w:sz w:val="17"/>
          <w:szCs w:val="17"/>
          <w:color w:val="auto"/>
        </w:rPr>
      </w:pPr>
    </w:p>
    <w:p>
      <w:pPr>
        <w:ind w:left="1980" w:right="519"/>
        <w:spacing w:after="0" w:line="284" w:lineRule="auto"/>
        <w:rPr>
          <w:rFonts w:ascii="Arial" w:cs="Arial" w:eastAsia="Arial" w:hAnsi="Arial"/>
          <w:sz w:val="17"/>
          <w:szCs w:val="17"/>
          <w:color w:val="auto"/>
        </w:rPr>
      </w:pPr>
      <w:r>
        <w:rPr>
          <w:rFonts w:ascii="Arial" w:cs="Arial" w:eastAsia="Arial" w:hAnsi="Arial"/>
          <w:sz w:val="17"/>
          <w:szCs w:val="17"/>
          <w:color w:val="auto"/>
        </w:rPr>
        <w:t>By purchasing ADSs in Canada and accepting delivery of a purchase confirmation, a purchaser is representing to us and the dealer from whom the purchase confirmation is received that: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right="459" w:hanging="220"/>
        <w:spacing w:after="0" w:line="277"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supplement qualified under those securities laws as it is an “accredited investor” as defined under National Instrument 45-106—Prospectus Exemptions or Section 73.3(1) of the Securities Act (Ontario), as applicable,</w:t>
      </w:r>
    </w:p>
    <w:p>
      <w:pPr>
        <w:spacing w:after="0" w:line="29" w:lineRule="exact"/>
        <w:rPr>
          <w:rFonts w:ascii="Arial" w:cs="Arial" w:eastAsia="Arial" w:hAnsi="Arial"/>
          <w:sz w:val="17"/>
          <w:szCs w:val="17"/>
          <w:color w:val="auto"/>
        </w:rPr>
      </w:pPr>
    </w:p>
    <w:p>
      <w:pPr>
        <w:ind w:left="2560" w:right="439" w:hanging="220"/>
        <w:spacing w:after="0" w:line="301"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9" w:lineRule="exact"/>
        <w:rPr>
          <w:rFonts w:ascii="Arial" w:cs="Arial" w:eastAsia="Arial" w:hAnsi="Arial"/>
          <w:sz w:val="17"/>
          <w:szCs w:val="17"/>
          <w:color w:val="auto"/>
        </w:rPr>
      </w:pPr>
    </w:p>
    <w:p>
      <w:pPr>
        <w:ind w:left="2560" w:hanging="220"/>
        <w:spacing w:after="0"/>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where required by law, the purchaser is purchasing as principal and not as agent, and</w:t>
      </w:r>
    </w:p>
    <w:p>
      <w:pPr>
        <w:spacing w:after="0" w:line="88" w:lineRule="exact"/>
        <w:rPr>
          <w:rFonts w:ascii="Arial" w:cs="Arial" w:eastAsia="Arial" w:hAnsi="Arial"/>
          <w:sz w:val="17"/>
          <w:szCs w:val="17"/>
          <w:color w:val="auto"/>
        </w:rPr>
      </w:pPr>
    </w:p>
    <w:p>
      <w:pPr>
        <w:ind w:left="2560" w:hanging="220"/>
        <w:spacing w:after="0"/>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purchaser has reviewed the text above under Resale Restrictions.</w:t>
      </w:r>
    </w:p>
    <w:p>
      <w:pPr>
        <w:spacing w:after="0" w:line="155" w:lineRule="exact"/>
        <w:rPr>
          <w:rFonts w:ascii="Arial" w:cs="Arial" w:eastAsia="Arial" w:hAnsi="Arial"/>
          <w:sz w:val="17"/>
          <w:szCs w:val="17"/>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55" w:lineRule="exact"/>
        <w:rPr>
          <w:rFonts w:ascii="Arial" w:cs="Arial" w:eastAsia="Arial" w:hAnsi="Arial"/>
          <w:sz w:val="17"/>
          <w:szCs w:val="17"/>
          <w:color w:val="auto"/>
        </w:rPr>
      </w:pPr>
    </w:p>
    <w:p>
      <w:pPr>
        <w:ind w:left="1980" w:right="1079"/>
        <w:spacing w:after="0" w:line="266" w:lineRule="auto"/>
        <w:rPr>
          <w:rFonts w:ascii="Arial" w:cs="Arial" w:eastAsia="Arial" w:hAnsi="Arial"/>
          <w:sz w:val="17"/>
          <w:szCs w:val="17"/>
          <w:color w:val="auto"/>
        </w:rPr>
      </w:pPr>
      <w:r>
        <w:rPr>
          <w:rFonts w:ascii="Arial" w:cs="Arial" w:eastAsia="Arial" w:hAnsi="Arial"/>
          <w:sz w:val="17"/>
          <w:szCs w:val="17"/>
          <w:color w:val="auto"/>
        </w:rPr>
        <w:t>Canadian purchasers are hereby notified that certain of the underwriters are relying on the exemption set out in section 3A.3 or 3A.4, if applicable, of National Instrument 33-105— Underwriting Conflicts from having to provide certain conflict of interest disclosure in this document.</w:t>
      </w:r>
    </w:p>
    <w:p>
      <w:pPr>
        <w:spacing w:after="0" w:line="105" w:lineRule="exact"/>
        <w:rPr>
          <w:rFonts w:ascii="Arial" w:cs="Arial" w:eastAsia="Arial" w:hAnsi="Arial"/>
          <w:sz w:val="17"/>
          <w:szCs w:val="17"/>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Statutory Rights of Action</w:t>
      </w:r>
    </w:p>
    <w:p>
      <w:pPr>
        <w:spacing w:after="0" w:line="155" w:lineRule="exact"/>
        <w:rPr>
          <w:rFonts w:ascii="Arial" w:cs="Arial" w:eastAsia="Arial" w:hAnsi="Arial"/>
          <w:sz w:val="17"/>
          <w:szCs w:val="17"/>
          <w:color w:val="auto"/>
        </w:rPr>
      </w:pPr>
    </w:p>
    <w:p>
      <w:pPr>
        <w:ind w:left="1980" w:right="659"/>
        <w:spacing w:after="0" w:line="260" w:lineRule="auto"/>
        <w:rPr>
          <w:rFonts w:ascii="Arial" w:cs="Arial" w:eastAsia="Arial" w:hAnsi="Arial"/>
          <w:sz w:val="17"/>
          <w:szCs w:val="17"/>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supplement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10" w:lineRule="exact"/>
        <w:rPr>
          <w:rFonts w:ascii="Arial" w:cs="Arial" w:eastAsia="Arial" w:hAnsi="Arial"/>
          <w:sz w:val="17"/>
          <w:szCs w:val="17"/>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Enforcement of Legal Rights</w:t>
      </w:r>
    </w:p>
    <w:p>
      <w:pPr>
        <w:spacing w:after="0" w:line="155" w:lineRule="exact"/>
        <w:rPr>
          <w:rFonts w:ascii="Arial" w:cs="Arial" w:eastAsia="Arial" w:hAnsi="Arial"/>
          <w:sz w:val="17"/>
          <w:szCs w:val="17"/>
          <w:color w:val="auto"/>
        </w:rPr>
      </w:pPr>
    </w:p>
    <w:p>
      <w:pPr>
        <w:ind w:left="1980" w:right="499"/>
        <w:spacing w:after="0" w:line="262" w:lineRule="auto"/>
        <w:rPr>
          <w:rFonts w:ascii="Arial" w:cs="Arial" w:eastAsia="Arial" w:hAnsi="Arial"/>
          <w:sz w:val="17"/>
          <w:szCs w:val="17"/>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10" w:lineRule="exact"/>
        <w:rPr>
          <w:rFonts w:ascii="Arial" w:cs="Arial" w:eastAsia="Arial" w:hAnsi="Arial"/>
          <w:sz w:val="17"/>
          <w:szCs w:val="17"/>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Taxation and Eligibility for Investment</w:t>
      </w:r>
    </w:p>
    <w:p>
      <w:pPr>
        <w:spacing w:after="0" w:line="155" w:lineRule="exact"/>
        <w:rPr>
          <w:rFonts w:ascii="Arial" w:cs="Arial" w:eastAsia="Arial" w:hAnsi="Arial"/>
          <w:sz w:val="17"/>
          <w:szCs w:val="17"/>
          <w:color w:val="auto"/>
        </w:rPr>
      </w:pPr>
    </w:p>
    <w:p>
      <w:pPr>
        <w:ind w:left="1980" w:right="579"/>
        <w:spacing w:after="0" w:line="274" w:lineRule="auto"/>
        <w:rPr>
          <w:rFonts w:ascii="Arial" w:cs="Arial" w:eastAsia="Arial" w:hAnsi="Arial"/>
          <w:sz w:val="17"/>
          <w:szCs w:val="17"/>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Australia</w:t>
      </w:r>
    </w:p>
    <w:p>
      <w:pPr>
        <w:spacing w:after="0" w:line="46" w:lineRule="exact"/>
        <w:rPr>
          <w:sz w:val="20"/>
          <w:szCs w:val="20"/>
          <w:color w:val="auto"/>
        </w:rPr>
      </w:pPr>
    </w:p>
    <w:p>
      <w:pPr>
        <w:ind w:left="1260" w:right="539"/>
        <w:spacing w:after="0" w:line="26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supplement in Australia:</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You confirm and warrant that you are either:</w:t>
      </w:r>
    </w:p>
    <w:p>
      <w:pPr>
        <w:spacing w:after="0" w:line="88" w:lineRule="exact"/>
        <w:rPr>
          <w:sz w:val="20"/>
          <w:szCs w:val="20"/>
          <w:color w:val="auto"/>
        </w:rPr>
      </w:pPr>
    </w:p>
    <w:p>
      <w:pPr>
        <w:ind w:left="1840" w:hanging="220"/>
        <w:spacing w:after="0"/>
        <w:tabs>
          <w:tab w:leader="none" w:pos="1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101" w:lineRule="exact"/>
        <w:rPr>
          <w:rFonts w:ascii="Arial" w:cs="Arial" w:eastAsia="Arial" w:hAnsi="Arial"/>
          <w:sz w:val="17"/>
          <w:szCs w:val="17"/>
          <w:color w:val="auto"/>
        </w:rPr>
      </w:pPr>
    </w:p>
    <w:p>
      <w:pPr>
        <w:ind w:left="1840" w:right="639" w:hanging="220"/>
        <w:spacing w:after="0" w:line="277" w:lineRule="auto"/>
        <w:tabs>
          <w:tab w:leader="none" w:pos="1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Arial" w:cs="Arial" w:eastAsia="Arial" w:hAnsi="Arial"/>
          <w:sz w:val="17"/>
          <w:szCs w:val="17"/>
          <w:color w:val="auto"/>
        </w:rPr>
      </w:pPr>
    </w:p>
    <w:p>
      <w:pPr>
        <w:ind w:left="1840" w:hanging="220"/>
        <w:spacing w:after="0"/>
        <w:tabs>
          <w:tab w:leader="none" w:pos="1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42" w:lineRule="exact"/>
        <w:rPr>
          <w:sz w:val="20"/>
          <w:szCs w:val="20"/>
          <w:color w:val="auto"/>
        </w:rPr>
      </w:pPr>
    </w:p>
    <w:p>
      <w:pPr>
        <w:ind w:left="1260" w:right="839"/>
        <w:spacing w:after="0" w:line="274"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260" w:right="539"/>
        <w:spacing w:after="0" w:line="266"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European Economic Area</w:t>
      </w:r>
    </w:p>
    <w:p>
      <w:pPr>
        <w:spacing w:after="0" w:line="46" w:lineRule="exact"/>
        <w:rPr>
          <w:sz w:val="20"/>
          <w:szCs w:val="20"/>
          <w:color w:val="auto"/>
        </w:rPr>
      </w:pPr>
    </w:p>
    <w:p>
      <w:pPr>
        <w:ind w:left="1260" w:right="439"/>
        <w:spacing w:after="0" w:line="259" w:lineRule="auto"/>
        <w:rPr>
          <w:sz w:val="20"/>
          <w:szCs w:val="20"/>
          <w:color w:val="auto"/>
        </w:rPr>
      </w:pPr>
      <w:r>
        <w:rPr>
          <w:rFonts w:ascii="Arial" w:cs="Arial" w:eastAsia="Arial" w:hAnsi="Arial"/>
          <w:sz w:val="17"/>
          <w:szCs w:val="17"/>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the ADSs may be offered to the public in that Relevant State at any time:</w:t>
      </w:r>
    </w:p>
    <w:p>
      <w:pPr>
        <w:spacing w:after="0" w:line="57" w:lineRule="exact"/>
        <w:rPr>
          <w:sz w:val="20"/>
          <w:szCs w:val="20"/>
          <w:color w:val="auto"/>
        </w:rPr>
      </w:pPr>
    </w:p>
    <w:p>
      <w:pPr>
        <w:ind w:left="1840" w:right="1119" w:hanging="220"/>
        <w:spacing w:after="0" w:line="298" w:lineRule="auto"/>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ind w:left="1840" w:right="419" w:hanging="220"/>
        <w:spacing w:after="0" w:line="283" w:lineRule="auto"/>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representative for any such offer; or</w:t>
      </w:r>
    </w:p>
    <w:p>
      <w:pPr>
        <w:spacing w:after="0" w:line="24" w:lineRule="exact"/>
        <w:rPr>
          <w:rFonts w:ascii="Arial" w:cs="Arial" w:eastAsia="Arial" w:hAnsi="Arial"/>
          <w:sz w:val="17"/>
          <w:szCs w:val="17"/>
          <w:color w:val="auto"/>
        </w:rPr>
      </w:pPr>
    </w:p>
    <w:p>
      <w:pPr>
        <w:ind w:left="1840" w:hanging="220"/>
        <w:spacing w:after="0"/>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60" w:right="559"/>
        <w:spacing w:after="0" w:line="261" w:lineRule="auto"/>
        <w:rPr>
          <w:sz w:val="20"/>
          <w:szCs w:val="20"/>
          <w:color w:val="auto"/>
        </w:rPr>
      </w:pPr>
      <w:r>
        <w:rPr>
          <w:rFonts w:ascii="Arial" w:cs="Arial" w:eastAsia="Arial" w:hAnsi="Arial"/>
          <w:sz w:val="17"/>
          <w:szCs w:val="17"/>
          <w:color w:val="auto"/>
        </w:rPr>
        <w:t>provided that no such offer of the ADSs shall require us or any of the underwriters to publish a prospectus pursuant to Article 3 of the Prospectus Regulation or supplement a prospectus pursuant to Article 23 of the Prospectus Regulation. Each person who initially acquires any ADSs or to whom any offer is made will be deemed to have represented, warranted, acknowledged and agreed to and with us and each of the underwriters that it is a “qualified investor” within the meaning of Article 2 of the Prospectus Regulation.</w:t>
      </w:r>
    </w:p>
    <w:p>
      <w:pPr>
        <w:spacing w:after="0" w:line="112" w:lineRule="exact"/>
        <w:rPr>
          <w:sz w:val="20"/>
          <w:szCs w:val="20"/>
          <w:color w:val="auto"/>
        </w:rPr>
      </w:pPr>
    </w:p>
    <w:p>
      <w:pPr>
        <w:ind w:left="1260" w:right="479"/>
        <w:spacing w:after="0" w:line="260" w:lineRule="auto"/>
        <w:rPr>
          <w:sz w:val="20"/>
          <w:szCs w:val="20"/>
          <w:color w:val="auto"/>
        </w:rPr>
      </w:pPr>
      <w:r>
        <w:rPr>
          <w:rFonts w:ascii="Arial" w:cs="Arial" w:eastAsia="Arial" w:hAnsi="Arial"/>
          <w:sz w:val="17"/>
          <w:szCs w:val="17"/>
          <w:color w:val="auto"/>
        </w:rPr>
        <w:t>In the case of any ADSs being offered to a financial intermediary as that term is used in the Prospectus Regulation, each such financial intermediary will be deemed to have represented, warranted, acknowledged and agreed that the ADSs acquired by it in the offering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has been obtained to each such proposed offer or resale.</w:t>
      </w:r>
    </w:p>
    <w:p>
      <w:pPr>
        <w:spacing w:after="0" w:line="111"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For the purposes of this provision, the expression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Hong Kong</w:t>
      </w:r>
    </w:p>
    <w:p>
      <w:pPr>
        <w:spacing w:after="0" w:line="46"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07" w:lineRule="exact"/>
        <w:rPr>
          <w:sz w:val="20"/>
          <w:szCs w:val="20"/>
          <w:color w:val="auto"/>
        </w:rPr>
      </w:pPr>
    </w:p>
    <w:p>
      <w:pPr>
        <w:ind w:left="1260" w:right="419"/>
        <w:spacing w:after="0" w:line="260" w:lineRule="auto"/>
        <w:rPr>
          <w:sz w:val="20"/>
          <w:szCs w:val="20"/>
          <w:color w:val="auto"/>
        </w:rPr>
      </w:pPr>
      <w:r>
        <w:rPr>
          <w:rFonts w:ascii="Arial" w:cs="Arial" w:eastAsia="Arial" w:hAnsi="Arial"/>
          <w:sz w:val="17"/>
          <w:szCs w:val="17"/>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Israel</w:t>
      </w:r>
    </w:p>
    <w:p>
      <w:pPr>
        <w:spacing w:after="0" w:line="46" w:lineRule="exact"/>
        <w:rPr>
          <w:sz w:val="20"/>
          <w:szCs w:val="20"/>
          <w:color w:val="auto"/>
        </w:rPr>
      </w:pPr>
    </w:p>
    <w:p>
      <w:pPr>
        <w:ind w:left="1260" w:right="459"/>
        <w:spacing w:after="0" w:line="260" w:lineRule="auto"/>
        <w:rPr>
          <w:sz w:val="20"/>
          <w:szCs w:val="20"/>
          <w:color w:val="auto"/>
        </w:rPr>
      </w:pPr>
      <w:r>
        <w:rPr>
          <w:rFonts w:ascii="Arial" w:cs="Arial" w:eastAsia="Arial" w:hAnsi="Arial"/>
          <w:sz w:val="17"/>
          <w:szCs w:val="17"/>
          <w:color w:val="auto"/>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ADSs is directed only at,</w:t>
      </w:r>
    </w:p>
    <w:p>
      <w:pPr>
        <w:spacing w:after="0" w:line="2" w:lineRule="exact"/>
        <w:rPr>
          <w:sz w:val="20"/>
          <w:szCs w:val="20"/>
          <w:color w:val="auto"/>
        </w:rPr>
      </w:pPr>
    </w:p>
    <w:p>
      <w:pPr>
        <w:ind w:left="1260" w:right="439"/>
        <w:spacing w:after="0" w:line="252" w:lineRule="auto"/>
        <w:tabs>
          <w:tab w:leader="none" w:pos="14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2" w:lineRule="exact"/>
        <w:rPr>
          <w:rFonts w:ascii="Arial" w:cs="Arial" w:eastAsia="Arial" w:hAnsi="Arial"/>
          <w:sz w:val="17"/>
          <w:szCs w:val="17"/>
          <w:color w:val="auto"/>
        </w:rPr>
      </w:pPr>
    </w:p>
    <w:p>
      <w:pPr>
        <w:ind w:left="1260" w:right="459"/>
        <w:spacing w:after="0" w:line="260" w:lineRule="auto"/>
        <w:rPr>
          <w:rFonts w:ascii="Arial" w:cs="Arial" w:eastAsia="Arial" w:hAnsi="Arial"/>
          <w:sz w:val="17"/>
          <w:szCs w:val="17"/>
          <w:color w:val="auto"/>
        </w:rPr>
      </w:pPr>
      <w:r>
        <w:rPr>
          <w:rFonts w:ascii="Arial" w:cs="Arial" w:eastAsia="Arial" w:hAnsi="Arial"/>
          <w:sz w:val="17"/>
          <w:szCs w:val="17"/>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Japan</w:t>
      </w:r>
    </w:p>
    <w:p>
      <w:pPr>
        <w:spacing w:after="0" w:line="46" w:lineRule="exact"/>
        <w:rPr>
          <w:sz w:val="20"/>
          <w:szCs w:val="20"/>
          <w:color w:val="auto"/>
        </w:rPr>
      </w:pPr>
    </w:p>
    <w:p>
      <w:pPr>
        <w:ind w:left="1260" w:right="479"/>
        <w:spacing w:after="0" w:line="260"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Singapore</w:t>
      </w:r>
    </w:p>
    <w:p>
      <w:pPr>
        <w:spacing w:after="0" w:line="46"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Where the ADSs are subscribed or purchased under Section 275 of the SFA by a relevant person which is:</w:t>
      </w:r>
    </w:p>
    <w:p>
      <w:pPr>
        <w:spacing w:after="0" w:line="88" w:lineRule="exact"/>
        <w:rPr>
          <w:sz w:val="20"/>
          <w:szCs w:val="20"/>
          <w:color w:val="auto"/>
        </w:rPr>
      </w:pPr>
    </w:p>
    <w:p>
      <w:pPr>
        <w:jc w:val="both"/>
        <w:ind w:left="1840" w:right="739" w:hanging="220"/>
        <w:spacing w:after="0" w:line="283" w:lineRule="auto"/>
        <w:tabs>
          <w:tab w:leader="none" w:pos="1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4" w:lineRule="exact"/>
        <w:rPr>
          <w:rFonts w:ascii="Arial" w:cs="Arial" w:eastAsia="Arial" w:hAnsi="Arial"/>
          <w:sz w:val="17"/>
          <w:szCs w:val="17"/>
          <w:color w:val="auto"/>
        </w:rPr>
      </w:pPr>
    </w:p>
    <w:p>
      <w:pPr>
        <w:ind w:left="1840" w:right="499" w:hanging="220"/>
        <w:spacing w:after="0" w:line="269" w:lineRule="auto"/>
        <w:tabs>
          <w:tab w:leader="none" w:pos="1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 (i)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9v) (as specified in Regulation 32 of the Securities and Futures (Offers of Investments) (Shares and Debentures) Regulations 2005 of Singapore.</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Switzerland</w:t>
      </w:r>
    </w:p>
    <w:p>
      <w:pPr>
        <w:spacing w:after="0" w:line="59"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Neither this prospectus supplement nor any other offering or marketing material relating to the offering, the Company or the securities have been or will be filed with or approved by any Swiss regulatory authority. In particular, this prospectus supplement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United Kingdom</w:t>
      </w:r>
    </w:p>
    <w:p>
      <w:pPr>
        <w:spacing w:after="0" w:line="59"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7"/>
          <w:szCs w:val="17"/>
          <w:color w:val="auto"/>
        </w:rPr>
        <w:t>No ADSs have been offered or will be offered pursuant to the offering to the public in the United Kingdom prior to the publication of a prospectus in relation to the ADSs which has been approved by the Financial Conduct Authority in the United Kingdom, except that the ADSs may be offered to the public in the United Kingdom at any time:</w:t>
      </w:r>
    </w:p>
    <w:p>
      <w:pPr>
        <w:spacing w:after="0" w:line="43" w:lineRule="exact"/>
        <w:rPr>
          <w:sz w:val="20"/>
          <w:szCs w:val="20"/>
          <w:color w:val="auto"/>
        </w:rPr>
      </w:pPr>
    </w:p>
    <w:p>
      <w:pPr>
        <w:ind w:left="1840" w:right="939" w:hanging="220"/>
        <w:spacing w:after="0" w:line="301" w:lineRule="auto"/>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9" w:lineRule="exact"/>
        <w:rPr>
          <w:rFonts w:ascii="Arial" w:cs="Arial" w:eastAsia="Arial" w:hAnsi="Arial"/>
          <w:sz w:val="17"/>
          <w:szCs w:val="17"/>
          <w:color w:val="auto"/>
        </w:rPr>
      </w:pPr>
    </w:p>
    <w:p>
      <w:pPr>
        <w:ind w:left="1840" w:right="419" w:hanging="220"/>
        <w:spacing w:after="0" w:line="283" w:lineRule="auto"/>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 for any such offer; or</w:t>
      </w:r>
    </w:p>
    <w:p>
      <w:pPr>
        <w:spacing w:after="0" w:line="24" w:lineRule="exact"/>
        <w:rPr>
          <w:rFonts w:ascii="Arial" w:cs="Arial" w:eastAsia="Arial" w:hAnsi="Arial"/>
          <w:sz w:val="17"/>
          <w:szCs w:val="17"/>
          <w:color w:val="auto"/>
        </w:rPr>
      </w:pPr>
    </w:p>
    <w:p>
      <w:pPr>
        <w:ind w:left="1840" w:hanging="220"/>
        <w:spacing w:after="0"/>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169"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provided that no such offer of the ADSs shall require us or any of the underwriters to publish a prospectus pursuant to Section 85 of the FSMA or Article 3 of the UK Prospectus Regulation or supplement a prospectus pursuant to Article 23 of the UK Prospectus Regulation. Each person in the United Kingdom who initially acquires any ADSs or to whom any offer is made will be deemed to have represented, warranted, acknowledged and agreed to and with us and each of the underwriters that it is a “qualified investor” within the meaning of the UK Prospectus Regulation.</w:t>
      </w:r>
    </w:p>
    <w:p>
      <w:pPr>
        <w:spacing w:after="0" w:line="115"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In the case of any ADSs being offered to a financial intermediary as that term is used in Article 5(1) of the UK Prospectus Regulation, each such financial intermediary will be deemed to have represented, warranted,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102"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the expression “UK Prospectus Regulation” means Regulation (EU) 2017/1129 as it forms part of domestic law in the United Kingdom by virtue of the European Union (Withdrawal) Act 2018, and the expression “FSMA” means the Financial Services and Markets Act 2000.</w:t>
      </w:r>
    </w:p>
    <w:p>
      <w:pPr>
        <w:spacing w:after="0" w:line="115" w:lineRule="exact"/>
        <w:rPr>
          <w:sz w:val="20"/>
          <w:szCs w:val="20"/>
          <w:color w:val="auto"/>
        </w:rPr>
      </w:pPr>
    </w:p>
    <w:p>
      <w:pPr>
        <w:ind w:left="1260" w:right="619"/>
        <w:spacing w:after="0" w:line="269" w:lineRule="auto"/>
        <w:rPr>
          <w:sz w:val="20"/>
          <w:szCs w:val="20"/>
          <w:color w:val="auto"/>
        </w:rPr>
      </w:pPr>
      <w:r>
        <w:rPr>
          <w:rFonts w:ascii="Arial" w:cs="Arial" w:eastAsia="Arial" w:hAnsi="Arial"/>
          <w:sz w:val="17"/>
          <w:szCs w:val="17"/>
          <w:color w:val="auto"/>
        </w:rPr>
        <w:t>In the United Kingdom, this prospectus is being distributed only to, and is directed only at, and any offer subsequently made may only be directed at persons who are “qualified investors” (as​ defined in the UK Prospectus Regulation) (i) who have professional experience in the matters relating to investments falling within Article 19(5) of the Financial Services and Markets Act 2000 (Financial Promotion) Order 2005, as amended, or the Order and/or (ii) who are high net worth companies falling within Article 49(2)(a) to (d) of the Order and other persons to whom it may lawfully be communicated or caused to be communicated (all such persons together being referred to as “relevant persons”). In the United Kingdom, this document is directed only at relevant persons and must not be acted on or relied on by persons who are not relevant persons. Any investment or investment activity to which this document relates is available in the United Kingdom to relevant persons and will be engaged in only with relevant persons.</w:t>
      </w: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LEGAL MATTERS</w:t>
      </w:r>
    </w:p>
    <w:p>
      <w:pPr>
        <w:spacing w:after="0" w:line="357" w:lineRule="exact"/>
        <w:rPr>
          <w:sz w:val="20"/>
          <w:szCs w:val="20"/>
          <w:color w:val="auto"/>
        </w:rPr>
      </w:pPr>
    </w:p>
    <w:p>
      <w:pPr>
        <w:ind w:left="1260" w:right="439"/>
        <w:spacing w:after="0" w:line="283" w:lineRule="auto"/>
        <w:rPr>
          <w:sz w:val="20"/>
          <w:szCs w:val="20"/>
          <w:color w:val="auto"/>
        </w:rPr>
      </w:pPr>
      <w:r>
        <w:rPr>
          <w:rFonts w:ascii="Arial" w:cs="Arial" w:eastAsia="Arial" w:hAnsi="Arial"/>
          <w:sz w:val="17"/>
          <w:szCs w:val="17"/>
          <w:color w:val="auto"/>
        </w:rPr>
        <w:t>Latham &amp; Watkins LLP will pass upon certain legal matters relating to the issuance and sale of the securities offered hereby on behalf of Verona Pharma plc. The underwriters are being represented in connection with this offering by Cooley LLP, New York, New York and Cooley (UK) LLP, London, United Kingdom.</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EXPERTS</w:t>
      </w:r>
    </w:p>
    <w:p>
      <w:pPr>
        <w:spacing w:after="0" w:line="343" w:lineRule="exact"/>
        <w:rPr>
          <w:sz w:val="20"/>
          <w:szCs w:val="20"/>
          <w:color w:val="auto"/>
        </w:rPr>
      </w:pPr>
    </w:p>
    <w:p>
      <w:pPr>
        <w:ind w:left="1260" w:right="619"/>
        <w:spacing w:after="0" w:line="272" w:lineRule="auto"/>
        <w:rPr>
          <w:sz w:val="20"/>
          <w:szCs w:val="20"/>
          <w:color w:val="auto"/>
        </w:rPr>
      </w:pPr>
      <w:r>
        <w:rPr>
          <w:rFonts w:ascii="Arial" w:cs="Arial" w:eastAsia="Arial" w:hAnsi="Arial"/>
          <w:sz w:val="17"/>
          <w:szCs w:val="17"/>
          <w:color w:val="auto"/>
        </w:rPr>
        <w:t>The financial statements incorporated in this prospectus supplement by reference to the Annual Report on Form 10-K for the year ended December 31, 2021 have been so incorporated in reliance on the report (which contains an emphasis of matter paragraph relating to the Company's requirement for additional financing to fund future operations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61" w:lineRule="exact"/>
        <w:rPr>
          <w:sz w:val="20"/>
          <w:szCs w:val="20"/>
          <w:color w:val="auto"/>
        </w:rPr>
      </w:pPr>
    </w:p>
    <w:p>
      <w:pPr>
        <w:ind w:left="1260" w:right="479"/>
        <w:spacing w:after="0" w:line="283" w:lineRule="auto"/>
        <w:rPr>
          <w:sz w:val="20"/>
          <w:szCs w:val="20"/>
          <w:color w:val="auto"/>
        </w:rPr>
      </w:pPr>
      <w:r>
        <w:rPr>
          <w:rFonts w:ascii="Arial" w:cs="Arial" w:eastAsia="Arial" w:hAnsi="Arial"/>
          <w:sz w:val="17"/>
          <w:szCs w:val="17"/>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5" w:lineRule="exact"/>
        <w:rPr>
          <w:sz w:val="20"/>
          <w:szCs w:val="20"/>
          <w:color w:val="auto"/>
        </w:rPr>
      </w:pPr>
    </w:p>
    <w:p>
      <w:pPr>
        <w:ind w:left="1260" w:right="899"/>
        <w:spacing w:after="0" w:line="301"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www.veronapharma.com</w:t>
      </w:r>
      <w:r>
        <w:rPr>
          <w:rFonts w:ascii="Arial" w:cs="Arial" w:eastAsia="Arial" w:hAnsi="Arial"/>
          <w:sz w:val="17"/>
          <w:szCs w:val="17"/>
          <w:color w:val="auto"/>
        </w:rPr>
        <w:t>. The information on our website, however, is not, and should not be deemed to be, a part of this prospectus supplement.</w:t>
      </w:r>
    </w:p>
    <w:p>
      <w:pPr>
        <w:spacing w:after="0" w:line="77"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Incorporation by Reference</w:t>
      </w:r>
    </w:p>
    <w:p>
      <w:pPr>
        <w:spacing w:after="0" w:line="61"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17" w:lineRule="exact"/>
        <w:rPr>
          <w:sz w:val="20"/>
          <w:szCs w:val="20"/>
          <w:color w:val="auto"/>
        </w:rPr>
      </w:pPr>
    </w:p>
    <w:p>
      <w:pPr>
        <w:ind w:left="1260" w:right="599"/>
        <w:spacing w:after="0" w:line="301" w:lineRule="auto"/>
        <w:rPr>
          <w:sz w:val="20"/>
          <w:szCs w:val="20"/>
          <w:color w:val="auto"/>
        </w:rPr>
      </w:pPr>
      <w:r>
        <w:rPr>
          <w:rFonts w:ascii="Arial" w:cs="Arial" w:eastAsia="Arial" w:hAnsi="Arial"/>
          <w:sz w:val="17"/>
          <w:szCs w:val="17"/>
          <w:color w:val="auto"/>
        </w:rPr>
        <w:t>This prospectus supplement incorporates by reference the documents set forth below that have previously been filed with the SEC and excluding any information furnished to the SEC:</w:t>
      </w:r>
    </w:p>
    <w:p>
      <w:pPr>
        <w:spacing w:after="0" w:line="9" w:lineRule="exact"/>
        <w:rPr>
          <w:sz w:val="20"/>
          <w:szCs w:val="20"/>
          <w:color w:val="auto"/>
        </w:rPr>
      </w:pPr>
    </w:p>
    <w:p>
      <w:pPr>
        <w:ind w:left="1840" w:right="859" w:hanging="220"/>
        <w:spacing w:after="0" w:line="301" w:lineRule="auto"/>
        <w:tabs>
          <w:tab w:leader="none" w:pos="1840" w:val="left"/>
        </w:tabs>
        <w:numPr>
          <w:ilvl w:val="0"/>
          <w:numId w:val="19"/>
        </w:numPr>
        <w:rPr>
          <w:rFonts w:ascii="Arial" w:cs="Arial" w:eastAsia="Arial" w:hAnsi="Arial"/>
          <w:sz w:val="17"/>
          <w:szCs w:val="17"/>
          <w:u w:val="single" w:color="auto"/>
          <w:color w:val="0000EE"/>
        </w:rPr>
      </w:pPr>
      <w:hyperlink r:id="rId74">
        <w:r>
          <w:rPr>
            <w:rFonts w:ascii="Arial" w:cs="Arial" w:eastAsia="Arial" w:hAnsi="Arial"/>
            <w:sz w:val="17"/>
            <w:szCs w:val="17"/>
            <w:u w:val="single" w:color="auto"/>
            <w:color w:val="0000EE"/>
          </w:rPr>
          <w:t>Our Annual Report on Form 10-K for the year ended December 31, 2021, filed with the SEC on</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March 3, 2022.</w:t>
        </w:r>
      </w:hyperlink>
    </w:p>
    <w:p>
      <w:pPr>
        <w:spacing w:after="0" w:line="22" w:lineRule="exact"/>
        <w:rPr>
          <w:rFonts w:ascii="Arial" w:cs="Arial" w:eastAsia="Arial" w:hAnsi="Arial"/>
          <w:sz w:val="17"/>
          <w:szCs w:val="17"/>
          <w:u w:val="single" w:color="auto"/>
          <w:color w:val="0000EE"/>
        </w:rPr>
      </w:pPr>
    </w:p>
    <w:p>
      <w:pPr>
        <w:ind w:left="1840" w:right="419" w:hanging="220"/>
        <w:spacing w:after="0" w:line="301" w:lineRule="auto"/>
        <w:tabs>
          <w:tab w:leader="none" w:pos="1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quarters ended March 31, 2022 and June 30, 2022, filed with the SEC on </w:t>
      </w:r>
      <w:hyperlink r:id="rId75">
        <w:r>
          <w:rPr>
            <w:rFonts w:ascii="Arial" w:cs="Arial" w:eastAsia="Arial" w:hAnsi="Arial"/>
            <w:sz w:val="17"/>
            <w:szCs w:val="17"/>
            <w:u w:val="single" w:color="auto"/>
            <w:color w:val="0000EE"/>
          </w:rPr>
          <w:t>May 3,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76">
        <w:r>
          <w:rPr>
            <w:rFonts w:ascii="Arial" w:cs="Arial" w:eastAsia="Arial" w:hAnsi="Arial"/>
            <w:sz w:val="17"/>
            <w:szCs w:val="17"/>
            <w:u w:val="single" w:color="auto"/>
            <w:color w:val="0000EE"/>
          </w:rPr>
          <w:t>August 9, 2022</w:t>
        </w:r>
      </w:hyperlink>
      <w:r>
        <w:rPr>
          <w:rFonts w:ascii="Arial" w:cs="Arial" w:eastAsia="Arial" w:hAnsi="Arial"/>
          <w:sz w:val="17"/>
          <w:szCs w:val="17"/>
          <w:color w:val="auto"/>
        </w:rPr>
        <w:t>, respectively.</w:t>
      </w:r>
    </w:p>
    <w:p>
      <w:pPr>
        <w:spacing w:after="0" w:line="9" w:lineRule="exact"/>
        <w:rPr>
          <w:rFonts w:ascii="Arial" w:cs="Arial" w:eastAsia="Arial" w:hAnsi="Arial"/>
          <w:sz w:val="17"/>
          <w:szCs w:val="17"/>
          <w:color w:val="auto"/>
        </w:rPr>
      </w:pPr>
    </w:p>
    <w:p>
      <w:pPr>
        <w:ind w:left="1840" w:right="459" w:hanging="220"/>
        <w:spacing w:after="0" w:line="301" w:lineRule="auto"/>
        <w:tabs>
          <w:tab w:leader="none" w:pos="1840" w:val="left"/>
        </w:tabs>
        <w:numPr>
          <w:ilvl w:val="0"/>
          <w:numId w:val="19"/>
        </w:numPr>
        <w:rPr>
          <w:rFonts w:ascii="Arial" w:cs="Arial" w:eastAsia="Arial" w:hAnsi="Arial"/>
          <w:sz w:val="17"/>
          <w:szCs w:val="17"/>
          <w:u w:val="single" w:color="auto"/>
          <w:color w:val="0000EE"/>
        </w:rPr>
      </w:pPr>
      <w:hyperlink r:id="rId77">
        <w:r>
          <w:rPr>
            <w:rFonts w:ascii="Arial" w:cs="Arial" w:eastAsia="Arial" w:hAnsi="Arial"/>
            <w:sz w:val="17"/>
            <w:szCs w:val="17"/>
            <w:u w:val="single" w:color="auto"/>
            <w:color w:val="0000EE"/>
          </w:rPr>
          <w:t>The information specifically incorporated by reference into our Annual Report on Form 10-K from our</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Definitive Proxy Statement on Schedule 14A, filed with the SEC on March 22, 2022.</w:t>
        </w:r>
      </w:hyperlink>
    </w:p>
    <w:p>
      <w:pPr>
        <w:spacing w:after="0" w:line="9" w:lineRule="exact"/>
        <w:rPr>
          <w:rFonts w:ascii="Arial" w:cs="Arial" w:eastAsia="Arial" w:hAnsi="Arial"/>
          <w:sz w:val="17"/>
          <w:szCs w:val="17"/>
          <w:u w:val="single" w:color="auto"/>
          <w:color w:val="0000EE"/>
        </w:rPr>
      </w:pPr>
    </w:p>
    <w:p>
      <w:pPr>
        <w:ind w:left="1840" w:right="499" w:hanging="220"/>
        <w:spacing w:after="0" w:line="301" w:lineRule="auto"/>
        <w:tabs>
          <w:tab w:leader="none" w:pos="1840" w:val="left"/>
        </w:tabs>
        <w:numPr>
          <w:ilvl w:val="0"/>
          <w:numId w:val="19"/>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78">
        <w:r>
          <w:rPr>
            <w:rFonts w:ascii="Arial" w:cs="Arial" w:eastAsia="Arial" w:hAnsi="Arial"/>
            <w:sz w:val="17"/>
            <w:szCs w:val="17"/>
            <w:u w:val="single" w:color="auto"/>
            <w:color w:val="0000EE"/>
          </w:rPr>
          <w:t>January 5,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(Item 8.01 only), </w:t>
      </w:r>
      <w:hyperlink r:id="rId79">
        <w:r>
          <w:rPr>
            <w:rFonts w:ascii="Arial" w:cs="Arial" w:eastAsia="Arial" w:hAnsi="Arial"/>
            <w:sz w:val="17"/>
            <w:szCs w:val="17"/>
            <w:u w:val="single" w:color="auto"/>
            <w:color w:val="0000EE"/>
          </w:rPr>
          <w:t>March 16,</w:t>
        </w:r>
      </w:hyperlink>
      <w:r>
        <w:rPr>
          <w:rFonts w:ascii="Arial" w:cs="Arial" w:eastAsia="Arial" w:hAnsi="Arial"/>
          <w:sz w:val="17"/>
          <w:szCs w:val="17"/>
          <w:color w:val="auto"/>
        </w:rPr>
        <w:t xml:space="preserve"> </w:t>
      </w:r>
      <w:hyperlink r:id="rId79">
        <w:r>
          <w:rPr>
            <w:rFonts w:ascii="Arial" w:cs="Arial" w:eastAsia="Arial" w:hAnsi="Arial"/>
            <w:sz w:val="17"/>
            <w:szCs w:val="17"/>
            <w:u w:val="single" w:color="auto"/>
            <w:color w:val="0000EE"/>
          </w:rPr>
          <w:t xml:space="preserve">2022, </w:t>
        </w:r>
      </w:hyperlink>
      <w:hyperlink r:id="rId80">
        <w:r>
          <w:rPr>
            <w:rFonts w:ascii="Arial" w:cs="Arial" w:eastAsia="Arial" w:hAnsi="Arial"/>
            <w:sz w:val="17"/>
            <w:szCs w:val="17"/>
            <w:u w:val="single" w:color="auto"/>
            <w:color w:val="0000EE"/>
          </w:rPr>
          <w:t>March 30,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81">
        <w:r>
          <w:rPr>
            <w:rFonts w:ascii="Arial" w:cs="Arial" w:eastAsia="Arial" w:hAnsi="Arial"/>
            <w:sz w:val="17"/>
            <w:szCs w:val="17"/>
            <w:u w:val="single" w:color="auto"/>
            <w:color w:val="0000EE"/>
          </w:rPr>
          <w:t xml:space="preserve">April 29, 2022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82">
        <w:r>
          <w:rPr>
            <w:rFonts w:ascii="Arial" w:cs="Arial" w:eastAsia="Arial" w:hAnsi="Arial"/>
            <w:sz w:val="17"/>
            <w:szCs w:val="17"/>
            <w:u w:val="single" w:color="auto"/>
            <w:color w:val="0000EE"/>
          </w:rPr>
          <w:t xml:space="preserve">August 9, 2022 </w:t>
        </w:r>
      </w:hyperlink>
      <w:r>
        <w:rPr>
          <w:rFonts w:ascii="Arial" w:cs="Arial" w:eastAsia="Arial" w:hAnsi="Arial"/>
          <w:sz w:val="17"/>
          <w:szCs w:val="17"/>
          <w:color w:val="000000"/>
        </w:rPr>
        <w:t>(Item</w:t>
      </w:r>
      <w:r>
        <w:rPr>
          <w:rFonts w:ascii="Arial" w:cs="Arial" w:eastAsia="Arial" w:hAnsi="Arial"/>
          <w:sz w:val="17"/>
          <w:szCs w:val="17"/>
          <w:color w:val="0000EE"/>
        </w:rPr>
        <w:t xml:space="preserve"> </w:t>
      </w:r>
      <w:r>
        <w:rPr>
          <w:rFonts w:ascii="Arial" w:cs="Arial" w:eastAsia="Arial" w:hAnsi="Arial"/>
          <w:sz w:val="17"/>
          <w:szCs w:val="17"/>
          <w:color w:val="000000"/>
        </w:rPr>
        <w:t>8.01 only).</w:t>
      </w:r>
    </w:p>
    <w:p>
      <w:pPr>
        <w:spacing w:after="0" w:line="22" w:lineRule="exact"/>
        <w:rPr>
          <w:rFonts w:ascii="Arial" w:cs="Arial" w:eastAsia="Arial" w:hAnsi="Arial"/>
          <w:sz w:val="17"/>
          <w:szCs w:val="17"/>
          <w:color w:val="0000EE"/>
        </w:rPr>
      </w:pPr>
    </w:p>
    <w:p>
      <w:pPr>
        <w:ind w:left="1840" w:right="499" w:hanging="220"/>
        <w:spacing w:after="0" w:line="283" w:lineRule="auto"/>
        <w:tabs>
          <w:tab w:leader="none" w:pos="1840" w:val="left"/>
        </w:tabs>
        <w:numPr>
          <w:ilvl w:val="0"/>
          <w:numId w:val="19"/>
        </w:numPr>
        <w:rPr>
          <w:rFonts w:ascii="Arial" w:cs="Arial" w:eastAsia="Arial" w:hAnsi="Arial"/>
          <w:sz w:val="17"/>
          <w:szCs w:val="17"/>
          <w:u w:val="single" w:color="auto"/>
          <w:color w:val="0000EE"/>
        </w:rPr>
      </w:pPr>
      <w:hyperlink r:id="rId83">
        <w:r>
          <w:rPr>
            <w:rFonts w:ascii="Arial" w:cs="Arial" w:eastAsia="Arial" w:hAnsi="Arial"/>
            <w:sz w:val="17"/>
            <w:szCs w:val="17"/>
            <w:u w:val="single" w:color="auto"/>
            <w:color w:val="0000EE"/>
          </w:rPr>
          <w:t>The description of our ordinary shares contained in our registration statement on Form 8-A filed with</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the SEC on April 19, 2017, including any amendments or reports filed for the purpose of updating</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such description.</w:t>
        </w:r>
      </w:hyperlink>
    </w:p>
    <w:p>
      <w:pPr>
        <w:spacing w:after="0" w:line="92" w:lineRule="exact"/>
        <w:rPr>
          <w:rFonts w:ascii="Arial" w:cs="Arial" w:eastAsia="Arial" w:hAnsi="Arial"/>
          <w:sz w:val="17"/>
          <w:szCs w:val="17"/>
          <w:u w:val="single" w:color="auto"/>
          <w:color w:val="0000EE"/>
        </w:rPr>
      </w:pPr>
    </w:p>
    <w:p>
      <w:pPr>
        <w:ind w:left="1260" w:right="459"/>
        <w:spacing w:after="0" w:line="277"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55" w:lineRule="exact"/>
        <w:rPr>
          <w:rFonts w:ascii="Arial" w:cs="Arial" w:eastAsia="Arial" w:hAnsi="Arial"/>
          <w:sz w:val="17"/>
          <w:szCs w:val="17"/>
          <w:u w:val="single" w:color="auto"/>
          <w:color w:val="0000EE"/>
        </w:rPr>
      </w:pPr>
    </w:p>
    <w:p>
      <w:pPr>
        <w:ind w:left="5180"/>
        <w:spacing w:after="0"/>
        <w:rPr>
          <w:sz w:val="20"/>
          <w:szCs w:val="20"/>
          <w:color w:val="auto"/>
        </w:rPr>
      </w:pPr>
      <w:r>
        <w:rPr>
          <w:rFonts w:ascii="Arial" w:cs="Arial" w:eastAsia="Arial" w:hAnsi="Arial"/>
          <w:sz w:val="16"/>
          <w:szCs w:val="16"/>
          <w:color w:val="auto"/>
        </w:rPr>
        <w:t>S-28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199"/>
        <w:spacing w:after="0" w:line="301" w:lineRule="auto"/>
        <w:rPr>
          <w:sz w:val="20"/>
          <w:szCs w:val="20"/>
          <w:color w:val="auto"/>
        </w:rPr>
      </w:pPr>
      <w:r>
        <w:rPr>
          <w:rFonts w:ascii="Arial" w:cs="Arial" w:eastAsia="Arial" w:hAnsi="Arial"/>
          <w:sz w:val="17"/>
          <w:szCs w:val="17"/>
          <w:color w:val="auto"/>
        </w:rPr>
        <w:t>You may request a free copy of any of the documents incorporated by reference in this prospectus supplement by writing or telephoning us at the following:</w:t>
      </w:r>
    </w:p>
    <w:p>
      <w:pPr>
        <w:spacing w:after="0" w:line="90"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Verona Pharma plc</w:t>
      </w:r>
    </w:p>
    <w:p>
      <w:pPr>
        <w:spacing w:after="0" w:line="29"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3 More London Riverside</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London SE1 2RE</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+44 203 283 4200</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info@veronapharma.com</w:t>
      </w:r>
    </w:p>
    <w:p>
      <w:pPr>
        <w:spacing w:after="0" w:line="147" w:lineRule="exact"/>
        <w:rPr>
          <w:sz w:val="20"/>
          <w:szCs w:val="20"/>
          <w:color w:val="auto"/>
        </w:rPr>
      </w:pPr>
    </w:p>
    <w:p>
      <w:pPr>
        <w:ind w:left="1260" w:right="519"/>
        <w:spacing w:after="0" w:line="301"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311150</wp:posOffset>
            </wp:positionV>
            <wp:extent cx="1688465" cy="651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2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$250,000,000</w:t>
      </w: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5"/>
          <w:szCs w:val="25"/>
          <w:b w:val="1"/>
          <w:bCs w:val="1"/>
          <w:color w:val="auto"/>
        </w:rPr>
        <w:t>(including Ordinary Shares in the form of American Depositary Shares)</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Debt Securities</w:t>
      </w:r>
    </w:p>
    <w:p>
      <w:pPr>
        <w:ind w:left="48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1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ADSs, each representing eight ordinary shares, are listed on The Nasdaq Global Market under the symbol “VRNA.” On March 16, 2021, the last reported sale price of our ADSs on The Nasdaq Global Market was $8.60 per ADS.</w:t>
      </w:r>
    </w:p>
    <w:p>
      <w:pPr>
        <w:spacing w:after="0" w:line="104" w:lineRule="exact"/>
        <w:rPr>
          <w:sz w:val="20"/>
          <w:szCs w:val="20"/>
          <w:color w:val="auto"/>
        </w:rPr>
      </w:pPr>
    </w:p>
    <w:p>
      <w:pPr>
        <w:jc w:val="both"/>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the documents incorporated by reference in this prospectus concerning factors you should consider before investing in our securities.</w:t>
      </w:r>
    </w:p>
    <w:p>
      <w:pPr>
        <w:spacing w:after="0" w:line="10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are eligible for reduced public company disclosure requirements</w:t>
      </w:r>
    </w:p>
    <w:p>
      <w:pPr>
        <w:spacing w:after="0" w:line="77"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7" w:lineRule="exact"/>
        <w:rPr>
          <w:sz w:val="20"/>
          <w:szCs w:val="20"/>
          <w:color w:val="auto"/>
        </w:rPr>
      </w:pPr>
    </w:p>
    <w:p>
      <w:pPr>
        <w:ind w:left="1260" w:right="180"/>
        <w:spacing w:after="0" w:line="297" w:lineRule="auto"/>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-204470</wp:posOffset>
            </wp:positionV>
            <wp:extent cx="441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4157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37458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3745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19888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13277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32778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134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34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Commission, or the SEC, using a “shelf” registration process. By using a shelf registration statement,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sell securities from time to time and in one or more offerings up to a total dollar amount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$250,000,000 as described in this prospectus. Each time that we offer and sell securities, we will provide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to this prospectus that contains specific information about the securities being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and sold and the specific terms of that offering. We may also authorize one or more free writing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prospectuses to be provided to you that may contain material information relating to these offerings.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or free writing prospectus may also add, update or change information contained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with respect to that offering. If there is any inconsistency between the information in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and the applicable prospectus supplement or free writing prospectus, you should rely 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or free writing prospectus, as applicable. Before purchasing any securities, you</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should carefully read both this prospectus and the applicable prospectus supplement (and any applicable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free writing prospectuses), together with the additional information described under the heading “Where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 Can Find More Information; Incorporation by Reference.”</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4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When we refer to Verona,” “we,” “our,” “us” and the “Company” in this prospectus, we mean Verona Pharma plc and its consolidated subsidiaries, unless otherwise specified. When we refer to “you,” we mean the potential holders of the applicable series of securities.</w:t>
      </w:r>
    </w:p>
    <w:p>
      <w:pPr>
        <w:spacing w:after="0" w:line="9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Solely for convenience, any trademarks, service marks, logos and trade names referred to in this</w:t>
      </w: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 xml:space="preserve">prospectus are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7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3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54" w:lineRule="exact"/>
        <w:rPr>
          <w:sz w:val="20"/>
          <w:szCs w:val="20"/>
          <w:color w:val="auto"/>
        </w:rPr>
      </w:pPr>
    </w:p>
    <w:p>
      <w:pPr>
        <w:ind w:left="1800" w:right="83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Our Annual Report on Form 10-K for the year ended December 31, 2020, filed with the SEC on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February 25, 2021.</w:t>
        </w:r>
      </w:hyperlink>
    </w:p>
    <w:p>
      <w:pPr>
        <w:spacing w:after="0" w:line="53" w:lineRule="exact"/>
        <w:rPr>
          <w:rFonts w:ascii="Times New Roman" w:cs="Times New Roman" w:eastAsia="Times New Roman" w:hAnsi="Times New Roman"/>
          <w:sz w:val="18"/>
          <w:szCs w:val="18"/>
          <w:u w:val="single" w:color="auto"/>
          <w:color w:val="0000EE"/>
        </w:rPr>
      </w:pPr>
    </w:p>
    <w:p>
      <w:pPr>
        <w:ind w:left="1800" w:right="6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w:t>
      </w:r>
      <w:hyperlink r:id="rId103">
        <w:r>
          <w:rPr>
            <w:rFonts w:ascii="Times New Roman" w:cs="Times New Roman" w:eastAsia="Times New Roman" w:hAnsi="Times New Roman"/>
            <w:sz w:val="18"/>
            <w:szCs w:val="18"/>
            <w:u w:val="single" w:color="auto"/>
            <w:color w:val="0000EE"/>
          </w:rPr>
          <w:t>Definitive Proxy Statement on Schedule 14A, filed with the SEC on March 19, 2021</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Our Current Report on Form 8-K filed with the SEC on March 2, 2021.</w:t>
        </w:r>
      </w:hyperlink>
    </w:p>
    <w:p>
      <w:pPr>
        <w:spacing w:after="0" w:line="117" w:lineRule="exact"/>
        <w:rPr>
          <w:rFonts w:ascii="Times New Roman" w:cs="Times New Roman" w:eastAsia="Times New Roman" w:hAnsi="Times New Roman"/>
          <w:sz w:val="18"/>
          <w:szCs w:val="18"/>
          <w:u w:val="single" w:color="auto"/>
          <w:color w:val="0000EE"/>
        </w:rPr>
      </w:pPr>
    </w:p>
    <w:p>
      <w:pPr>
        <w:ind w:left="1800" w:right="519" w:hanging="180"/>
        <w:spacing w:after="0" w:line="266"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The description of our ordinary shares and ADSs contained in our registration statement on Form 8-</w:t>
        </w:r>
      </w:hyperlink>
      <w:hyperlink r:id="rId105">
        <w:r>
          <w:rPr>
            <w:rFonts w:ascii="Times New Roman" w:cs="Times New Roman" w:eastAsia="Times New Roman" w:hAnsi="Times New Roman"/>
            <w:sz w:val="18"/>
            <w:szCs w:val="18"/>
            <w:u w:val="single" w:color="auto"/>
            <w:color w:val="0000EE"/>
          </w:rPr>
          <w:t>A filed with the SEC on April 19, 2017 and any amendment or report filed with the SEC for the</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purpose of updating the description.</w:t>
        </w:r>
      </w:hyperlink>
    </w:p>
    <w:p>
      <w:pPr>
        <w:spacing w:after="0" w:line="95" w:lineRule="exact"/>
        <w:rPr>
          <w:rFonts w:ascii="Times New Roman" w:cs="Times New Roman" w:eastAsia="Times New Roman" w:hAnsi="Times New Roman"/>
          <w:sz w:val="18"/>
          <w:szCs w:val="18"/>
          <w:u w:val="single" w:color="auto"/>
          <w:color w:val="0000EE"/>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97"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+44 203 283 4200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info@veronapharma.com</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needs. Our product candidate, ensifentrine, is a first-in-class, inhaled, dual inhibitor of the phosphodiesterase 3 and PDE4 enzymes. We are developing ensifentrine in three formulations for the most widely used inhalation devices: nebulizer, dry powder inhaler and pressurized metered-dose inhaler. Initially, we are targeting chronic obstructive pulmonary disease (“COPD”), a common, chronic, progressive, and life-threatening respiratory disease without a cure. If successfully developed, ensifentrine would be the first therapeutic with a novel mode of action for COPD in a decade. In 2020, we commenced a Phase 3 clinical trial of ensifentrine for the treatment of COPD.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3 More London Riverside, London SE1 2RE, United Kingdom, and our telephone number is +(44) 203 283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have been publicly filed with the Securities and Exchange Commission.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our share capital and material provisions of our Articles of Association, or the Articles, and applicable UK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Articles, the following summarizes the rights of holders of our voting ordinary shares:</w:t>
      </w:r>
    </w:p>
    <w:p>
      <w:pPr>
        <w:spacing w:after="0" w:line="54" w:lineRule="exact"/>
        <w:rPr>
          <w:sz w:val="20"/>
          <w:szCs w:val="20"/>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our ordinary shares is entitled to one vote per ordinary share on all matters to be voted on by shareholders generally;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ordinary shares shall be entitled to receive notice of, attend, speak and vote at our general meetings; and</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ordinary shares are entitled to receive such dividends as are recommended by our directors and declared by our shareholders.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Registered Shares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are required by the Companies Act 2006 to keep a register of our shareholders. Under English law, the ordinary shares are deemed to be issued when the name of the shareholder is entered in our share register. The share register therefore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325"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any of our shareholders or any other affected person may apply to the court for rectification of the share register if:</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our register of members; or</w:t>
      </w:r>
    </w:p>
    <w:p>
      <w:pPr>
        <w:spacing w:after="0" w:line="53" w:lineRule="exact"/>
        <w:rPr>
          <w:rFonts w:ascii="Times New Roman" w:cs="Times New Roman" w:eastAsia="Times New Roman" w:hAnsi="Times New Roman"/>
          <w:sz w:val="18"/>
          <w:szCs w:val="18"/>
          <w:color w:val="auto"/>
        </w:rPr>
      </w:pPr>
    </w:p>
    <w:p>
      <w:pPr>
        <w:jc w:val="both"/>
        <w:ind w:left="1800" w:right="93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16, 2020, our shareholders approved the exclusion of preemptive rights up to an aggregate nominal amount of £21,065,327.60 which shall expire on June 1, 2021 unless renewed, revoked or varied sooner.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 and Rights Attaching to Them</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Objects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objects of our company are unrestricted.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Rights</w:t>
      </w:r>
    </w:p>
    <w:p>
      <w:pPr>
        <w:spacing w:after="0" w:line="16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jc w:val="both"/>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69" w:lineRule="exact"/>
        <w:rPr>
          <w:sz w:val="20"/>
          <w:szCs w:val="20"/>
          <w:color w:val="auto"/>
        </w:rPr>
      </w:pPr>
    </w:p>
    <w:p>
      <w:pPr>
        <w:ind w:left="1800" w:right="6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every shareholder who (being an individual) is present in person and (being a corporation) is present by a duly authorized representative shall have one vote;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8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who is present in person or by proxy shall have one vote for each share of which he is the holder.</w:t>
      </w:r>
    </w:p>
    <w:p>
      <w:pPr>
        <w:spacing w:after="0" w:line="9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shareholders present in person or by proxy and entitled to vote;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54" w:lineRule="exact"/>
        <w:rPr>
          <w:rFonts w:ascii="Times New Roman" w:cs="Times New Roman" w:eastAsia="Times New Roman" w:hAnsi="Times New Roman"/>
          <w:sz w:val="18"/>
          <w:szCs w:val="18"/>
          <w:color w:val="auto"/>
        </w:rPr>
      </w:pPr>
    </w:p>
    <w:p>
      <w:pPr>
        <w:ind w:left="1800" w:right="559" w:hanging="180"/>
        <w:spacing w:after="0" w:line="263"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Restrictions on Voting</w:t>
      </w:r>
    </w:p>
    <w:p>
      <w:pPr>
        <w:spacing w:after="0" w:line="160"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314"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09"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holders of non-voting ordinary shares shall be entitled to receive notice of, attend or vote at any general meeting.</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14"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32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102"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0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11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There is no specific provision in our articles of association that would have the effect of delaying, deferring or preventing a change of control.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Winding Up</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6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Alteration to Share Capital</w:t>
      </w:r>
    </w:p>
    <w:p>
      <w:pPr>
        <w:spacing w:after="0" w:line="14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 Other U.K. Law Considerations — Purchase of Own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Preemption Rights</w:t>
      </w:r>
    </w:p>
    <w:p>
      <w:pPr>
        <w:spacing w:after="0" w:line="16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9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may decline to register any transfer of any share:</w:t>
      </w:r>
    </w:p>
    <w:p>
      <w:pPr>
        <w:spacing w:after="0" w:line="11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a fully paid share;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known to be a minor, bankrupt or person who is mentally disordered or a patient for the purpose of any statute relating to mental health;</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entity which is not a natural or legal person;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7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in respect of more than one class of share; and</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exceeds four.</w:t>
      </w:r>
    </w:p>
    <w:p>
      <w:pPr>
        <w:spacing w:after="0" w:line="81" w:lineRule="exact"/>
        <w:rPr>
          <w:sz w:val="20"/>
          <w:szCs w:val="20"/>
          <w:color w:val="auto"/>
        </w:rPr>
      </w:pPr>
    </w:p>
    <w:p>
      <w:pPr>
        <w:jc w:val="both"/>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46"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325"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arrangements for the calling of general meetings are described in “— Differences in Corporate Law — Notice of General Meetings” below.</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Quorum of General Meetings</w:t>
      </w:r>
    </w:p>
    <w:p>
      <w:pPr>
        <w:spacing w:after="0" w:line="146" w:lineRule="exact"/>
        <w:rPr>
          <w:sz w:val="20"/>
          <w:szCs w:val="20"/>
          <w:color w:val="auto"/>
        </w:rPr>
      </w:pPr>
    </w:p>
    <w:p>
      <w:pPr>
        <w:ind w:left="1260" w:right="419" w:firstLine="360"/>
        <w:spacing w:after="0" w:line="225"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At least two shareholders present in person or by proxy and entitled to vote, holding or representing at least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w:t>
      </w:r>
    </w:p>
    <w:p>
      <w:pPr>
        <w:spacing w:after="0" w:line="2"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issued and outstanding shares of the Company’s ordinary voting shares present at such general meeting in person or by proxy, shall be a quorum for all purposes.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Meetings</w:t>
      </w:r>
    </w:p>
    <w:p>
      <w:pPr>
        <w:spacing w:after="0" w:line="146"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provisions in the Articles of Association relating to general meetings apply to every separate general meeting of the holders of a class of shares except that:</w:t>
      </w:r>
    </w:p>
    <w:p>
      <w:pPr>
        <w:spacing w:after="0" w:line="40" w:lineRule="exact"/>
        <w:rPr>
          <w:sz w:val="20"/>
          <w:szCs w:val="20"/>
          <w:color w:val="auto"/>
        </w:rPr>
      </w:pPr>
    </w:p>
    <w:p>
      <w:pPr>
        <w:ind w:left="1800" w:right="419" w:hanging="180"/>
        <w:spacing w:after="0" w:line="265"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such class meeting shall be two holders in person or by proxy representing not less than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nominal value of the issued shares of the class (excluding any shares held in treasury);</w:t>
      </w:r>
    </w:p>
    <w:p>
      <w:pPr>
        <w:ind w:left="1800" w:right="49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class meeting, a holder of shares of the class present in person or by proxy may demand a poll and shall on a poll be entitled to one vote for every share of the class held by him; and</w:t>
      </w:r>
    </w:p>
    <w:p>
      <w:pPr>
        <w:spacing w:after="0" w:line="4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adjourned meeting of such holders a quorum is not present at the meeting, one holder of shares of the class present in person or by proxy at an adjourned meeting constitutes a quorum.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Number of Directors</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may not have less than two directors on the board of directors. We may, by ordinary resolution of the shareholders, vary the minimum and maximum number of directors from time to time.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46"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Articles of Association, we may, by ordinary resolution of the shareholders, elect any person to be a director, either to fill a casual vacancy or as an addition to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139"/>
        <w:spacing w:after="0" w:line="258" w:lineRule="auto"/>
        <w:rPr>
          <w:sz w:val="20"/>
          <w:szCs w:val="20"/>
          <w:color w:val="auto"/>
        </w:rPr>
      </w:pPr>
      <w:r>
        <w:rPr>
          <w:rFonts w:ascii="Times New Roman" w:cs="Times New Roman" w:eastAsia="Times New Roman" w:hAnsi="Times New Roman"/>
          <w:sz w:val="18"/>
          <w:szCs w:val="18"/>
          <w:color w:val="auto"/>
        </w:rPr>
        <w:t>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Rotation of Directors</w:t>
      </w:r>
    </w:p>
    <w:p>
      <w:pPr>
        <w:spacing w:after="0" w:line="16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At every annual general meeting, one-third of the directors or, if their number is not a multiple of three, then the number nearest to and not exceeding one-third, shall retire from office.</w:t>
      </w:r>
    </w:p>
    <w:p>
      <w:pPr>
        <w:spacing w:after="0" w:line="9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director who retires at the annual general meeting shall be eligible for re-election.</w:t>
      </w:r>
    </w:p>
    <w:p>
      <w:pPr>
        <w:spacing w:after="0" w:line="158"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Interests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1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85" w:lineRule="exact"/>
        <w:rPr>
          <w:sz w:val="20"/>
          <w:szCs w:val="20"/>
          <w:color w:val="auto"/>
        </w:rPr>
      </w:pPr>
    </w:p>
    <w:p>
      <w:pPr>
        <w:jc w:val="both"/>
        <w:ind w:left="1800" w:right="5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54" w:lineRule="exact"/>
        <w:rPr>
          <w:rFonts w:ascii="Times New Roman" w:cs="Times New Roman" w:eastAsia="Times New Roman" w:hAnsi="Times New Roman"/>
          <w:sz w:val="18"/>
          <w:szCs w:val="18"/>
          <w:color w:val="auto"/>
        </w:rPr>
      </w:pPr>
    </w:p>
    <w:p>
      <w:pPr>
        <w:ind w:left="1800" w:right="639" w:hanging="180"/>
        <w:spacing w:after="0" w:line="263"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291"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interest arises by virtue of any offer of shares or debentures or other securities by us or our subsidiaries for subscription or purchase in which offer the director is or may be entitled to participate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spacing w:after="0" w:line="282" w:lineRule="auto"/>
        <w:rPr>
          <w:sz w:val="20"/>
          <w:szCs w:val="20"/>
          <w:color w:val="auto"/>
        </w:rPr>
      </w:pPr>
      <w:r>
        <w:rPr>
          <w:rFonts w:ascii="Times New Roman" w:cs="Times New Roman" w:eastAsia="Times New Roman" w:hAnsi="Times New Roman"/>
          <w:sz w:val="18"/>
          <w:szCs w:val="18"/>
          <w:color w:val="auto"/>
        </w:rPr>
        <w:t>as a holder of securities or in the director is interested as a participant in the underwriting or sub-underwriting thereof;</w:t>
      </w:r>
    </w:p>
    <w:p>
      <w:pPr>
        <w:spacing w:after="0" w:line="81" w:lineRule="exact"/>
        <w:rPr>
          <w:sz w:val="20"/>
          <w:szCs w:val="20"/>
          <w:color w:val="auto"/>
        </w:rPr>
      </w:pPr>
    </w:p>
    <w:p>
      <w:pPr>
        <w:ind w:left="1800" w:right="41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8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8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02"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31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 director shall not be counted in the quorum present at a meeting in relation to a resolution on which he is not entitled to vote.</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Fees and Remuneration</w:t>
      </w:r>
    </w:p>
    <w:p>
      <w:pPr>
        <w:spacing w:after="0" w:line="160"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120"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An executive director shall receive such remuneration as the board may determine, and either in addition to or in lieu of his remuneration as a director as detailed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Borrowing Powers</w:t>
      </w:r>
    </w:p>
    <w:p>
      <w:pPr>
        <w:spacing w:after="0" w:line="16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Indemnity</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U.K. Law Considerations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4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4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108" w:lineRule="exact"/>
        <w:rPr>
          <w:sz w:val="20"/>
          <w:szCs w:val="20"/>
          <w:color w:val="auto"/>
        </w:rPr>
      </w:pPr>
    </w:p>
    <w:p>
      <w:pPr>
        <w:ind w:left="1620" w:right="439"/>
        <w:spacing w:after="0" w:line="266" w:lineRule="auto"/>
        <w:tabs>
          <w:tab w:leader="none" w:pos="17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08" w:lineRule="exact"/>
        <w:rPr>
          <w:rFonts w:ascii="Times New Roman" w:cs="Times New Roman" w:eastAsia="Times New Roman" w:hAnsi="Times New Roman"/>
          <w:sz w:val="18"/>
          <w:szCs w:val="18"/>
          <w:color w:val="auto"/>
        </w:rPr>
      </w:pPr>
    </w:p>
    <w:p>
      <w:pPr>
        <w:ind w:left="1620" w:right="619"/>
        <w:spacing w:after="0" w:line="282" w:lineRule="auto"/>
        <w:tabs>
          <w:tab w:leader="none" w:pos="17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(a) any dividend or other money payable in respect of the default shares shall be retained by us without liability to pay interest, and/or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1" w:lineRule="auto"/>
        <w:tabs>
          <w:tab w:leader="none" w:pos="18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96" w:lineRule="exact"/>
        <w:rPr>
          <w:sz w:val="20"/>
          <w:szCs w:val="20"/>
          <w:color w:val="auto"/>
        </w:rPr>
      </w:pPr>
    </w:p>
    <w:p>
      <w:pPr>
        <w:ind w:left="1620" w:right="579"/>
        <w:spacing w:after="0" w:line="267" w:lineRule="auto"/>
        <w:tabs>
          <w:tab w:leader="none" w:pos="17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60"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334"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88"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3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and Dividends</w:t>
      </w:r>
    </w:p>
    <w:p>
      <w:pPr>
        <w:spacing w:after="0" w:line="14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2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It is not sufficient that we, as a public company, have made a distributable profit for the purpose of</w:t>
      </w:r>
    </w:p>
    <w:p>
      <w:pPr>
        <w:spacing w:after="0" w:line="27"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color w:val="auto"/>
        </w:rPr>
        <w:t>making a distribution. An additional capital maintenance requirement is imposed on us to ensure that the net worth of the company is at least equal to the amount of its capital. A public company can only make a distribution:</w:t>
      </w:r>
    </w:p>
    <w:p>
      <w:pPr>
        <w:spacing w:after="0" w:line="77" w:lineRule="exact"/>
        <w:rPr>
          <w:sz w:val="20"/>
          <w:szCs w:val="20"/>
          <w:color w:val="auto"/>
        </w:rPr>
      </w:pPr>
    </w:p>
    <w:p>
      <w:pPr>
        <w:ind w:left="1800" w:right="7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Takeovers and Mergers</w:t>
      </w:r>
    </w:p>
    <w:p>
      <w:pPr>
        <w:spacing w:after="0" w:line="16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Following our delisting from AIM,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 United Kingdom, Channel Islands or the Isle of Man. We have incorporated certain takeover protections in our articles of association so that we are able to defend ourselves and our shareholders from hostile takeovers.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Directors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Under the Companies Act 2006, 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 corporation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public limited company must have at</w:t>
            </w: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must have at least one director and the</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least two directors and the number of</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of directors shall be fixed by or</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be fixed by or in the</w:t>
            </w: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the manner provided in the bylaws.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manner provided in a company’s</w:t>
            </w:r>
          </w:p>
        </w:tc>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w:t>
            </w: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820" w:space="160"/>
            <w:col w:w="68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​Vacancies on the</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Under the Companies Act 2006,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Under English law, the procedure by which directors, other than a company’s initial directors, are appointed is generally set out in a company’s articles of association, provided that where two or more</w:t>
      </w:r>
    </w:p>
    <w:p>
      <w:pPr>
        <w:spacing w:after="0" w:line="200" w:lineRule="exact"/>
        <w:rPr>
          <w:sz w:val="20"/>
          <w:szCs w:val="20"/>
          <w:color w:val="auto"/>
        </w:rPr>
      </w:pPr>
    </w:p>
    <w:p>
      <w:pPr>
        <w:spacing w:after="0" w:line="2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2" w:right="40" w:hanging="212"/>
        <w:spacing w:after="0" w:line="266" w:lineRule="auto"/>
        <w:tabs>
          <w:tab w:leader="none" w:pos="1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17" w:lineRule="exact"/>
        <w:rPr>
          <w:rFonts w:ascii="Times New Roman" w:cs="Times New Roman" w:eastAsia="Times New Roman" w:hAnsi="Times New Roman"/>
          <w:sz w:val="18"/>
          <w:szCs w:val="18"/>
          <w:color w:val="auto"/>
        </w:rPr>
      </w:pPr>
    </w:p>
    <w:p>
      <w:pPr>
        <w:ind w:left="212" w:hanging="212"/>
        <w:spacing w:after="0" w:line="274" w:lineRule="auto"/>
        <w:tabs>
          <w:tab w:leader="none" w:pos="1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Delaware law, vacancies and newly created directorships may be filled by a majority of the directors then in office (even though less than a quorum) or by a sole remaining director unless (a) otherwise provided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5">
            <w:col w:w="2880" w:space="100"/>
            <w:col w:w="160" w:space="60"/>
            <w:col w:w="3020" w:space="8"/>
            <w:col w:w="3232" w:space="0"/>
            <w:col w:w="41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General</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tabs>
          <w:tab w:leader="none" w:pos="1140" w:val="left"/>
          <w:tab w:leader="none" w:pos="3280" w:val="left"/>
          <w:tab w:leader="none" w:pos="4680" w:val="left"/>
          <w:tab w:leader="none" w:pos="64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29210</wp:posOffset>
            </wp:positionV>
            <wp:extent cx="39776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persons are appointed as directors of a  ​ ​ in the certificate of incorporation or by-​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limited company by resolution</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laws of the corporation or (b) the</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shareholders, resolutions</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directs that</w:t>
            </w: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appointing each director must be voted</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particular class of stock is to elect</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individually.</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director, in which case a majority</w:t>
            </w:r>
          </w:p>
        </w:tc>
        <w:tc>
          <w:tcPr>
            <w:tcW w:w="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other directors elected by such</w:t>
            </w: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or a sole remaining director</w:t>
            </w: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elected by such class, will fill such</w:t>
            </w: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vacancy.</w:t>
            </w:r>
          </w:p>
        </w:tc>
        <w:tc>
          <w:tcPr>
            <w:tcW w:w="60" w:type="dxa"/>
            <w:vAlign w:val="bottom"/>
          </w:tcPr>
          <w:p>
            <w:pPr>
              <w:spacing w:after="0"/>
              <w:rPr>
                <w:sz w:val="19"/>
                <w:szCs w:val="19"/>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the Companies Act 2006, a</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Delaware law, the annual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limited company must hold an</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 of stockholders shall be held at</w:t>
            </w: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general meeting in each six-</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place, on such date and at such</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 period following the company’s</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as may be designated from time to</w:t>
            </w:r>
          </w:p>
        </w:tc>
        <w:tc>
          <w:tcPr>
            <w:tcW w:w="60" w:type="dxa"/>
            <w:vAlign w:val="bottom"/>
          </w:tcPr>
          <w:p>
            <w:pPr>
              <w:spacing w:after="0"/>
              <w:rPr>
                <w:sz w:val="19"/>
                <w:szCs w:val="19"/>
                <w:color w:val="auto"/>
              </w:rPr>
            </w:pPr>
          </w:p>
        </w:tc>
      </w:tr>
      <w:tr>
        <w:trPr>
          <w:trHeight w:val="216"/>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accounting reference date.</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by the board of directors or as</w:t>
            </w: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provided in the certificate of</w:t>
            </w: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or by the bylaws.</w:t>
            </w:r>
          </w:p>
        </w:tc>
        <w:tc>
          <w:tcPr>
            <w:tcW w:w="60" w:type="dxa"/>
            <w:vAlign w:val="bottom"/>
          </w:tcPr>
          <w:p>
            <w:pPr>
              <w:spacing w:after="0"/>
              <w:rPr>
                <w:sz w:val="19"/>
                <w:szCs w:val="19"/>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the Companies Act 2006, a</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Delaware law, special meetings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meeting of the shareholders of</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stockholders may be called by</w:t>
            </w: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public limited company may be called</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board of directors or by such person</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the directors.</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persons as may be authorized by the</w:t>
            </w:r>
          </w:p>
        </w:tc>
        <w:tc>
          <w:tcPr>
            <w:tcW w:w="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or by the</w:t>
            </w: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bylaws.</w:t>
            </w:r>
          </w:p>
        </w:tc>
        <w:tc>
          <w:tcPr>
            <w:tcW w:w="60" w:type="dxa"/>
            <w:vAlign w:val="bottom"/>
          </w:tcPr>
          <w:p>
            <w:pPr>
              <w:spacing w:after="0"/>
              <w:rPr>
                <w:sz w:val="19"/>
                <w:szCs w:val="19"/>
                <w:color w:val="auto"/>
              </w:rPr>
            </w:pPr>
          </w:p>
        </w:tc>
      </w:tr>
      <w:tr>
        <w:trPr>
          <w:trHeight w:val="25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Shareholders holding at least 5% of the ​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paid-up capital of the company carrying</w:t>
            </w:r>
          </w:p>
        </w:tc>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rights at general meetings</w:t>
            </w:r>
          </w:p>
        </w:tc>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(excluding nay paid up capital held as</w:t>
            </w:r>
          </w:p>
        </w:tc>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shares) can require the</w:t>
            </w:r>
          </w:p>
        </w:tc>
        <w:tc>
          <w:tcPr>
            <w:tcW w:w="32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directors to call a general meeting and,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if the directors fail to do so within 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certain period, may themselves convene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general meeting.</w:t>
      </w:r>
    </w:p>
    <w:p>
      <w:pPr>
        <w:spacing w:after="0" w:line="23" w:lineRule="exact"/>
        <w:rPr>
          <w:sz w:val="20"/>
          <w:szCs w:val="20"/>
          <w:color w:val="auto"/>
        </w:rPr>
      </w:pPr>
    </w:p>
    <w:p>
      <w:pPr>
        <w:sectPr>
          <w:pgSz w:w="11900" w:h="16838" w:orient="portrait"/>
          <w:cols w:equalWidth="0" w:num="2">
            <w:col w:w="2520" w:space="460"/>
            <w:col w:w="68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​Notice of General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Under the Companies Act 2006,</w:t>
      </w:r>
    </w:p>
    <w:p>
      <w:pPr>
        <w:spacing w:after="0" w:line="50" w:lineRule="exact"/>
        <w:rPr>
          <w:sz w:val="20"/>
          <w:szCs w:val="20"/>
          <w:color w:val="auto"/>
        </w:rPr>
      </w:pPr>
    </w:p>
    <w:p>
      <w:pPr>
        <w:ind w:left="220"/>
        <w:spacing w:after="0" w:line="246" w:lineRule="auto"/>
        <w:rPr>
          <w:sz w:val="20"/>
          <w:szCs w:val="20"/>
          <w:color w:val="auto"/>
        </w:rPr>
      </w:pPr>
      <w:r>
        <w:rPr>
          <w:rFonts w:ascii="Times New Roman" w:cs="Times New Roman" w:eastAsia="Times New Roman" w:hAnsi="Times New Roman"/>
          <w:sz w:val="18"/>
          <w:szCs w:val="18"/>
          <w:color w:val="auto"/>
        </w:rPr>
        <w:t>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w:t>
      </w:r>
    </w:p>
    <w:p>
      <w:pPr>
        <w:spacing w:after="0" w:line="20" w:lineRule="exact"/>
        <w:rPr>
          <w:sz w:val="20"/>
          <w:szCs w:val="20"/>
          <w:color w:val="auto"/>
        </w:rPr>
      </w:pPr>
      <w:r>
        <w:rPr>
          <w:sz w:val="20"/>
          <w:szCs w:val="20"/>
          <w:color w:val="auto"/>
        </w:rPr>
        <w:br w:type="column"/>
      </w:r>
    </w:p>
    <w:p>
      <w:pPr>
        <w:ind w:right="359" w:hanging="215"/>
        <w:spacing w:after="0" w:line="271" w:lineRule="auto"/>
        <w:rPr>
          <w:sz w:val="20"/>
          <w:szCs w:val="20"/>
          <w:color w:val="auto"/>
        </w:rPr>
      </w:pPr>
      <w:r>
        <w:rPr>
          <w:rFonts w:ascii="Times New Roman" w:cs="Times New Roman" w:eastAsia="Times New Roman" w:hAnsi="Times New Roman"/>
          <w:sz w:val="18"/>
          <w:szCs w:val="18"/>
          <w:color w:val="auto"/>
        </w:rPr>
        <w:t>​ ​ Under Delaware law, unless otherwise ​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171" w:lineRule="exact"/>
        <w:rPr>
          <w:sz w:val="20"/>
          <w:szCs w:val="20"/>
          <w:color w:val="auto"/>
        </w:rPr>
      </w:pPr>
    </w:p>
    <w:p>
      <w:pPr>
        <w:sectPr>
          <w:pgSz w:w="11900" w:h="16838" w:orient="portrait"/>
          <w:cols w:equalWidth="0" w:num="3">
            <w:col w:w="2600" w:space="380"/>
            <w:col w:w="3240" w:space="220"/>
            <w:col w:w="3439"/>
          </w:cols>
          <w:pgMar w:left="580" w:top="97" w:right="1440" w:bottom="1440" w:gutter="0" w:footer="0" w:header="0"/>
          <w:type w:val="continuous"/>
        </w:sectPr>
      </w:pPr>
    </w:p>
    <w:p>
      <w:pPr>
        <w:spacing w:after="0" w:line="1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080" w:val="left"/>
          <w:tab w:leader="none" w:pos="3220" w:val="left"/>
          <w:tab w:leader="none" w:pos="4620" w:val="left"/>
          <w:tab w:leader="none" w:pos="64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29210</wp:posOffset>
            </wp:positionV>
            <wp:extent cx="39776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320" w:space="720"/>
            <w:col w:w="68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​Pre-emptive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​Authority to Allot</w:t>
      </w:r>
    </w:p>
    <w:p>
      <w:pPr>
        <w:spacing w:after="0" w:line="20" w:lineRule="exact"/>
        <w:rPr>
          <w:sz w:val="20"/>
          <w:szCs w:val="20"/>
          <w:color w:val="auto"/>
        </w:rPr>
      </w:pPr>
      <w:r>
        <w:rPr>
          <w:sz w:val="20"/>
          <w:szCs w:val="20"/>
          <w:color w:val="auto"/>
        </w:rPr>
        <w:br w:type="column"/>
      </w:r>
    </w:p>
    <w:p>
      <w:pPr>
        <w:ind w:left="212" w:right="40" w:hanging="212"/>
        <w:spacing w:after="0" w:line="252" w:lineRule="auto"/>
        <w:tabs>
          <w:tab w:leader="none" w:pos="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majority in number of the members having a right to attend and vote at the meeting, being a majority who together hold not less than 95% in nominal value of the shares giving a right to attend and vote at the meeting.</w:t>
      </w:r>
    </w:p>
    <w:p>
      <w:pPr>
        <w:spacing w:after="0" w:line="1" w:lineRule="exact"/>
        <w:rPr>
          <w:rFonts w:ascii="Times New Roman" w:cs="Times New Roman" w:eastAsia="Times New Roman" w:hAnsi="Times New Roman"/>
          <w:sz w:val="18"/>
          <w:szCs w:val="18"/>
          <w:color w:val="auto"/>
        </w:rPr>
      </w:pPr>
    </w:p>
    <w:p>
      <w:pPr>
        <w:ind w:left="212" w:right="20" w:hanging="212"/>
        <w:spacing w:after="0" w:line="272" w:lineRule="auto"/>
        <w:tabs>
          <w:tab w:leader="none" w:pos="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at any meeting of shareholders, a shareholder may designate another person to attend, speak and vote at the meeting on their behalf by proxy.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ind w:left="212" w:hanging="212"/>
        <w:spacing w:after="0" w:line="267" w:lineRule="auto"/>
        <w:tabs>
          <w:tab w:leader="none" w:pos="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“equity securities”, 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 2006.</w:t>
      </w:r>
    </w:p>
    <w:p>
      <w:pPr>
        <w:spacing w:after="0" w:line="206" w:lineRule="exact"/>
        <w:rPr>
          <w:rFonts w:ascii="Times New Roman" w:cs="Times New Roman" w:eastAsia="Times New Roman" w:hAnsi="Times New Roman"/>
          <w:sz w:val="18"/>
          <w:szCs w:val="18"/>
          <w:color w:val="auto"/>
        </w:rPr>
      </w:pPr>
    </w:p>
    <w:p>
      <w:pPr>
        <w:ind w:left="212" w:hanging="212"/>
        <w:spacing w:after="0" w:line="270" w:lineRule="auto"/>
        <w:tabs>
          <w:tab w:leader="none" w:pos="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the directors of a 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359" w:hanging="215"/>
        <w:spacing w:after="0" w:line="268" w:lineRule="auto"/>
        <w:rPr>
          <w:sz w:val="20"/>
          <w:szCs w:val="20"/>
          <w:color w:val="auto"/>
        </w:rPr>
      </w:pPr>
      <w:r>
        <w:rPr>
          <w:rFonts w:ascii="Times New Roman" w:cs="Times New Roman" w:eastAsia="Times New Roman" w:hAnsi="Times New Roman"/>
          <w:sz w:val="18"/>
          <w:szCs w:val="18"/>
          <w:color w:val="auto"/>
        </w:rPr>
        <w:t>​ ​ Under Delaware law, at any meeting of ​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 w:lineRule="exact"/>
        <w:rPr>
          <w:sz w:val="20"/>
          <w:szCs w:val="20"/>
          <w:color w:val="auto"/>
        </w:rPr>
      </w:pPr>
    </w:p>
    <w:p>
      <w:pPr>
        <w:ind w:left="220" w:right="359" w:hanging="215"/>
        <w:spacing w:after="0" w:line="270" w:lineRule="auto"/>
        <w:rPr>
          <w:sz w:val="20"/>
          <w:szCs w:val="20"/>
          <w:color w:val="auto"/>
        </w:rPr>
      </w:pPr>
      <w:r>
        <w:rPr>
          <w:rFonts w:ascii="Times New Roman" w:cs="Times New Roman" w:eastAsia="Times New Roman" w:hAnsi="Times New Roman"/>
          <w:sz w:val="18"/>
          <w:szCs w:val="18"/>
          <w:color w:val="auto"/>
        </w:rPr>
        <w:t>​ ​ Under Delaware law, shareholders have ​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 ​ Under Delaware law, if the</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corporation’s charter or certificate of</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so provides, the board of</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directors has the power to authorize the</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It may authorize</w:t>
            </w:r>
          </w:p>
        </w:tc>
        <w:tc>
          <w:tcPr>
            <w:tcW w:w="80" w:type="dxa"/>
            <w:vAlign w:val="bottom"/>
          </w:tcPr>
          <w:p>
            <w:pPr>
              <w:spacing w:after="0"/>
              <w:rPr>
                <w:sz w:val="19"/>
                <w:szCs w:val="19"/>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stock to be issued for</w:t>
            </w:r>
          </w:p>
        </w:tc>
        <w:tc>
          <w:tcPr>
            <w:tcW w:w="80" w:type="dxa"/>
            <w:vAlign w:val="bottom"/>
          </w:tcPr>
          <w:p>
            <w:pPr>
              <w:spacing w:after="0"/>
              <w:rPr>
                <w:sz w:val="18"/>
                <w:szCs w:val="18"/>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 consisting of cash, any</w:t>
            </w:r>
          </w:p>
        </w:tc>
        <w:tc>
          <w:tcPr>
            <w:tcW w:w="80" w:type="dxa"/>
            <w:vAlign w:val="bottom"/>
          </w:tcPr>
          <w:p>
            <w:pPr>
              <w:spacing w:after="0"/>
              <w:rPr>
                <w:sz w:val="19"/>
                <w:szCs w:val="19"/>
                <w:color w:val="auto"/>
              </w:rPr>
            </w:pPr>
          </w:p>
        </w:tc>
      </w:tr>
      <w:tr>
        <w:trPr>
          <w:trHeight w:val="229"/>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tangible or intangible property or any</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to the corporation or any</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combination thereof. It may determine</w:t>
            </w:r>
          </w:p>
        </w:tc>
        <w:tc>
          <w:tcPr>
            <w:tcW w:w="80" w:type="dxa"/>
            <w:vAlign w:val="bottom"/>
          </w:tcPr>
          <w:p>
            <w:pPr>
              <w:spacing w:after="0"/>
              <w:rPr>
                <w:sz w:val="19"/>
                <w:szCs w:val="19"/>
                <w:color w:val="auto"/>
              </w:rPr>
            </w:pPr>
          </w:p>
        </w:tc>
      </w:tr>
      <w:tr>
        <w:trPr>
          <w:trHeight w:val="229"/>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amount of such consideration by</w:t>
            </w:r>
          </w:p>
        </w:tc>
        <w:tc>
          <w:tcPr>
            <w:tcW w:w="80" w:type="dxa"/>
            <w:vAlign w:val="bottom"/>
          </w:tcPr>
          <w:p>
            <w:pPr>
              <w:spacing w:after="0"/>
              <w:rPr>
                <w:sz w:val="19"/>
                <w:szCs w:val="19"/>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approving a formula. In the absence of</w:t>
            </w:r>
          </w:p>
        </w:tc>
        <w:tc>
          <w:tcPr>
            <w:tcW w:w="80" w:type="dxa"/>
            <w:vAlign w:val="bottom"/>
          </w:tcPr>
          <w:p>
            <w:pPr>
              <w:spacing w:after="0"/>
              <w:rPr>
                <w:sz w:val="18"/>
                <w:szCs w:val="18"/>
                <w:color w:val="auto"/>
              </w:rPr>
            </w:pPr>
          </w:p>
        </w:tc>
      </w:tr>
      <w:tr>
        <w:trPr>
          <w:trHeight w:val="234"/>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fraud in the transaction, the</w:t>
            </w:r>
          </w:p>
        </w:tc>
        <w:tc>
          <w:tcPr>
            <w:tcW w:w="80" w:type="dxa"/>
            <w:vAlign w:val="bottom"/>
          </w:tcPr>
          <w:p>
            <w:pPr>
              <w:spacing w:after="0"/>
              <w:rPr>
                <w:sz w:val="20"/>
                <w:szCs w:val="20"/>
                <w:color w:val="auto"/>
              </w:rPr>
            </w:pPr>
          </w:p>
        </w:tc>
      </w:tr>
    </w:tbl>
    <w:p>
      <w:pPr>
        <w:sectPr>
          <w:pgSz w:w="11900" w:h="16838" w:orient="portrait"/>
          <w:cols w:equalWidth="0" w:num="3">
            <w:col w:w="2720" w:space="268"/>
            <w:col w:w="3232" w:space="0"/>
            <w:col w:w="365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080" w:val="left"/>
          <w:tab w:leader="none" w:pos="3220" w:val="left"/>
          <w:tab w:leader="none" w:pos="4620" w:val="left"/>
          <w:tab w:leader="none" w:pos="64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29210</wp:posOffset>
            </wp:positionV>
            <wp:extent cx="19202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2320" w:space="720"/>
            <w:col w:w="68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ind w:left="1260"/>
        <w:spacing w:after="0" w:line="329" w:lineRule="auto"/>
        <w:rPr>
          <w:sz w:val="20"/>
          <w:szCs w:val="20"/>
          <w:color w:val="auto"/>
        </w:rPr>
      </w:pPr>
      <w:r>
        <w:rPr>
          <w:rFonts w:ascii="Times New Roman" w:cs="Times New Roman" w:eastAsia="Times New Roman" w:hAnsi="Times New Roman"/>
          <w:sz w:val="18"/>
          <w:szCs w:val="18"/>
          <w:color w:val="auto"/>
        </w:rPr>
        <w:t>​Liability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77" w:lineRule="exact"/>
        <w:rPr>
          <w:sz w:val="20"/>
          <w:szCs w:val="20"/>
          <w:color w:val="auto"/>
        </w:rPr>
      </w:pPr>
    </w:p>
    <w:p>
      <w:pPr>
        <w:ind w:left="220" w:right="40" w:hanging="212"/>
        <w:spacing w:after="0" w:line="268" w:lineRule="auto"/>
        <w:tabs>
          <w:tab w:leader="none" w:pos="1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2" w:lineRule="exact"/>
        <w:rPr>
          <w:rFonts w:ascii="Times New Roman" w:cs="Times New Roman" w:eastAsia="Times New Roman" w:hAnsi="Times New Roman"/>
          <w:sz w:val="18"/>
          <w:szCs w:val="18"/>
          <w:color w:val="auto"/>
        </w:rPr>
      </w:pPr>
    </w:p>
    <w:p>
      <w:pPr>
        <w:ind w:left="220" w:right="60" w:hanging="212"/>
        <w:spacing w:after="0" w:line="266" w:lineRule="auto"/>
        <w:tabs>
          <w:tab w:leader="none" w:pos="1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w:t>
      </w:r>
    </w:p>
    <w:p>
      <w:pPr>
        <w:spacing w:after="0" w:line="1" w:lineRule="exact"/>
        <w:rPr>
          <w:rFonts w:ascii="Times New Roman" w:cs="Times New Roman" w:eastAsia="Times New Roman" w:hAnsi="Times New Roman"/>
          <w:sz w:val="18"/>
          <w:szCs w:val="18"/>
          <w:color w:val="auto"/>
        </w:rPr>
      </w:pPr>
    </w:p>
    <w:p>
      <w:pPr>
        <w:ind w:left="220" w:right="100" w:firstLine="4"/>
        <w:spacing w:after="0" w:line="262" w:lineRule="auto"/>
        <w:tabs>
          <w:tab w:leader="none" w:pos="4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w:t>
      </w:r>
    </w:p>
    <w:p>
      <w:pPr>
        <w:spacing w:after="0" w:line="4" w:lineRule="exact"/>
        <w:rPr>
          <w:rFonts w:ascii="Times New Roman" w:cs="Times New Roman" w:eastAsia="Times New Roman" w:hAnsi="Times New Roman"/>
          <w:sz w:val="18"/>
          <w:szCs w:val="18"/>
          <w:color w:val="auto"/>
        </w:rPr>
      </w:pPr>
    </w:p>
    <w:p>
      <w:pPr>
        <w:ind w:left="2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indemnity” (being​ an indemnity against liability incurred in connection with the company’s activities as trustee of an occupational pension plan).</w:t>
      </w:r>
    </w:p>
    <w:p>
      <w:pPr>
        <w:spacing w:after="0" w:line="8" w:lineRule="exact"/>
        <w:rPr>
          <w:rFonts w:ascii="Times New Roman" w:cs="Times New Roman" w:eastAsia="Times New Roman" w:hAnsi="Times New Roman"/>
          <w:sz w:val="18"/>
          <w:szCs w:val="18"/>
          <w:color w:val="auto"/>
        </w:rPr>
      </w:pPr>
    </w:p>
    <w:p>
      <w:pPr>
        <w:ind w:left="220" w:right="20" w:hanging="212"/>
        <w:spacing w:after="0" w:line="268" w:lineRule="auto"/>
        <w:tabs>
          <w:tab w:leader="none" w:pos="1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English law, unless a poll is demanded by the shareholders of a company or is required by the chairman of the meeting or the company’s articles of association, shareholders shall vote on all resolutions on a show of hands. Under the Companies Act 2006, a poll may be demanded by</w:t>
      </w:r>
    </w:p>
    <w:p>
      <w:pPr>
        <w:spacing w:after="0" w:line="5" w:lineRule="exact"/>
        <w:rPr>
          <w:rFonts w:ascii="Times New Roman" w:cs="Times New Roman" w:eastAsia="Times New Roman" w:hAnsi="Times New Roman"/>
          <w:sz w:val="18"/>
          <w:szCs w:val="18"/>
          <w:color w:val="auto"/>
        </w:rPr>
      </w:pPr>
    </w:p>
    <w:p>
      <w:pPr>
        <w:ind w:left="220" w:right="320" w:firstLine="4"/>
        <w:spacing w:after="0" w:line="279" w:lineRule="auto"/>
        <w:tabs>
          <w:tab w:leader="none" w:pos="4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shareholders having the right to vote on the resolution; (b) any</w:t>
      </w:r>
    </w:p>
    <w:p>
      <w:pPr>
        <w:spacing w:after="0" w:line="3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judgment of the directors as to the</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value of such consideration is</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conclusive.</w:t>
            </w:r>
          </w:p>
        </w:tc>
        <w:tc>
          <w:tcPr>
            <w:tcW w:w="60" w:type="dxa"/>
            <w:vAlign w:val="bottom"/>
          </w:tcPr>
          <w:p>
            <w:pPr>
              <w:spacing w:after="0"/>
              <w:rPr>
                <w:sz w:val="18"/>
                <w:szCs w:val="18"/>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Under Delaware law, a corporation’s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may include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 provision eliminating or limiting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personal liability of a director to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and its stockholders for</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damages arising from a breach of</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fiduciary duty as a director. However,</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 provision can limit the liability of a</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for:</w:t>
            </w:r>
          </w:p>
        </w:tc>
        <w:tc>
          <w:tcPr>
            <w:tcW w:w="60" w:type="dxa"/>
            <w:vAlign w:val="bottom"/>
          </w:tcPr>
          <w:p>
            <w:pPr>
              <w:spacing w:after="0"/>
              <w:rPr>
                <w:sz w:val="20"/>
                <w:szCs w:val="20"/>
                <w:color w:val="auto"/>
              </w:rPr>
            </w:pPr>
          </w:p>
        </w:tc>
      </w:tr>
      <w:tr>
        <w:trPr>
          <w:trHeight w:val="46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any breach of the director’s duty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loyalty to the corporation or its</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6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acts or omissions not in good faith or</w:t>
            </w:r>
          </w:p>
        </w:tc>
        <w:tc>
          <w:tcPr>
            <w:tcW w:w="6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that involve intentional misconduct or a</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knowing violation of law;</w:t>
            </w:r>
          </w:p>
        </w:tc>
        <w:tc>
          <w:tcPr>
            <w:tcW w:w="6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intentional or negligent payment of</w:t>
            </w:r>
          </w:p>
        </w:tc>
        <w:tc>
          <w:tcPr>
            <w:tcW w:w="60" w:type="dxa"/>
            <w:vAlign w:val="bottom"/>
          </w:tcPr>
          <w:p>
            <w:pPr>
              <w:spacing w:after="0"/>
              <w:rPr>
                <w:sz w:val="24"/>
                <w:szCs w:val="24"/>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unlawful dividends or stock purchases</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or redemptions; or</w:t>
            </w:r>
          </w:p>
        </w:tc>
        <w:tc>
          <w:tcPr>
            <w:tcW w:w="6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any transaction from which the director</w:t>
            </w:r>
          </w:p>
        </w:tc>
        <w:tc>
          <w:tcPr>
            <w:tcW w:w="6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derives an improper personal benefit.</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 ​ Delaware law provides that, unless</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otherwise provided in the certificate of</w:t>
            </w:r>
          </w:p>
        </w:tc>
        <w:tc>
          <w:tcPr>
            <w:tcW w:w="100" w:type="dxa"/>
            <w:vAlign w:val="bottom"/>
          </w:tcPr>
          <w:p>
            <w:pPr>
              <w:spacing w:after="0"/>
              <w:rPr>
                <w:sz w:val="19"/>
                <w:szCs w:val="19"/>
                <w:color w:val="auto"/>
              </w:rPr>
            </w:pPr>
          </w:p>
        </w:tc>
      </w:tr>
      <w:tr>
        <w:trPr>
          <w:trHeight w:val="230"/>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each stockholder is</w:t>
            </w:r>
          </w:p>
        </w:tc>
        <w:tc>
          <w:tcPr>
            <w:tcW w:w="100" w:type="dxa"/>
            <w:vAlign w:val="bottom"/>
          </w:tcPr>
          <w:p>
            <w:pPr>
              <w:spacing w:after="0"/>
              <w:rPr>
                <w:sz w:val="19"/>
                <w:szCs w:val="19"/>
                <w:color w:val="auto"/>
              </w:rPr>
            </w:pPr>
          </w:p>
        </w:tc>
      </w:tr>
      <w:tr>
        <w:trPr>
          <w:trHeight w:val="229"/>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entitled to one vote for each share of</w:t>
            </w:r>
          </w:p>
        </w:tc>
        <w:tc>
          <w:tcPr>
            <w:tcW w:w="100" w:type="dxa"/>
            <w:vAlign w:val="bottom"/>
          </w:tcPr>
          <w:p>
            <w:pPr>
              <w:spacing w:after="0"/>
              <w:rPr>
                <w:sz w:val="19"/>
                <w:szCs w:val="19"/>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stock held by such stockholder.</w:t>
            </w:r>
          </w:p>
        </w:tc>
        <w:tc>
          <w:tcPr>
            <w:tcW w:w="100" w:type="dxa"/>
            <w:vAlign w:val="bottom"/>
          </w:tcPr>
          <w:p>
            <w:pPr>
              <w:spacing w:after="0"/>
              <w:rPr>
                <w:sz w:val="20"/>
                <w:szCs w:val="20"/>
                <w:color w:val="auto"/>
              </w:rPr>
            </w:pPr>
          </w:p>
        </w:tc>
      </w:tr>
    </w:tbl>
    <w:p>
      <w:pPr>
        <w:sectPr>
          <w:pgSz w:w="11900" w:h="16838" w:orient="portrait"/>
          <w:cols w:equalWidth="0" w:num="3">
            <w:col w:w="2860" w:space="120"/>
            <w:col w:w="3240" w:space="0"/>
            <w:col w:w="365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60"/>
        <w:spacing w:after="0"/>
        <w:tabs>
          <w:tab w:leader="none" w:pos="2100" w:val="left"/>
          <w:tab w:leader="none" w:pos="3020" w:val="left"/>
          <w:tab w:leader="none" w:pos="4120" w:val="left"/>
          <w:tab w:leader="none" w:pos="6260" w:val="left"/>
          <w:tab w:leader="none" w:pos="76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29210</wp:posOffset>
            </wp:positionV>
            <wp:extent cx="19202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 ​ shareholder(s) representing not less</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than 10% of the total voting rights of</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all the shareholders having the right to</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 on the resolution (excluding any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 attaching to treasury</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or (c) any shareholder(s)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holding shares in the company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conferring a right to vote on the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resolution (excluding any voting rights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attaching to treasury shares) being</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on which an aggregate sum has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been paid up equal to not less than 10%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the total sum paid up on all the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conferring that right. A</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company’s articles of association may</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provide more extensive rights for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to call a poll.</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Under English law, an ordinary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resolution is passed on a show of hands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if it is approved by a simple majority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(more than 50%) of the votes cast by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present (in person or by</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proxy) and entitled to vote. If a poll is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demanded, an ordinary resolution is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passed if it is approved by holders</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representing a simple majority of the</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voting rights of shareholders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 by proxy,</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who, being entitled to vote, vote on the</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resolution. Special resolutions require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not less than</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75% of the votes cast by shareholders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 by proxy, at the</w:t>
            </w:r>
          </w:p>
        </w:tc>
        <w:tc>
          <w:tcPr>
            <w:tcW w:w="0" w:type="dxa"/>
            <w:vAlign w:val="bottom"/>
          </w:tcPr>
          <w:p>
            <w:pPr>
              <w:spacing w:after="0"/>
              <w:rPr>
                <w:sz w:val="1"/>
                <w:szCs w:val="1"/>
                <w:color w:val="auto"/>
              </w:rPr>
            </w:pPr>
          </w:p>
        </w:tc>
      </w:tr>
      <w:tr>
        <w:trPr>
          <w:trHeight w:val="234"/>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r>
        <w:trPr>
          <w:trHeight w:val="175"/>
        </w:trPr>
        <w:tc>
          <w:tcPr>
            <w:tcW w:w="16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Companies Act 2006 provides for</w:t>
            </w:r>
          </w:p>
        </w:tc>
        <w:tc>
          <w:tcPr>
            <w:tcW w:w="0" w:type="dxa"/>
            <w:vAlign w:val="bottom"/>
          </w:tcPr>
          <w:p>
            <w:pPr>
              <w:spacing w:after="0"/>
              <w:rPr>
                <w:sz w:val="1"/>
                <w:szCs w:val="1"/>
                <w:color w:val="auto"/>
              </w:rPr>
            </w:pPr>
          </w:p>
        </w:tc>
      </w:tr>
      <w:tr>
        <w:trPr>
          <w:trHeight w:val="76"/>
        </w:trPr>
        <w:tc>
          <w:tcPr>
            <w:tcW w:w="16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Shareholder Vote on</w:t>
            </w:r>
          </w:p>
        </w:tc>
        <w:tc>
          <w:tcPr>
            <w:tcW w:w="30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Certain Transactions</w:t>
            </w: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schemes of arrangement, which are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arrangements or compromises between</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 company and any class of</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or creditors and used in</w:t>
            </w:r>
          </w:p>
        </w:tc>
        <w:tc>
          <w:tcPr>
            <w:tcW w:w="0" w:type="dxa"/>
            <w:vAlign w:val="bottom"/>
          </w:tcPr>
          <w:p>
            <w:pPr>
              <w:spacing w:after="0"/>
              <w:rPr>
                <w:sz w:val="1"/>
                <w:szCs w:val="1"/>
                <w:color w:val="auto"/>
              </w:rPr>
            </w:pPr>
          </w:p>
        </w:tc>
      </w:tr>
    </w:tbl>
    <w:p>
      <w:pPr>
        <w:ind w:left="3200"/>
        <w:spacing w:after="0"/>
        <w:rPr>
          <w:sz w:val="20"/>
          <w:szCs w:val="20"/>
          <w:color w:val="auto"/>
        </w:rPr>
      </w:pPr>
      <w:r>
        <w:rPr>
          <w:rFonts w:ascii="Times New Roman" w:cs="Times New Roman" w:eastAsia="Times New Roman" w:hAnsi="Times New Roman"/>
          <w:sz w:val="18"/>
          <w:szCs w:val="18"/>
          <w:color w:val="auto"/>
        </w:rPr>
        <w:t>certain types of reconstructions,</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amalgamations, capital reorganizations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or takeovers. These arrangements</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require:</w:t>
      </w:r>
    </w:p>
    <w:p>
      <w:pPr>
        <w:spacing w:after="0" w:line="1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the approval at a shareholders’ or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creditors’ meeting convened by order</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the court, of a majority in number</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shareholders or creditors</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representing 75% in value of the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right="359" w:hanging="215"/>
        <w:spacing w:after="0" w:line="273" w:lineRule="auto"/>
        <w:rPr>
          <w:sz w:val="20"/>
          <w:szCs w:val="20"/>
          <w:color w:val="auto"/>
        </w:rPr>
      </w:pPr>
      <w:r>
        <w:rPr>
          <w:rFonts w:ascii="Times New Roman" w:cs="Times New Roman" w:eastAsia="Times New Roman" w:hAnsi="Times New Roman"/>
          <w:sz w:val="18"/>
          <w:szCs w:val="18"/>
          <w:color w:val="auto"/>
        </w:rPr>
        <w:t>​ ​ Generally, under Delaware law, unless ​ the certificate of incorporation provides for the vote of a larger portion of the stock, completion of a merger, consolidation, sale, lease or exchange of all or substantially all of a corporation’s assets or dissolution requires:</w:t>
      </w:r>
    </w:p>
    <w:p>
      <w:pPr>
        <w:spacing w:after="0" w:line="363" w:lineRule="exact"/>
        <w:rPr>
          <w:sz w:val="20"/>
          <w:szCs w:val="20"/>
          <w:color w:val="auto"/>
        </w:rPr>
      </w:pPr>
    </w:p>
    <w:p>
      <w:pPr>
        <w:ind w:left="400" w:right="1159"/>
        <w:spacing w:after="0" w:line="282" w:lineRule="auto"/>
        <w:rPr>
          <w:sz w:val="20"/>
          <w:szCs w:val="20"/>
          <w:color w:val="auto"/>
        </w:rPr>
      </w:pPr>
      <w:r>
        <w:rPr>
          <w:rFonts w:ascii="Times New Roman" w:cs="Times New Roman" w:eastAsia="Times New Roman" w:hAnsi="Times New Roman"/>
          <w:sz w:val="18"/>
          <w:szCs w:val="18"/>
          <w:color w:val="auto"/>
        </w:rPr>
        <w:t>the approval of the board of directors; and</w:t>
      </w:r>
    </w:p>
    <w:p>
      <w:pPr>
        <w:spacing w:after="0" w:line="121" w:lineRule="exact"/>
        <w:rPr>
          <w:sz w:val="20"/>
          <w:szCs w:val="20"/>
          <w:color w:val="auto"/>
        </w:rPr>
      </w:pPr>
    </w:p>
    <w:p>
      <w:pPr>
        <w:ind w:left="400" w:right="419"/>
        <w:spacing w:after="0" w:line="271" w:lineRule="auto"/>
        <w:rPr>
          <w:sz w:val="20"/>
          <w:szCs w:val="20"/>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w:t>
      </w:r>
    </w:p>
    <w:p>
      <w:pPr>
        <w:spacing w:after="0" w:line="200" w:lineRule="exact"/>
        <w:rPr>
          <w:sz w:val="20"/>
          <w:szCs w:val="20"/>
          <w:color w:val="auto"/>
        </w:rPr>
      </w:pPr>
    </w:p>
    <w:p>
      <w:pPr>
        <w:sectPr>
          <w:pgSz w:w="11900" w:h="16838" w:orient="portrait"/>
          <w:cols w:equalWidth="0" w:num="2">
            <w:col w:w="6220" w:space="0"/>
            <w:col w:w="3659"/>
          </w:cols>
          <w:pgMar w:left="580" w:top="97" w:right="1440" w:bottom="1440" w:gutter="0" w:footer="0" w:header="0"/>
          <w:type w:val="continuous"/>
        </w:sectPr>
      </w:pPr>
    </w:p>
    <w:p>
      <w:pPr>
        <w:spacing w:after="0" w:line="1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held by, or debt owed to, the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one vote per share, 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of shareholders or creditors, or</w:t>
            </w:r>
          </w:p>
        </w:tc>
        <w:tc>
          <w:tcPr>
            <w:tcW w:w="2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majority of the votes of the</w:t>
            </w:r>
          </w:p>
        </w:tc>
        <w:tc>
          <w:tcPr>
            <w:tcW w:w="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thereof present and voting,</w:t>
            </w:r>
          </w:p>
        </w:tc>
        <w:tc>
          <w:tcPr>
            <w:tcW w:w="2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stock of a corporation</w:t>
            </w:r>
          </w:p>
        </w:tc>
        <w:tc>
          <w:tcPr>
            <w:tcW w:w="60" w:type="dxa"/>
            <w:vAlign w:val="bottom"/>
          </w:tcPr>
          <w:p>
            <w:pPr>
              <w:spacing w:after="0"/>
              <w:rPr>
                <w:sz w:val="19"/>
                <w:szCs w:val="19"/>
                <w:color w:val="auto"/>
              </w:rPr>
            </w:pPr>
          </w:p>
        </w:tc>
      </w:tr>
      <w:tr>
        <w:trPr>
          <w:trHeight w:val="234"/>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either in person or by proxy; and</w:t>
            </w:r>
          </w:p>
        </w:tc>
        <w:tc>
          <w:tcPr>
            <w:tcW w:w="22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entitled to vote on the matter.</w:t>
            </w:r>
          </w:p>
        </w:tc>
        <w:tc>
          <w:tcPr>
            <w:tcW w:w="6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approval of the court.</w:t>
            </w:r>
          </w:p>
        </w:tc>
        <w:tc>
          <w:tcPr>
            <w:tcW w:w="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60"/>
        <w:spacing w:after="0" w:line="236"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line="274" w:lineRule="auto"/>
        <w:rPr>
          <w:sz w:val="20"/>
          <w:szCs w:val="20"/>
          <w:color w:val="auto"/>
        </w:rPr>
      </w:pPr>
      <w:r>
        <w:rPr>
          <w:rFonts w:ascii="Times New Roman" w:cs="Times New Roman" w:eastAsia="Times New Roman" w:hAnsi="Times New Roman"/>
          <w:sz w:val="18"/>
          <w:szCs w:val="18"/>
          <w:color w:val="auto"/>
        </w:rPr>
        <w:t>Standard of Conduct for Directors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12" w:hanging="212"/>
        <w:spacing w:after="0"/>
        <w:tabs>
          <w:tab w:leader="none" w:pos="104"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Under English law, a director owes various statutory and fiduciary duties to the company, including:</w:t>
      </w:r>
    </w:p>
    <w:p>
      <w:pPr>
        <w:spacing w:after="0" w:line="144" w:lineRule="exact"/>
        <w:rPr>
          <w:sz w:val="20"/>
          <w:szCs w:val="20"/>
          <w:color w:val="auto"/>
        </w:rPr>
      </w:pPr>
    </w:p>
    <w:p>
      <w:pPr>
        <w:ind w:left="392" w:right="100"/>
        <w:spacing w:after="0" w:line="274" w:lineRule="auto"/>
        <w:rPr>
          <w:sz w:val="20"/>
          <w:szCs w:val="20"/>
          <w:color w:val="auto"/>
        </w:rPr>
      </w:pPr>
      <w:r>
        <w:rPr>
          <w:rFonts w:ascii="Times New Roman" w:cs="Times New Roman" w:eastAsia="Times New Roman" w:hAnsi="Times New Roman"/>
          <w:sz w:val="18"/>
          <w:szCs w:val="18"/>
          <w:color w:val="auto"/>
        </w:rPr>
        <w:t>to act in the way he considers, in good faith, would be most likely to promote the success of the company for the benefit of its members as a whole;</w:t>
      </w:r>
    </w:p>
    <w:p>
      <w:pPr>
        <w:spacing w:after="0" w:line="114" w:lineRule="exact"/>
        <w:rPr>
          <w:sz w:val="20"/>
          <w:szCs w:val="20"/>
          <w:color w:val="auto"/>
        </w:rPr>
      </w:pPr>
    </w:p>
    <w:p>
      <w:pPr>
        <w:ind w:left="392" w:right="120"/>
        <w:spacing w:after="0" w:line="270" w:lineRule="auto"/>
        <w:rPr>
          <w:sz w:val="20"/>
          <w:szCs w:val="20"/>
          <w:color w:val="auto"/>
        </w:rPr>
      </w:pPr>
      <w:r>
        <w:rPr>
          <w:rFonts w:ascii="Times New Roman" w:cs="Times New Roman" w:eastAsia="Times New Roman" w:hAnsi="Times New Roman"/>
          <w:sz w:val="18"/>
          <w:szCs w:val="18"/>
          <w:color w:val="auto"/>
        </w:rPr>
        <w:t>to avoid a situation in which he has, or can have, a direct or indirect interest that conflicts, or possibly conflicts, with the interests of the company;</w:t>
      </w:r>
    </w:p>
    <w:p>
      <w:pPr>
        <w:spacing w:after="0" w:line="132" w:lineRule="exact"/>
        <w:rPr>
          <w:sz w:val="20"/>
          <w:szCs w:val="20"/>
          <w:color w:val="auto"/>
        </w:rPr>
      </w:pPr>
    </w:p>
    <w:p>
      <w:pPr>
        <w:ind w:left="392" w:right="100"/>
        <w:spacing w:after="0" w:line="271" w:lineRule="auto"/>
        <w:rPr>
          <w:sz w:val="20"/>
          <w:szCs w:val="20"/>
          <w:color w:val="auto"/>
        </w:rPr>
      </w:pPr>
      <w:r>
        <w:rPr>
          <w:rFonts w:ascii="Times New Roman" w:cs="Times New Roman" w:eastAsia="Times New Roman" w:hAnsi="Times New Roman"/>
          <w:sz w:val="18"/>
          <w:szCs w:val="18"/>
          <w:color w:val="auto"/>
        </w:rPr>
        <w:t>to act in accordance with the company’s constitution and only exercise his powers for the purposes for which they are conferred;</w:t>
      </w:r>
    </w:p>
    <w:p>
      <w:pPr>
        <w:spacing w:after="0" w:line="118"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18"/>
          <w:szCs w:val="18"/>
          <w:color w:val="auto"/>
        </w:rPr>
        <w:t>to exercise independent judgment;</w:t>
      </w:r>
    </w:p>
    <w:p>
      <w:pPr>
        <w:spacing w:after="0" w:line="185" w:lineRule="exact"/>
        <w:rPr>
          <w:sz w:val="20"/>
          <w:szCs w:val="20"/>
          <w:color w:val="auto"/>
        </w:rPr>
      </w:pPr>
    </w:p>
    <w:p>
      <w:pPr>
        <w:ind w:left="392" w:right="60"/>
        <w:spacing w:after="0" w:line="297" w:lineRule="auto"/>
        <w:rPr>
          <w:sz w:val="20"/>
          <w:szCs w:val="20"/>
          <w:color w:val="auto"/>
        </w:rPr>
      </w:pPr>
      <w:r>
        <w:rPr>
          <w:rFonts w:ascii="Times New Roman" w:cs="Times New Roman" w:eastAsia="Times New Roman" w:hAnsi="Times New Roman"/>
          <w:sz w:val="18"/>
          <w:szCs w:val="18"/>
          <w:color w:val="auto"/>
        </w:rPr>
        <w:t>to exercise reasonable care, skill and diligence;</w:t>
      </w:r>
    </w:p>
    <w:p>
      <w:pPr>
        <w:spacing w:after="0" w:line="95" w:lineRule="exact"/>
        <w:rPr>
          <w:sz w:val="20"/>
          <w:szCs w:val="20"/>
          <w:color w:val="auto"/>
        </w:rPr>
      </w:pPr>
    </w:p>
    <w:p>
      <w:pPr>
        <w:ind w:left="392" w:right="280"/>
        <w:spacing w:after="0" w:line="271" w:lineRule="auto"/>
        <w:rPr>
          <w:sz w:val="20"/>
          <w:szCs w:val="20"/>
          <w:color w:val="auto"/>
        </w:rPr>
      </w:pPr>
      <w:r>
        <w:rPr>
          <w:rFonts w:ascii="Times New Roman" w:cs="Times New Roman" w:eastAsia="Times New Roman" w:hAnsi="Times New Roman"/>
          <w:sz w:val="18"/>
          <w:szCs w:val="18"/>
          <w:color w:val="auto"/>
        </w:rPr>
        <w:t>not to accept benefits from a third party conferred by reason of his being a director or doing, or not doing, anything as a director; and</w:t>
      </w:r>
    </w:p>
    <w:p>
      <w:pPr>
        <w:spacing w:after="0" w:line="132" w:lineRule="exact"/>
        <w:rPr>
          <w:sz w:val="20"/>
          <w:szCs w:val="20"/>
          <w:color w:val="auto"/>
        </w:rPr>
      </w:pPr>
    </w:p>
    <w:p>
      <w:pPr>
        <w:jc w:val="both"/>
        <w:ind w:left="392" w:right="40"/>
        <w:spacing w:after="0" w:line="271" w:lineRule="auto"/>
        <w:rPr>
          <w:sz w:val="20"/>
          <w:szCs w:val="20"/>
          <w:color w:val="auto"/>
        </w:rPr>
      </w:pPr>
      <w:r>
        <w:rPr>
          <w:rFonts w:ascii="Times New Roman" w:cs="Times New Roman" w:eastAsia="Times New Roman" w:hAnsi="Times New Roman"/>
          <w:sz w:val="18"/>
          <w:szCs w:val="18"/>
          <w:color w:val="auto"/>
        </w:rPr>
        <w:t>a duty to declare any interest that he has, whether directly or indirectly, in a proposed or existing transaction or arrangement with the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59" w:hanging="215"/>
        <w:spacing w:after="0" w:line="258"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Delaware law does not contain specific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9" w:lineRule="exact"/>
        <w:rPr>
          <w:sz w:val="20"/>
          <w:szCs w:val="20"/>
          <w:color w:val="auto"/>
        </w:rPr>
      </w:pPr>
    </w:p>
    <w:p>
      <w:pPr>
        <w:ind w:right="439"/>
        <w:spacing w:after="0" w:line="264"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200" w:lineRule="exact"/>
        <w:rPr>
          <w:sz w:val="20"/>
          <w:szCs w:val="20"/>
          <w:color w:val="auto"/>
        </w:rPr>
      </w:pPr>
    </w:p>
    <w:p>
      <w:pPr>
        <w:sectPr>
          <w:pgSz w:w="11900" w:h="16838" w:orient="portrait"/>
          <w:cols w:equalWidth="0" w:num="3">
            <w:col w:w="2820" w:space="168"/>
            <w:col w:w="3232" w:space="220"/>
            <w:col w:w="3439"/>
          </w:cols>
          <w:pgMar w:left="580" w:top="97" w:right="1440" w:bottom="1440" w:gutter="0" w:footer="0" w:header="0"/>
          <w:type w:val="continuous"/>
        </w:sectPr>
      </w:pPr>
    </w:p>
    <w:p>
      <w:pPr>
        <w:spacing w:after="0" w:line="258" w:lineRule="exact"/>
        <w:rPr>
          <w:sz w:val="20"/>
          <w:szCs w:val="20"/>
          <w:color w:val="auto"/>
        </w:rPr>
      </w:pPr>
    </w:p>
    <w:p>
      <w:pPr>
        <w:ind w:left="1260"/>
        <w:spacing w:after="0"/>
        <w:tabs>
          <w:tab w:leader="none" w:pos="2960" w:val="left"/>
          <w:tab w:leader="none" w:pos="6200" w:val="left"/>
        </w:tabs>
        <w:rPr>
          <w:sz w:val="20"/>
          <w:szCs w:val="20"/>
          <w:color w:val="auto"/>
        </w:rPr>
      </w:pP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35"/>
          <w:szCs w:val="35"/>
          <w:color w:val="auto"/>
          <w:vertAlign w:val="superscript"/>
        </w:rPr>
        <w:t>​ ​ ​</w:t>
      </w:r>
      <w:r>
        <w:rPr>
          <w:sz w:val="20"/>
          <w:szCs w:val="20"/>
          <w:color w:val="auto"/>
        </w:rPr>
        <w:tab/>
      </w:r>
      <w:r>
        <w:rPr>
          <w:rFonts w:ascii="Times New Roman" w:cs="Times New Roman" w:eastAsia="Times New Roman" w:hAnsi="Times New Roman"/>
          <w:sz w:val="20"/>
          <w:szCs w:val="20"/>
          <w:color w:val="auto"/>
          <w:vertAlign w:val="superscript"/>
        </w:rPr>
        <w:t xml:space="preserve">​ ​ </w:t>
      </w:r>
      <w:r>
        <w:rPr>
          <w:rFonts w:ascii="Times New Roman" w:cs="Times New Roman" w:eastAsia="Times New Roman" w:hAnsi="Times New Roman"/>
          <w:sz w:val="20"/>
          <w:szCs w:val="20"/>
          <w:color w:val="auto"/>
        </w:rPr>
        <w:t xml:space="preserve">In addition, under Delaware law, when </w:t>
      </w:r>
      <w:r>
        <w:rPr>
          <w:rFonts w:ascii="Times New Roman" w:cs="Times New Roman" w:eastAsia="Times New Roman" w:hAnsi="Times New Roman"/>
          <w:sz w:val="20"/>
          <w:szCs w:val="20"/>
          <w:color w:val="auto"/>
          <w:vertAlign w:val="superscript"/>
        </w:rPr>
        <w:t>​</w:t>
      </w: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60"/>
        <w:spacing w:after="0"/>
        <w:tabs>
          <w:tab w:leader="none" w:pos="2100" w:val="left"/>
          <w:tab w:leader="none" w:pos="3020" w:val="left"/>
          <w:tab w:leader="none" w:pos="4120" w:val="left"/>
          <w:tab w:leader="none" w:pos="6260" w:val="left"/>
          <w:tab w:leader="none" w:pos="76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w:t>
            </w: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the board of directors of a Delaware</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approves the sale or break-</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up of a corporation, the board of</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in certain circumstances,</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have a duty to obtain the highest value</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reasonably available to the</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260" w:space="720"/>
            <w:col w:w="68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​Stockholder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212" w:hanging="212"/>
        <w:spacing w:after="0" w:line="268" w:lineRule="auto"/>
        <w:tabs>
          <w:tab w:leader="none" w:pos="1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English law, generally, the company, rather than its shareholders, is the proper claimant in an action in respect of a wrong done to the company or where there is an irregularity in the company’s internal management. Notwithstanding this general position, the Companies Act 2006 provides that</w:t>
      </w:r>
    </w:p>
    <w:p>
      <w:pPr>
        <w:ind w:left="212" w:right="20" w:firstLine="4"/>
        <w:spacing w:after="0" w:line="265" w:lineRule="auto"/>
        <w:tabs>
          <w:tab w:leader="none" w:pos="4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59" w:hanging="215"/>
        <w:spacing w:after="0" w:line="280" w:lineRule="auto"/>
        <w:rPr>
          <w:sz w:val="20"/>
          <w:szCs w:val="20"/>
          <w:color w:val="auto"/>
        </w:rPr>
      </w:pPr>
      <w:r>
        <w:rPr>
          <w:rFonts w:ascii="Times New Roman" w:cs="Times New Roman" w:eastAsia="Times New Roman" w:hAnsi="Times New Roman"/>
          <w:sz w:val="18"/>
          <w:szCs w:val="18"/>
          <w:color w:val="auto"/>
        </w:rPr>
        <w:t>​ ​ Under Delaware law, a stockholder may​ initiate a derivative action to enforce a right of a corporation if the corporation fails to enforce the right itself. The complaint must:</w:t>
      </w:r>
    </w:p>
    <w:p>
      <w:pPr>
        <w:spacing w:after="0" w:line="111" w:lineRule="exact"/>
        <w:rPr>
          <w:sz w:val="20"/>
          <w:szCs w:val="20"/>
          <w:color w:val="auto"/>
        </w:rPr>
      </w:pPr>
    </w:p>
    <w:p>
      <w:pPr>
        <w:ind w:left="180" w:right="419"/>
        <w:spacing w:after="0" w:line="269" w:lineRule="auto"/>
        <w:rPr>
          <w:sz w:val="20"/>
          <w:szCs w:val="20"/>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34" w:lineRule="exact"/>
        <w:rPr>
          <w:sz w:val="20"/>
          <w:szCs w:val="20"/>
          <w:color w:val="auto"/>
        </w:rPr>
      </w:pPr>
    </w:p>
    <w:p>
      <w:pPr>
        <w:ind w:left="180" w:right="599"/>
        <w:spacing w:after="0" w:line="269" w:lineRule="auto"/>
        <w:rPr>
          <w:sz w:val="20"/>
          <w:szCs w:val="20"/>
          <w:color w:val="auto"/>
        </w:rPr>
      </w:pPr>
      <w:r>
        <w:rPr>
          <w:rFonts w:ascii="Times New Roman" w:cs="Times New Roman" w:eastAsia="Times New Roman" w:hAnsi="Times New Roman"/>
          <w:sz w:val="18"/>
          <w:szCs w:val="18"/>
          <w:color w:val="auto"/>
        </w:rPr>
        <w:t>allege with particularity the efforts made by the plaintiff to obtain the action the plaintiff desires from the directors and the reasons for the plaintiff’s failure to obtain the action; or</w:t>
      </w:r>
    </w:p>
    <w:p>
      <w:pPr>
        <w:spacing w:after="0" w:line="120" w:lineRule="exact"/>
        <w:rPr>
          <w:sz w:val="20"/>
          <w:szCs w:val="20"/>
          <w:color w:val="auto"/>
        </w:rPr>
      </w:pPr>
    </w:p>
    <w:p>
      <w:pPr>
        <w:ind w:left="180" w:right="579"/>
        <w:spacing w:after="0" w:line="289" w:lineRule="auto"/>
        <w:rPr>
          <w:sz w:val="20"/>
          <w:szCs w:val="20"/>
          <w:color w:val="auto"/>
        </w:rPr>
      </w:pPr>
      <w:r>
        <w:rPr>
          <w:rFonts w:ascii="Times New Roman" w:cs="Times New Roman" w:eastAsia="Times New Roman" w:hAnsi="Times New Roman"/>
          <w:sz w:val="18"/>
          <w:szCs w:val="18"/>
          <w:color w:val="auto"/>
        </w:rPr>
        <w:t>state the reasons for not making the effort.</w:t>
      </w:r>
    </w:p>
    <w:p>
      <w:pPr>
        <w:spacing w:after="0" w:line="1" w:lineRule="exact"/>
        <w:rPr>
          <w:sz w:val="20"/>
          <w:szCs w:val="20"/>
          <w:color w:val="auto"/>
        </w:rPr>
      </w:pPr>
    </w:p>
    <w:p>
      <w:pPr>
        <w:ind w:right="359" w:hanging="215"/>
        <w:spacing w:after="0" w:line="275" w:lineRule="auto"/>
        <w:rPr>
          <w:sz w:val="20"/>
          <w:szCs w:val="20"/>
          <w:color w:val="auto"/>
        </w:rPr>
      </w:pPr>
      <w:r>
        <w:rPr>
          <w:rFonts w:ascii="Times New Roman" w:cs="Times New Roman" w:eastAsia="Times New Roman" w:hAnsi="Times New Roman"/>
          <w:sz w:val="18"/>
          <w:szCs w:val="18"/>
          <w:color w:val="auto"/>
        </w:rPr>
        <w:t>​ ​ Additionally, the plaintiff must remain ​ a stockholder through the duration of the derivative suit. The action will not be dismissed or compromised without the approval of the Delaware Court of Chancery.</w:t>
      </w:r>
    </w:p>
    <w:p>
      <w:pPr>
        <w:sectPr>
          <w:pgSz w:w="11900" w:h="16838" w:orient="portrait"/>
          <w:cols w:equalWidth="0" w:num="3">
            <w:col w:w="2600" w:space="388"/>
            <w:col w:w="3232" w:space="220"/>
            <w:col w:w="343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100,000,000 of our ADSs with the SEC under a registration statement on Form F-6 (Reg. No. 333-217353), or the F-6 Registration Statement.</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114" w:lineRule="exact"/>
        <w:rPr>
          <w:sz w:val="20"/>
          <w:szCs w:val="20"/>
          <w:color w:val="auto"/>
        </w:rPr>
      </w:pPr>
    </w:p>
    <w:p>
      <w:pPr>
        <w:ind w:left="1260" w:right="519" w:firstLine="360"/>
        <w:spacing w:after="0" w:line="219" w:lineRule="exact"/>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the F-6 Registration Statement. You may obtain a copy of the deposit agreement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217353 when retrieving such copy.</w:t>
      </w:r>
    </w:p>
    <w:p>
      <w:pPr>
        <w:spacing w:after="0" w:line="9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0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deposit agreement. To exercise any shareholder rights not contemplated in the deposit agreement you will, as an ADS owner, need to arrange for the cancellation of your ADSs and become a direct shareholder.</w:t>
      </w:r>
    </w:p>
    <w:p>
      <w:pPr>
        <w:spacing w:after="0" w:line="81"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3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31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ordinary shares on deposit with the custodian, we will deposit the applicable number of ordinary shares with the custodian. Upon receipt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0" w:lineRule="auto"/>
        <w:rPr>
          <w:sz w:val="20"/>
          <w:szCs w:val="20"/>
          <w:color w:val="auto"/>
        </w:rPr>
      </w:pPr>
      <w:r>
        <w:rPr>
          <w:rFonts w:ascii="Times New Roman" w:cs="Times New Roman" w:eastAsia="Times New Roman" w:hAnsi="Times New Roman"/>
          <w:sz w:val="18"/>
          <w:szCs w:val="18"/>
          <w:color w:val="auto"/>
        </w:rPr>
        <w:t>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05"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16"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0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19" w:lineRule="exact"/>
        <w:rPr>
          <w:sz w:val="20"/>
          <w:szCs w:val="20"/>
          <w:color w:val="auto"/>
        </w:rPr>
      </w:pPr>
    </w:p>
    <w:p>
      <w:pPr>
        <w:ind w:left="1800" w:right="8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62" w:lineRule="exact"/>
        <w:rPr>
          <w:sz w:val="20"/>
          <w:szCs w:val="20"/>
          <w:color w:val="auto"/>
        </w:rPr>
      </w:pPr>
    </w:p>
    <w:p>
      <w:pPr>
        <w:jc w:val="both"/>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05"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0"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800" w:right="10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62"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0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custodian will be instructed to surrender the shares being redeemed against payment of the</w:t>
      </w:r>
    </w:p>
    <w:p>
      <w:pPr>
        <w:spacing w:after="0" w:line="27" w:lineRule="exact"/>
        <w:rPr>
          <w:sz w:val="20"/>
          <w:szCs w:val="20"/>
          <w:color w:val="auto"/>
        </w:rPr>
      </w:pPr>
    </w:p>
    <w:p>
      <w:pPr>
        <w:jc w:val="both"/>
        <w:ind w:left="1260" w:right="619"/>
        <w:spacing w:after="0"/>
        <w:rPr>
          <w:sz w:val="20"/>
          <w:szCs w:val="20"/>
          <w:color w:val="auto"/>
        </w:rPr>
      </w:pPr>
      <w:r>
        <w:rPr>
          <w:rFonts w:ascii="Times New Roman" w:cs="Times New Roman" w:eastAsia="Times New Roman" w:hAnsi="Times New Roman"/>
          <w:sz w:val="18"/>
          <w:szCs w:val="18"/>
          <w:color w:val="auto"/>
        </w:rPr>
        <w:t xml:space="preserve">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14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323"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0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54" w:lineRule="exact"/>
        <w:rPr>
          <w:sz w:val="20"/>
          <w:szCs w:val="20"/>
          <w:color w:val="auto"/>
        </w:rPr>
      </w:pPr>
    </w:p>
    <w:p>
      <w:pPr>
        <w:ind w:left="1800" w:right="10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58" w:lineRule="exact"/>
        <w:rPr>
          <w:sz w:val="20"/>
          <w:szCs w:val="20"/>
          <w:color w:val="auto"/>
        </w:rPr>
      </w:pPr>
    </w:p>
    <w:p>
      <w:pPr>
        <w:jc w:val="both"/>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48"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81"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jc w:val="both"/>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as a result of:</w:t>
      </w:r>
    </w:p>
    <w:p>
      <w:pPr>
        <w:spacing w:after="0" w:line="54" w:lineRule="exact"/>
        <w:rPr>
          <w:sz w:val="20"/>
          <w:szCs w:val="20"/>
          <w:color w:val="auto"/>
        </w:rPr>
      </w:pPr>
    </w:p>
    <w:p>
      <w:pPr>
        <w:ind w:left="1800" w:right="419" w:hanging="180"/>
        <w:spacing w:after="0" w:line="275"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and/or</w:t>
      </w:r>
    </w:p>
    <w:p>
      <w:pPr>
        <w:spacing w:after="0" w:line="10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w:t>
      </w:r>
    </w:p>
    <w:p>
      <w:pPr>
        <w:spacing w:after="0" w:line="16" w:lineRule="exact"/>
        <w:rPr>
          <w:sz w:val="20"/>
          <w:szCs w:val="20"/>
          <w:color w:val="auto"/>
        </w:rPr>
      </w:pPr>
    </w:p>
    <w:p>
      <w:pPr>
        <w:ind w:left="1260" w:right="499"/>
        <w:spacing w:after="0" w:line="234" w:lineRule="auto"/>
        <w:rPr>
          <w:sz w:val="20"/>
          <w:szCs w:val="20"/>
          <w:color w:val="auto"/>
        </w:rPr>
      </w:pPr>
      <w:r>
        <w:rPr>
          <w:rFonts w:ascii="Times New Roman" w:cs="Times New Roman" w:eastAsia="Times New Roman" w:hAnsi="Times New Roman"/>
          <w:sz w:val="18"/>
          <w:szCs w:val="18"/>
          <w:color w:val="auto"/>
        </w:rPr>
        <w:t>exercise the voting rights for the ordinary shares represented by your ADSs. The voting rights of holders of ordinary shares are described in “Description of Share Capital and Articles of Association — Articles of Association” above.</w:t>
      </w:r>
    </w:p>
    <w:p>
      <w:pPr>
        <w:spacing w:after="0" w:line="10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1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as follows:</w:t>
      </w:r>
    </w:p>
    <w:p>
      <w:pPr>
        <w:spacing w:after="0" w:line="66" w:lineRule="exact"/>
        <w:rPr>
          <w:sz w:val="20"/>
          <w:szCs w:val="20"/>
          <w:color w:val="auto"/>
        </w:rPr>
      </w:pPr>
    </w:p>
    <w:p>
      <w:pPr>
        <w:ind w:left="1800" w:right="599" w:hanging="180"/>
        <w:spacing w:after="0" w:line="267"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will vote (or cause the custodian to vote)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held on deposit at that time in accordance with the voting instructions received from a majority of holders of ADSs who provide timely voting instructions.</w:t>
      </w:r>
    </w:p>
    <w:p>
      <w:pPr>
        <w:spacing w:after="0" w:line="51" w:lineRule="exact"/>
        <w:rPr>
          <w:rFonts w:ascii="Times New Roman" w:cs="Times New Roman" w:eastAsia="Times New Roman" w:hAnsi="Times New Roman"/>
          <w:sz w:val="18"/>
          <w:szCs w:val="18"/>
          <w:color w:val="auto"/>
        </w:rPr>
      </w:pPr>
    </w:p>
    <w:p>
      <w:pPr>
        <w:ind w:left="1800" w:right="459" w:hanging="180"/>
        <w:spacing w:after="0" w:line="28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will vote (or cause the custodian to vote)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on deposit in accordance with the voting instructions received from the holders of ADSs.</w:t>
      </w:r>
    </w:p>
    <w:p>
      <w:pPr>
        <w:spacing w:after="0" w:line="93"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4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ectPr>
          <w:pgSz w:w="11900" w:h="16838" w:orient="portrait"/>
          <w:cols w:equalWidth="0" w:num="1">
            <w:col w:w="9879"/>
          </w:cols>
          <w:pgMar w:left="580" w:top="97" w:right="1440" w:bottom="1440" w:gutter="0" w:footer="0" w:header="0"/>
        </w:sectPr>
      </w:pPr>
    </w:p>
    <w:p>
      <w:pPr>
        <w:ind w:left="1260"/>
        <w:spacing w:after="0"/>
        <w:tabs>
          <w:tab w:leader="none" w:pos="3020" w:val="left"/>
          <w:tab w:leader="none" w:pos="5300" w:val="left"/>
          <w:tab w:leader="none" w:pos="73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 w:lineRule="exact"/>
        <w:rPr>
          <w:sz w:val="20"/>
          <w:szCs w:val="20"/>
          <w:color w:val="auto"/>
        </w:rPr>
      </w:pPr>
    </w:p>
    <w:p>
      <w:pPr>
        <w:ind w:left="1260" w:right="1140"/>
        <w:spacing w:after="0" w:line="269" w:lineRule="auto"/>
        <w:rPr>
          <w:sz w:val="20"/>
          <w:szCs w:val="20"/>
          <w:color w:val="auto"/>
        </w:rPr>
      </w:pPr>
      <w:r>
        <w:rPr>
          <w:rFonts w:ascii="Times New Roman" w:cs="Times New Roman" w:eastAsia="Times New Roman" w:hAnsi="Times New Roman"/>
          <w:sz w:val="18"/>
          <w:szCs w:val="18"/>
          <w:color w:val="auto"/>
        </w:rPr>
        <w:t>​Issuance of ADSs (e.g., an issuance of ADS upon a ​ ​ Up to $0.05 per ADS issued deposit of ordinary shares or upon a change in the ADS(s)-to-ordinary shares ratio), excluding ADS</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issuances as a result of distributions of ordinary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w:t>
      </w:r>
    </w:p>
    <w:p>
      <w:pPr>
        <w:spacing w:after="0" w:line="23" w:lineRule="exact"/>
        <w:rPr>
          <w:sz w:val="20"/>
          <w:szCs w:val="20"/>
          <w:color w:val="auto"/>
        </w:rPr>
      </w:pPr>
    </w:p>
    <w:p>
      <w:pPr>
        <w:ind w:left="1260" w:right="900"/>
        <w:spacing w:after="0" w:line="292" w:lineRule="auto"/>
        <w:rPr>
          <w:sz w:val="20"/>
          <w:szCs w:val="20"/>
          <w:color w:val="auto"/>
        </w:rPr>
      </w:pPr>
      <w:r>
        <w:rPr>
          <w:rFonts w:ascii="Times New Roman" w:cs="Times New Roman" w:eastAsia="Times New Roman" w:hAnsi="Times New Roman"/>
          <w:sz w:val="18"/>
          <w:szCs w:val="18"/>
          <w:color w:val="auto"/>
        </w:rPr>
        <w:t>​Cancellation of ADSs (e.g., a cancellation of ADSs ​ ​ Up to $0.05 per ADS cancelled for delivery of deposited property or upon a change in the ADS(s)-to-ordinary shares ratio)</w:t>
      </w:r>
    </w:p>
    <w:p>
      <w:pPr>
        <w:spacing w:after="0" w:line="185" w:lineRule="exact"/>
        <w:rPr>
          <w:sz w:val="20"/>
          <w:szCs w:val="20"/>
          <w:color w:val="auto"/>
        </w:rPr>
      </w:pPr>
    </w:p>
    <w:p>
      <w:pPr>
        <w:ind w:left="1260" w:right="1300"/>
        <w:spacing w:after="0" w:line="292" w:lineRule="auto"/>
        <w:rPr>
          <w:sz w:val="20"/>
          <w:szCs w:val="20"/>
          <w:color w:val="auto"/>
        </w:rPr>
      </w:pPr>
      <w:r>
        <w:rPr>
          <w:rFonts w:ascii="Times New Roman" w:cs="Times New Roman" w:eastAsia="Times New Roman" w:hAnsi="Times New Roman"/>
          <w:sz w:val="18"/>
          <w:szCs w:val="18"/>
          <w:color w:val="auto"/>
        </w:rPr>
        <w:t>​Distribution of cash dividends or other cash ​ ​ Up to $0.05 per ADS held distributions (e.g., upon a sale of rights and other entitlements)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8740" w:space="720"/>
            <w:col w:w="41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60"/>
        <w:spacing w:after="0"/>
        <w:tabs>
          <w:tab w:leader="none" w:pos="3020" w:val="left"/>
          <w:tab w:leader="none" w:pos="5300" w:val="left"/>
          <w:tab w:leader="none" w:pos="73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 w:lineRule="exact"/>
        <w:rPr>
          <w:sz w:val="20"/>
          <w:szCs w:val="20"/>
          <w:color w:val="auto"/>
        </w:rPr>
      </w:pPr>
    </w:p>
    <w:p>
      <w:pPr>
        <w:ind w:left="1260" w:right="1880"/>
        <w:spacing w:after="0" w:line="299" w:lineRule="auto"/>
        <w:rPr>
          <w:sz w:val="20"/>
          <w:szCs w:val="20"/>
          <w:color w:val="auto"/>
        </w:rPr>
      </w:pPr>
      <w:r>
        <w:rPr>
          <w:rFonts w:ascii="Times New Roman" w:cs="Times New Roman" w:eastAsia="Times New Roman" w:hAnsi="Times New Roman"/>
          <w:sz w:val="18"/>
          <w:szCs w:val="18"/>
          <w:color w:val="auto"/>
        </w:rPr>
        <w:t>​Distribution of ADSs pursuant to (i) stock dividends ​ ​ Up to $0.05 per ADS held or other free stock distributions, or (ii) exercise of rights to purchase additional ADSs</w:t>
      </w:r>
    </w:p>
    <w:p>
      <w:pPr>
        <w:spacing w:after="0" w:line="183" w:lineRule="exact"/>
        <w:rPr>
          <w:sz w:val="20"/>
          <w:szCs w:val="20"/>
          <w:color w:val="auto"/>
        </w:rPr>
      </w:pPr>
    </w:p>
    <w:p>
      <w:pPr>
        <w:ind w:left="1260" w:right="1880"/>
        <w:spacing w:after="0" w:line="266" w:lineRule="auto"/>
        <w:rPr>
          <w:sz w:val="20"/>
          <w:szCs w:val="20"/>
          <w:color w:val="auto"/>
        </w:rPr>
      </w:pPr>
      <w:r>
        <w:rPr>
          <w:rFonts w:ascii="Times New Roman" w:cs="Times New Roman" w:eastAsia="Times New Roman" w:hAnsi="Times New Roman"/>
          <w:sz w:val="18"/>
          <w:szCs w:val="18"/>
          <w:color w:val="auto"/>
        </w:rPr>
        <w:t>​Distribution of securities other than ADSs or rights ​ ​ Up to $0.05 per ADS held to purchase additional ADSs (e.g., upon a spin-off)</w:t>
      </w:r>
    </w:p>
    <w:p>
      <w:pPr>
        <w:ind w:left="5260" w:hanging="4211"/>
        <w:spacing w:after="0" w:line="307" w:lineRule="auto"/>
        <w:tabs>
          <w:tab w:leader="none" w:pos="5240" w:val="left"/>
        </w:tabs>
        <w:rPr>
          <w:sz w:val="20"/>
          <w:szCs w:val="20"/>
          <w:color w:val="auto"/>
        </w:rPr>
      </w:pPr>
      <w:r>
        <w:rPr>
          <w:rFonts w:ascii="Times New Roman" w:cs="Times New Roman" w:eastAsia="Times New Roman" w:hAnsi="Times New Roman"/>
          <w:sz w:val="18"/>
          <w:szCs w:val="18"/>
          <w:color w:val="auto"/>
        </w:rPr>
        <w:t>​ADS Services</w:t>
      </w:r>
      <w:r>
        <w:rPr>
          <w:sz w:val="20"/>
          <w:szCs w:val="20"/>
          <w:color w:val="auto"/>
        </w:rPr>
        <w:tab/>
      </w:r>
      <w:r>
        <w:rPr>
          <w:rFonts w:ascii="Times New Roman" w:cs="Times New Roman" w:eastAsia="Times New Roman" w:hAnsi="Times New Roman"/>
          <w:sz w:val="18"/>
          <w:szCs w:val="18"/>
          <w:color w:val="auto"/>
        </w:rPr>
        <w:t>​ ​ Up to $0.05 per ADS held on the applicable record date(s) established by the depositary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27" w:lineRule="exact"/>
        <w:rPr>
          <w:sz w:val="20"/>
          <w:szCs w:val="20"/>
          <w:color w:val="auto"/>
        </w:rPr>
      </w:pPr>
    </w:p>
    <w:p>
      <w:pPr>
        <w:sectPr>
          <w:pgSz w:w="11900" w:h="16838" w:orient="portrait"/>
          <w:cols w:equalWidth="0" w:num="2">
            <w:col w:w="9320" w:space="140"/>
            <w:col w:w="419"/>
          </w:cols>
          <w:pgMar w:left="580" w:top="97" w:right="1440" w:bottom="1440" w:gutter="0" w:footer="0" w:header="0"/>
          <w:type w:val="continuous"/>
        </w:sectPr>
      </w:pP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9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90" w:lineRule="exact"/>
        <w:rPr>
          <w:rFonts w:ascii="Times New Roman" w:cs="Times New Roman" w:eastAsia="Times New Roman" w:hAnsi="Times New Roman"/>
          <w:sz w:val="18"/>
          <w:szCs w:val="18"/>
          <w:color w:val="auto"/>
        </w:rPr>
      </w:pPr>
    </w:p>
    <w:p>
      <w:pPr>
        <w:jc w:val="both"/>
        <w:ind w:left="1800" w:right="9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property.</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color w:val="auto"/>
        </w:rPr>
        <w:t>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2" w:lineRule="exact"/>
        <w:rPr>
          <w:sz w:val="20"/>
          <w:szCs w:val="20"/>
          <w:color w:val="auto"/>
        </w:rPr>
      </w:pPr>
    </w:p>
    <w:p>
      <w:pPr>
        <w:ind w:left="1260" w:right="719" w:firstLine="360"/>
        <w:spacing w:after="0" w:line="25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323"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 -interest bearing account. At that point, the depositary will have no further obligations to holders other than to account for the funds then held for the holders of ADSs still outstanding (after deduction of applicable fees, taxes and expenses).</w:t>
      </w:r>
    </w:p>
    <w:p>
      <w:pPr>
        <w:spacing w:after="0" w:line="11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Transmission of Notices, Reports and Proxy Soliciting Material</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40" w:lineRule="exact"/>
        <w:rPr>
          <w:sz w:val="20"/>
          <w:szCs w:val="20"/>
          <w:color w:val="auto"/>
        </w:rPr>
      </w:pPr>
    </w:p>
    <w:p>
      <w:pPr>
        <w:ind w:left="1800" w:right="10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95"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79"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58"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Pre-Release Transactions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and conditions of the deposit agreement, the depositary may issue to broker/​ 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1800" w:right="5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Verona” “we,” “our” or “us” refer to Verona Pharma plc, excluding our subsidiaries, unless expressly stated or the context otherwise requires.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1"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32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ind w:left="1800" w:right="47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Verona) is a corporation organized and validly existing under the laws a U.K. jurisdiction or a U.S.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Verona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Verona;</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6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4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may issue warrants for the purchase of our ordinary shares, ADSs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3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54" w:lineRule="exact"/>
        <w:rPr>
          <w:sz w:val="20"/>
          <w:szCs w:val="20"/>
          <w:color w:val="auto"/>
        </w:rPr>
      </w:pPr>
    </w:p>
    <w:p>
      <w:pPr>
        <w:jc w:val="both"/>
        <w:ind w:left="1800" w:right="53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or ADSs purchasable upon the exercise of warrants to purchase such shares or ADSs and the price at which such number of shares or ADSs may be purchased upon such exercise;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ordinary shares or ADSs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United States Federal income tax consequences and certain UK tax consequences applicable to the warrants; and</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17"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general meeting of shareholders for the election of our directors or any other matter;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Verona.</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ordinary shares or ADSs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or ADSs are exercised, the holders of the warrants will not have any rights of holders of the underlying ordinary shares or ADSs, including any rights to receive dividends or payments upon any liquidation, dissolution or winding up on the ordinary shares or ADSs, if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and certain UK tax considerations applicable to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32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9"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ADSs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415(a)(4) under the Securities Act. In addition, we may enter into derivative transactions with third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parties, or sell securities not covered by this prospectus to third parties in privately negotiated transactions.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the applicable prospectus supplement so indicates, in connection with those derivatives, the third parties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sell securities covered by this prospectus and the applicable prospectus supplement, including in short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 transactions. If so, the third party may use securities pledged by us or borrowed from us or others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settle those sales or to close out any related open borrowings of stock, and may use securities received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in settlement of those derivatives to close out any related open borrowings of stock. The third party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sale transactions will be an underwriter and, if not identified in this prospectus, will be named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prospectus supplement (or a post-effective amendment). In addition, we may otherwise loan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pledge securities to a financial institution or other third party that in turn may sell the securities short using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and an applicable prospectus supplement. Such financial institution or other third party may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its economic short position to investors in our securities or in connection with a concurrent offering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other securities.</w:t>
      </w:r>
    </w:p>
    <w:p>
      <w:pPr>
        <w:spacing w:after="0" w:line="1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Verona Pharma plc.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61" w:lineRule="auto"/>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10-</w:t>
        </w:r>
      </w:hyperlink>
      <w:hyperlink r:id="rId102">
        <w:r>
          <w:rPr>
            <w:rFonts w:ascii="Times New Roman" w:cs="Times New Roman" w:eastAsia="Times New Roman" w:hAnsi="Times New Roman"/>
            <w:sz w:val="18"/>
            <w:szCs w:val="18"/>
            <w:u w:val="single" w:color="auto"/>
            <w:color w:val="0000EE"/>
          </w:rPr>
          <w:t>K for the year ended December 31,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LLP, an independent registered public accounting firm, given on the authority of said firm as experts in auditing and accounting.</w:t>
      </w:r>
    </w:p>
    <w:p>
      <w:pPr>
        <w:spacing w:after="0" w:line="99" w:lineRule="exact"/>
        <w:rPr>
          <w:sz w:val="20"/>
          <w:szCs w:val="20"/>
          <w:color w:val="auto"/>
        </w:rPr>
      </w:pPr>
    </w:p>
    <w:p>
      <w:pPr>
        <w:ind w:left="1260" w:right="1519" w:firstLine="36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1579"/>
        <w:spacing w:after="0"/>
        <w:rPr>
          <w:sz w:val="20"/>
          <w:szCs w:val="20"/>
          <w:color w:val="auto"/>
        </w:rPr>
      </w:pPr>
      <w:r>
        <w:rPr>
          <w:rFonts w:ascii="Arial" w:cs="Arial" w:eastAsia="Arial" w:hAnsi="Arial"/>
          <w:sz w:val="29"/>
          <w:szCs w:val="29"/>
          <w:b w:val="1"/>
          <w:bCs w:val="1"/>
          <w:color w:val="auto"/>
        </w:rPr>
        <w:t>12,400,000 American Depositary Shares</w:t>
      </w:r>
    </w:p>
    <w:p>
      <w:pPr>
        <w:ind w:left="2980"/>
        <w:spacing w:after="0"/>
        <w:rPr>
          <w:sz w:val="20"/>
          <w:szCs w:val="20"/>
          <w:color w:val="auto"/>
        </w:rPr>
      </w:pPr>
      <w:r>
        <w:rPr>
          <w:rFonts w:ascii="Arial" w:cs="Arial" w:eastAsia="Arial" w:hAnsi="Arial"/>
          <w:sz w:val="29"/>
          <w:szCs w:val="29"/>
          <w:b w:val="1"/>
          <w:bCs w:val="1"/>
          <w:color w:val="auto"/>
        </w:rPr>
        <w:t>(Representing Ordinary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382270</wp:posOffset>
            </wp:positionV>
            <wp:extent cx="1688465" cy="651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788670</wp:posOffset>
            </wp:positionV>
            <wp:extent cx="1920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PROSPECTUS SUPPLEMENT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174625</wp:posOffset>
            </wp:positionV>
            <wp:extent cx="19202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Joint Book-Running Managers</w:t>
      </w:r>
    </w:p>
    <w:p>
      <w:pPr>
        <w:spacing w:after="0" w:line="381" w:lineRule="exact"/>
        <w:rPr>
          <w:sz w:val="20"/>
          <w:szCs w:val="20"/>
          <w:color w:val="auto"/>
        </w:rPr>
      </w:pPr>
    </w:p>
    <w:tbl>
      <w:tblPr>
        <w:tblLayout w:type="fixed"/>
        <w:tblInd w:w="1260" w:type="dxa"/>
        <w:tblCellMar>
          <w:top w:w="0" w:type="dxa"/>
          <w:left w:w="0" w:type="dxa"/>
          <w:bottom w:w="0" w:type="dxa"/>
          <w:right w:w="0" w:type="dxa"/>
        </w:tblCellMar>
      </w:tblPr>
      <w:tr>
        <w:trPr>
          <w:trHeight w:val="333"/>
        </w:trPr>
        <w:tc>
          <w:tcPr>
            <w:tcW w:w="2360" w:type="dxa"/>
            <w:vAlign w:val="bottom"/>
          </w:tcPr>
          <w:p>
            <w:pPr>
              <w:spacing w:after="0"/>
              <w:rPr>
                <w:sz w:val="20"/>
                <w:szCs w:val="20"/>
                <w:color w:val="auto"/>
              </w:rPr>
            </w:pPr>
            <w:r>
              <w:rPr>
                <w:rFonts w:ascii="Arial" w:cs="Arial" w:eastAsia="Arial" w:hAnsi="Arial"/>
                <w:sz w:val="29"/>
                <w:szCs w:val="29"/>
                <w:b w:val="1"/>
                <w:bCs w:val="1"/>
                <w:color w:val="auto"/>
              </w:rPr>
              <w:t>​</w:t>
            </w:r>
          </w:p>
        </w:tc>
        <w:tc>
          <w:tcPr>
            <w:tcW w:w="580" w:type="dxa"/>
            <w:vAlign w:val="bottom"/>
          </w:tcPr>
          <w:p>
            <w:pPr>
              <w:ind w:left="240"/>
              <w:spacing w:after="0"/>
              <w:rPr>
                <w:sz w:val="20"/>
                <w:szCs w:val="20"/>
                <w:color w:val="auto"/>
              </w:rPr>
            </w:pPr>
            <w:r>
              <w:rPr>
                <w:rFonts w:ascii="Arial" w:cs="Arial" w:eastAsia="Arial" w:hAnsi="Arial"/>
                <w:sz w:val="29"/>
                <w:szCs w:val="29"/>
                <w:b w:val="1"/>
                <w:bCs w:val="1"/>
                <w:color w:val="auto"/>
              </w:rPr>
              <w:t>​​</w:t>
            </w:r>
          </w:p>
        </w:tc>
        <w:tc>
          <w:tcPr>
            <w:tcW w:w="2320" w:type="dxa"/>
            <w:vAlign w:val="bottom"/>
            <w:gridSpan w:val="3"/>
            <w:vMerge w:val="restart"/>
          </w:tcPr>
          <w:p>
            <w:pPr>
              <w:jc w:val="center"/>
              <w:spacing w:after="0"/>
              <w:rPr>
                <w:sz w:val="20"/>
                <w:szCs w:val="20"/>
                <w:color w:val="auto"/>
              </w:rPr>
            </w:pPr>
            <w:r>
              <w:rPr>
                <w:rFonts w:ascii="Arial" w:cs="Arial" w:eastAsia="Arial" w:hAnsi="Arial"/>
                <w:sz w:val="29"/>
                <w:szCs w:val="29"/>
                <w:b w:val="1"/>
                <w:bCs w:val="1"/>
                <w:color w:val="auto"/>
              </w:rPr>
              <w:t>Piper Sandler</w:t>
            </w:r>
          </w:p>
        </w:tc>
        <w:tc>
          <w:tcPr>
            <w:tcW w:w="380" w:type="dxa"/>
            <w:vAlign w:val="bottom"/>
          </w:tcPr>
          <w:p>
            <w:pPr>
              <w:ind w:left="140"/>
              <w:spacing w:after="0"/>
              <w:rPr>
                <w:sz w:val="20"/>
                <w:szCs w:val="20"/>
                <w:color w:val="auto"/>
              </w:rPr>
            </w:pPr>
            <w:r>
              <w:rPr>
                <w:rFonts w:ascii="Arial" w:cs="Arial" w:eastAsia="Arial" w:hAnsi="Arial"/>
                <w:sz w:val="29"/>
                <w:szCs w:val="29"/>
                <w:b w:val="1"/>
                <w:bCs w:val="1"/>
                <w:color w:val="auto"/>
              </w:rPr>
              <w:t>​​</w:t>
            </w:r>
          </w:p>
        </w:tc>
        <w:tc>
          <w:tcPr>
            <w:tcW w:w="256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Truist Securities</w:t>
            </w:r>
          </w:p>
        </w:tc>
        <w:tc>
          <w:tcPr>
            <w:tcW w:w="80" w:type="dxa"/>
            <w:vAlign w:val="bottom"/>
          </w:tcPr>
          <w:p>
            <w:pPr>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397"/>
        </w:trPr>
        <w:tc>
          <w:tcPr>
            <w:tcW w:w="236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580" w:type="dxa"/>
            <w:vAlign w:val="bottom"/>
          </w:tcPr>
          <w:p>
            <w:pPr>
              <w:spacing w:after="0"/>
              <w:rPr>
                <w:sz w:val="24"/>
                <w:szCs w:val="24"/>
                <w:color w:val="auto"/>
              </w:rPr>
            </w:pPr>
          </w:p>
        </w:tc>
        <w:tc>
          <w:tcPr>
            <w:tcW w:w="23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9"/>
              </w:rPr>
              <w:t>Co-Managers</w:t>
            </w: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360" w:type="dxa"/>
            <w:vAlign w:val="bottom"/>
          </w:tcPr>
          <w:p>
            <w:pPr>
              <w:spacing w:after="0"/>
              <w:rPr>
                <w:sz w:val="20"/>
                <w:szCs w:val="20"/>
                <w:color w:val="auto"/>
              </w:rPr>
            </w:pPr>
            <w:r>
              <w:rPr>
                <w:rFonts w:ascii="Arial" w:cs="Arial" w:eastAsia="Arial" w:hAnsi="Arial"/>
                <w:sz w:val="22"/>
                <w:szCs w:val="22"/>
                <w:b w:val="1"/>
                <w:bCs w:val="1"/>
                <w:color w:val="auto"/>
              </w:rPr>
              <w:t>​</w:t>
            </w:r>
          </w:p>
        </w:tc>
        <w:tc>
          <w:tcPr>
            <w:tcW w:w="580" w:type="dxa"/>
            <w:vAlign w:val="bottom"/>
          </w:tcPr>
          <w:p>
            <w:pPr>
              <w:ind w:left="240"/>
              <w:spacing w:after="0"/>
              <w:rPr>
                <w:sz w:val="20"/>
                <w:szCs w:val="20"/>
                <w:color w:val="auto"/>
              </w:rPr>
            </w:pPr>
            <w:r>
              <w:rPr>
                <w:rFonts w:ascii="Arial" w:cs="Arial" w:eastAsia="Arial" w:hAnsi="Arial"/>
                <w:sz w:val="22"/>
                <w:szCs w:val="22"/>
                <w:b w:val="1"/>
                <w:bCs w:val="1"/>
                <w:color w:val="auto"/>
              </w:rPr>
              <w:t>​ ​</w:t>
            </w:r>
          </w:p>
        </w:tc>
        <w:tc>
          <w:tcPr>
            <w:tcW w:w="200" w:type="dxa"/>
            <w:vAlign w:val="bottom"/>
          </w:tcPr>
          <w:p>
            <w:pPr>
              <w:spacing w:after="0"/>
              <w:rPr>
                <w:sz w:val="24"/>
                <w:szCs w:val="24"/>
                <w:color w:val="auto"/>
              </w:rPr>
            </w:pPr>
          </w:p>
        </w:tc>
        <w:tc>
          <w:tcPr>
            <w:tcW w:w="2120" w:type="dxa"/>
            <w:vAlign w:val="bottom"/>
            <w:gridSpan w:val="2"/>
            <w:vMerge w:val="restart"/>
          </w:tcPr>
          <w:p>
            <w:pPr>
              <w:jc w:val="center"/>
              <w:ind w:right="200"/>
              <w:spacing w:after="0"/>
              <w:rPr>
                <w:sz w:val="20"/>
                <w:szCs w:val="20"/>
                <w:color w:val="auto"/>
              </w:rPr>
            </w:pPr>
            <w:r>
              <w:rPr>
                <w:rFonts w:ascii="Arial" w:cs="Arial" w:eastAsia="Arial" w:hAnsi="Arial"/>
                <w:sz w:val="22"/>
                <w:szCs w:val="22"/>
                <w:b w:val="1"/>
                <w:bCs w:val="1"/>
                <w:color w:val="auto"/>
              </w:rPr>
              <w:t>BTIG</w:t>
            </w:r>
          </w:p>
        </w:tc>
        <w:tc>
          <w:tcPr>
            <w:tcW w:w="380" w:type="dxa"/>
            <w:vAlign w:val="bottom"/>
          </w:tcPr>
          <w:p>
            <w:pPr>
              <w:ind w:left="140"/>
              <w:spacing w:after="0"/>
              <w:rPr>
                <w:sz w:val="20"/>
                <w:szCs w:val="20"/>
                <w:color w:val="auto"/>
              </w:rPr>
            </w:pPr>
            <w:r>
              <w:rPr>
                <w:rFonts w:ascii="Arial" w:cs="Arial" w:eastAsia="Arial" w:hAnsi="Arial"/>
                <w:sz w:val="22"/>
                <w:szCs w:val="22"/>
                <w:b w:val="1"/>
                <w:bCs w:val="1"/>
                <w:color w:val="auto"/>
              </w:rPr>
              <w:t>​ ​</w:t>
            </w:r>
          </w:p>
        </w:tc>
        <w:tc>
          <w:tcPr>
            <w:tcW w:w="25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H.C. Wainwright &amp; Co.</w:t>
            </w:r>
          </w:p>
        </w:tc>
        <w:tc>
          <w:tcPr>
            <w:tcW w:w="80" w:type="dxa"/>
            <w:vAlign w:val="bottom"/>
          </w:tcPr>
          <w:p>
            <w:pPr>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0"/>
                <w:szCs w:val="20"/>
                <w:color w:val="auto"/>
              </w:rPr>
            </w:pPr>
            <w:r>
              <w:rPr>
                <w:rFonts w:ascii="Arial" w:cs="Arial" w:eastAsia="Arial" w:hAnsi="Arial"/>
                <w:sz w:val="22"/>
                <w:szCs w:val="22"/>
                <w:b w:val="1"/>
                <w:bCs w:val="1"/>
                <w:color w:val="auto"/>
              </w:rPr>
              <w:t>Wedbush PacGrow</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613410</wp:posOffset>
            </wp:positionV>
            <wp:extent cx="5212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lvl w:ilvl="1">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upperLetter"/>
      <w:start w:val="1"/>
    </w:lvl>
  </w:abstractNum>
  <w:abstractNum w:abstractNumId="12">
    <w:nsid w:val="5E884ADC"/>
    <w:multiLevelType w:val="hybridMultilevel"/>
    <w:lvl w:ilvl="0">
      <w:lvlJc w:val="left"/>
      <w:lvlText w:val="(%1)"/>
      <w:numFmt w:val="upperLetter"/>
      <w:start w:val="2"/>
    </w:lvl>
    <w:lvl w:ilvl="1">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lowerRoman"/>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2"/>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lvl w:ilvl="1">
      <w:lvlJc w:val="left"/>
      <w:lvlText w:val="(%2)"/>
      <w:numFmt w:val="lowerLetter"/>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lvl w:ilvl="1">
      <w:lvlJc w:val="left"/>
      <w:lvlText w:val="(%2)"/>
      <w:numFmt w:val="lowerRoman"/>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jpe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jpe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74" Type="http://schemas.openxmlformats.org/officeDocument/2006/relationships/hyperlink" Target="http://www.sec.gov/ix?doc=/Archives/edgar/data/1657312/000165731222000010/vrna-20211231.htm" TargetMode="External"/><Relationship Id="rId75" Type="http://schemas.openxmlformats.org/officeDocument/2006/relationships/hyperlink" Target="http://www.sec.gov/ix?doc=/Archives/edgar/data/1657312/000165731222000016/vrna-20220331.htm" TargetMode="External"/><Relationship Id="rId76" Type="http://schemas.openxmlformats.org/officeDocument/2006/relationships/hyperlink" Target="https://www.sec.gov/ix?doc=/Archives/edgar/data/1657312/000165731222000027/vrna-20220630.htm" TargetMode="External"/><Relationship Id="rId77" Type="http://schemas.openxmlformats.org/officeDocument/2006/relationships/hyperlink" Target="http://www.sec.gov/Archives/edgar/data/1657312/000110465922036551/tm223622-1_def14a.htm" TargetMode="External"/><Relationship Id="rId78" Type="http://schemas.openxmlformats.org/officeDocument/2006/relationships/hyperlink" Target="http://www.sec.gov/ix?doc=/Archives/edgar/data/1657312/000110465922001296/tm221591d1_8k.htm" TargetMode="External"/><Relationship Id="rId79" Type="http://schemas.openxmlformats.org/officeDocument/2006/relationships/hyperlink" Target="http://www.sec.gov/ix?doc=/Archives/edgar/data/1657312/000110465922034141/tm229327d1_8k.htm" TargetMode="External"/><Relationship Id="rId80" Type="http://schemas.openxmlformats.org/officeDocument/2006/relationships/hyperlink" Target="http://www.sec.gov/ix?doc=/Archives/edgar/data/1657312/000110465922040140/tm2210807d1_8k.htm" TargetMode="External"/><Relationship Id="rId81" Type="http://schemas.openxmlformats.org/officeDocument/2006/relationships/hyperlink" Target="https://www.sec.gov/ix?doc=/Archives/edgar/data/1657312/000110465922052908/tm2214020d1_8k.htm" TargetMode="External"/><Relationship Id="rId82" Type="http://schemas.openxmlformats.org/officeDocument/2006/relationships/hyperlink" Target="https://www.sec.gov/ix?doc=/Archives/edgar/data/1657312/000165731222000028/vrna-20220809.htm" TargetMode="External"/><Relationship Id="rId83" Type="http://schemas.openxmlformats.org/officeDocument/2006/relationships/hyperlink" Target="http://www.sec.gov/Archives/edgar/data/1657312/000110465917024500/a16-21903_58a12b.htm" TargetMode="External"/><Relationship Id="rId102" Type="http://schemas.openxmlformats.org/officeDocument/2006/relationships/hyperlink" Target="https://www.sec.gov/ix?doc=/Archives/edgar/data/1657312/000165731221000004/vrna-20201231.htm" TargetMode="External"/><Relationship Id="rId103" Type="http://schemas.openxmlformats.org/officeDocument/2006/relationships/hyperlink" Target="https://www.sec.gov/Archives/edgar/data/1657312/000110465921039049/tm219611-1_def14a.htm" TargetMode="External"/><Relationship Id="rId104" Type="http://schemas.openxmlformats.org/officeDocument/2006/relationships/hyperlink" Target="https://www.sec.gov/Archives/edgar/data/1657312/000110465921030453/tm218427d1_8k.htm" TargetMode="External"/><Relationship Id="rId105" Type="http://schemas.openxmlformats.org/officeDocument/2006/relationships/hyperlink" Target="https://www.sec.gov/Archives/edgar/data/1657312/000110465917024500/a16-21903_5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2022-08-12T09:30:27Z</dcterms:created>
  <dcterms:modified xsi:type="dcterms:W3CDTF">2022-08-12T09:30:27Z</dcterms:modified>
</cp:coreProperties>
</file>