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Hahn Mark W</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 MORE LONDON RIVERSIDE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Verona Pharma plc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VRNA</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06/11/2025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280" w:type="dxa"/>
            <w:vAlign w:val="bottom"/>
            <w:tcBorders>
              <w:bottom w:val="single" w:sz="8" w:color="9A9A9A"/>
            </w:tcBorders>
          </w:tcPr>
          <w:p>
            <w:pPr>
              <w:spacing w:after="0"/>
              <w:rPr>
                <w:sz w:val="3"/>
                <w:szCs w:val="3"/>
                <w:color w:val="auto"/>
              </w:rPr>
            </w:pPr>
          </w:p>
        </w:tc>
        <w:tc>
          <w:tcPr>
            <w:tcW w:w="84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900" w:type="dxa"/>
            <w:vAlign w:val="bottom"/>
            <w:gridSpan w:val="7"/>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9"/>
            <w:vMerge w:val="restart"/>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900" w:type="dxa"/>
            <w:vAlign w:val="bottom"/>
            <w:gridSpan w:val="7"/>
            <w:vMerge w:val="continue"/>
          </w:tcPr>
          <w:p>
            <w:pPr>
              <w:spacing w:after="0"/>
              <w:rPr>
                <w:sz w:val="8"/>
                <w:szCs w:val="8"/>
                <w:color w:val="auto"/>
              </w:rPr>
            </w:pPr>
          </w:p>
        </w:tc>
        <w:tc>
          <w:tcPr>
            <w:tcW w:w="334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40" w:type="dxa"/>
            <w:vAlign w:val="bottom"/>
            <w:gridSpan w:val="4"/>
          </w:tcPr>
          <w:p>
            <w:pPr>
              <w:spacing w:after="0"/>
              <w:rPr>
                <w:sz w:val="20"/>
                <w:szCs w:val="20"/>
                <w:color w:val="auto"/>
              </w:rPr>
            </w:pPr>
            <w:r>
              <w:rPr>
                <w:rFonts w:ascii="Arial" w:cs="Arial" w:eastAsia="Arial" w:hAnsi="Arial"/>
                <w:sz w:val="13"/>
                <w:szCs w:val="13"/>
                <w:color w:val="auto"/>
              </w:rPr>
              <w:t>Line)</w:t>
            </w: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LONDON</w:t>
            </w:r>
          </w:p>
        </w:tc>
        <w:tc>
          <w:tcPr>
            <w:tcW w:w="2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X0</w:t>
            </w:r>
          </w:p>
        </w:tc>
        <w:tc>
          <w:tcPr>
            <w:tcW w:w="840" w:type="dxa"/>
            <w:vAlign w:val="bottom"/>
          </w:tcPr>
          <w:p>
            <w:pPr>
              <w:spacing w:after="0"/>
              <w:rPr>
                <w:sz w:val="20"/>
                <w:szCs w:val="20"/>
                <w:color w:val="auto"/>
              </w:rPr>
            </w:pPr>
          </w:p>
        </w:tc>
        <w:tc>
          <w:tcPr>
            <w:tcW w:w="1420" w:type="dxa"/>
            <w:vAlign w:val="bottom"/>
            <w:gridSpan w:val="3"/>
          </w:tcPr>
          <w:p>
            <w:pPr>
              <w:ind w:left="140"/>
              <w:spacing w:after="0"/>
              <w:rPr>
                <w:sz w:val="20"/>
                <w:szCs w:val="20"/>
                <w:color w:val="auto"/>
              </w:rPr>
            </w:pPr>
            <w:r>
              <w:rPr>
                <w:rFonts w:ascii="Times New Roman" w:cs="Times New Roman" w:eastAsia="Times New Roman" w:hAnsi="Times New Roman"/>
                <w:sz w:val="17"/>
                <w:szCs w:val="17"/>
                <w:color w:val="0000FF"/>
              </w:rPr>
              <w:t>SE1 2RE</w:t>
            </w:r>
          </w:p>
        </w:tc>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40" w:type="dxa"/>
            <w:vAlign w:val="bottom"/>
            <w:gridSpan w:val="6"/>
          </w:tcPr>
          <w:p>
            <w:pPr>
              <w:ind w:left="12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420" w:type="dxa"/>
            <w:vAlign w:val="bottom"/>
            <w:gridSpan w:val="3"/>
            <w:vMerge w:val="continue"/>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4080" w:type="dxa"/>
            <w:vAlign w:val="bottom"/>
            <w:tcBorders>
              <w:bottom w:val="single" w:sz="8" w:color="2C2C2C"/>
            </w:tcBorders>
            <w:gridSpan w:val="9"/>
          </w:tcPr>
          <w:p>
            <w:pPr>
              <w:spacing w:after="0"/>
              <w:rPr>
                <w:sz w:val="10"/>
                <w:szCs w:val="10"/>
                <w:color w:val="auto"/>
              </w:rPr>
            </w:pPr>
          </w:p>
        </w:tc>
        <w:tc>
          <w:tcPr>
            <w:tcW w:w="28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6"/>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40"/>
              <w:spacing w:after="0"/>
              <w:rPr>
                <w:sz w:val="20"/>
                <w:szCs w:val="20"/>
                <w:color w:val="auto"/>
              </w:rPr>
            </w:pPr>
            <w:r>
              <w:rPr>
                <w:rFonts w:ascii="Arial" w:cs="Arial" w:eastAsia="Arial" w:hAnsi="Arial"/>
                <w:sz w:val="12"/>
                <w:szCs w:val="12"/>
                <w:b w:val="1"/>
                <w:bCs w:val="1"/>
                <w:color w:val="auto"/>
              </w:rPr>
              <w:t>2. Transaction</w:t>
            </w:r>
          </w:p>
        </w:tc>
        <w:tc>
          <w:tcPr>
            <w:tcW w:w="1280" w:type="dxa"/>
            <w:vAlign w:val="bottom"/>
            <w:gridSpan w:val="2"/>
          </w:tcPr>
          <w:p>
            <w:pPr>
              <w:ind w:left="240"/>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560" w:type="dxa"/>
            <w:vAlign w:val="bottom"/>
          </w:tcPr>
          <w:p>
            <w:pPr>
              <w:spacing w:after="0"/>
              <w:rPr>
                <w:sz w:val="15"/>
                <w:szCs w:val="15"/>
                <w:color w:val="auto"/>
              </w:rPr>
            </w:pPr>
          </w:p>
        </w:tc>
        <w:tc>
          <w:tcPr>
            <w:tcW w:w="18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20" w:type="dxa"/>
            <w:vAlign w:val="bottom"/>
            <w:gridSpan w:val="3"/>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180" w:type="dxa"/>
            <w:vAlign w:val="bottom"/>
            <w:gridSpan w:val="4"/>
          </w:tcPr>
          <w:p>
            <w:pPr>
              <w:ind w:left="5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2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(Month/Day/Year)</w:t>
            </w:r>
          </w:p>
        </w:tc>
        <w:tc>
          <w:tcPr>
            <w:tcW w:w="2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5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520" w:type="dxa"/>
            <w:vAlign w:val="bottom"/>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2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80" w:type="dxa"/>
            <w:vAlign w:val="bottom"/>
          </w:tcPr>
          <w:p>
            <w:pPr>
              <w:spacing w:after="0"/>
              <w:rPr>
                <w:sz w:val="3"/>
                <w:szCs w:val="3"/>
                <w:color w:val="auto"/>
              </w:rPr>
            </w:pPr>
          </w:p>
        </w:tc>
        <w:tc>
          <w:tcPr>
            <w:tcW w:w="4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8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44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5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tcPr>
          <w:p>
            <w:pPr>
              <w:spacing w:after="0"/>
              <w:rPr>
                <w:sz w:val="5"/>
                <w:szCs w:val="5"/>
                <w:color w:val="auto"/>
              </w:rPr>
            </w:pPr>
          </w:p>
        </w:tc>
        <w:tc>
          <w:tcPr>
            <w:tcW w:w="240" w:type="dxa"/>
            <w:vAlign w:val="bottom"/>
          </w:tcPr>
          <w:p>
            <w:pPr>
              <w:spacing w:after="0"/>
              <w:rPr>
                <w:sz w:val="5"/>
                <w:szCs w:val="5"/>
                <w:color w:val="auto"/>
              </w:rPr>
            </w:pPr>
          </w:p>
        </w:tc>
        <w:tc>
          <w:tcPr>
            <w:tcW w:w="560" w:type="dxa"/>
            <w:vAlign w:val="bottom"/>
          </w:tcPr>
          <w:p>
            <w:pPr>
              <w:spacing w:after="0"/>
              <w:rPr>
                <w:sz w:val="5"/>
                <w:szCs w:val="5"/>
                <w:color w:val="auto"/>
              </w:rPr>
            </w:pPr>
          </w:p>
        </w:tc>
        <w:tc>
          <w:tcPr>
            <w:tcW w:w="8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60" w:type="dxa"/>
            <w:vAlign w:val="bottom"/>
            <w:tcBorders>
              <w:bottom w:val="single" w:sz="8" w:color="2C2C2C"/>
            </w:tcBorders>
            <w:gridSpan w:val="4"/>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Ordinary Shares</w:t>
            </w:r>
            <w:r>
              <w:rPr>
                <w:rFonts w:ascii="Times New Roman" w:cs="Times New Roman" w:eastAsia="Times New Roman" w:hAnsi="Times New Roman"/>
                <w:sz w:val="22"/>
                <w:szCs w:val="22"/>
                <w:color w:val="008000"/>
                <w:vertAlign w:val="superscript"/>
              </w:rPr>
              <w:t>(1)</w:t>
            </w:r>
          </w:p>
        </w:tc>
        <w:tc>
          <w:tcPr>
            <w:tcW w:w="84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gridSpan w:val="3"/>
          </w:tcPr>
          <w:p>
            <w:pPr>
              <w:ind w:left="640"/>
              <w:spacing w:after="0"/>
              <w:rPr>
                <w:sz w:val="20"/>
                <w:szCs w:val="20"/>
                <w:color w:val="auto"/>
              </w:rPr>
            </w:pPr>
            <w:r>
              <w:rPr>
                <w:rFonts w:ascii="Times New Roman" w:cs="Times New Roman" w:eastAsia="Times New Roman" w:hAnsi="Times New Roman"/>
                <w:sz w:val="17"/>
                <w:szCs w:val="17"/>
                <w:color w:val="0000FF"/>
                <w:w w:val="98"/>
              </w:rPr>
              <w:t>06/11/2025</w:t>
            </w: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8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400,000</w:t>
            </w:r>
          </w:p>
        </w:tc>
        <w:tc>
          <w:tcPr>
            <w:tcW w:w="4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2100" w:type="dxa"/>
            <w:vAlign w:val="bottom"/>
            <w:tcBorders>
              <w:bottom w:val="single" w:sz="8" w:color="2C2C2C"/>
            </w:tcBorders>
            <w:gridSpan w:val="6"/>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11.4009</w:t>
            </w:r>
            <w:r>
              <w:rPr>
                <w:rFonts w:ascii="Times New Roman" w:cs="Times New Roman" w:eastAsia="Times New Roman" w:hAnsi="Times New Roman"/>
                <w:sz w:val="22"/>
                <w:szCs w:val="22"/>
                <w:color w:val="008000"/>
                <w:vertAlign w:val="superscript"/>
              </w:rPr>
              <w:t>(3)</w:t>
            </w:r>
            <w:r>
              <w:rPr>
                <w:rFonts w:ascii="Arial" w:cs="Arial" w:eastAsia="Arial" w:hAnsi="Arial"/>
                <w:sz w:val="17"/>
                <w:szCs w:val="17"/>
                <w:color w:val="auto"/>
              </w:rPr>
              <w:t xml:space="preserve">    </w:t>
            </w:r>
            <w:r>
              <w:rPr>
                <w:rFonts w:ascii="Times New Roman" w:cs="Times New Roman" w:eastAsia="Times New Roman" w:hAnsi="Times New Roman"/>
                <w:sz w:val="17"/>
                <w:szCs w:val="17"/>
                <w:color w:val="0000FF"/>
              </w:rPr>
              <w:t>12,278,992</w:t>
            </w:r>
            <w:r>
              <w:rPr>
                <w:rFonts w:ascii="Times New Roman" w:cs="Times New Roman" w:eastAsia="Times New Roman" w:hAnsi="Times New Roman"/>
                <w:sz w:val="22"/>
                <w:szCs w:val="22"/>
                <w:color w:val="008000"/>
                <w:vertAlign w:val="superscript"/>
              </w:rPr>
              <w:t>(4)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4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940" w:type="dxa"/>
            <w:vAlign w:val="bottom"/>
            <w:gridSpan w:val="2"/>
          </w:tcPr>
          <w:p>
            <w:pPr>
              <w:ind w:left="14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14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9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9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3"/>
          </w:tcPr>
          <w:p>
            <w:pPr>
              <w:ind w:left="10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88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5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44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500" w:type="dxa"/>
            <w:vAlign w:val="bottom"/>
          </w:tcPr>
          <w:p>
            <w:pPr>
              <w:ind w:left="10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Reported securities are represented by American Depositary Shares ("ADSs"), each of which represents eight (8) Ordinary Shares of the Issuer.</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in this Form 4 was effected pursuant to a Rule 10b5-1 plan adopted on January 29, 2025.</w:t>
      </w:r>
    </w:p>
    <w:p>
      <w:pPr>
        <w:spacing w:after="0" w:line="50" w:lineRule="exact"/>
        <w:rPr>
          <w:rFonts w:ascii="Times New Roman" w:cs="Times New Roman" w:eastAsia="Times New Roman" w:hAnsi="Times New Roman"/>
          <w:sz w:val="13"/>
          <w:szCs w:val="13"/>
          <w:color w:val="008000"/>
        </w:rPr>
      </w:pPr>
    </w:p>
    <w:p>
      <w:pPr>
        <w:ind w:left="40" w:right="5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represents a weighted average price of the ADSs divided by eight (8). The securities were sold in multiple transactions at prices ranging from $11.375 to $11.4575 per Ordinary Share, inclusive (or $91.00 to $91.66 per ADS, inclusive). The Reporting Person undertakes to provide to the Issuer, any securityholder of the Issuer, or the staff of the Securities and Exchange Commission, upon request, full information regarding the number of securities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5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(i) 2,450,000 Ordinary Shares underlying Restricted Share Units, each of which represents a contingent right to receive one (1) Ordinary Share of the Issuer (which are represented by 306,250 ADSs); and (ii) 9,828,992 Ordinary Shares underlying 1,228,624 ADSs.</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Andrew Fisher, Attorney-</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06/13/2025</w:t>
            </w:r>
          </w:p>
        </w:tc>
        <w:tc>
          <w:tcPr>
            <w:tcW w:w="0" w:type="dxa"/>
            <w:vAlign w:val="bottom"/>
          </w:tcPr>
          <w:p>
            <w:pPr>
              <w:spacing w:after="0"/>
              <w:rPr>
                <w:sz w:val="1"/>
                <w:szCs w:val="1"/>
                <w:color w:val="auto"/>
              </w:rPr>
            </w:pPr>
          </w:p>
        </w:tc>
      </w:tr>
      <w:tr>
        <w:trPr>
          <w:trHeight w:val="87"/>
        </w:trPr>
        <w:tc>
          <w:tcPr>
            <w:tcW w:w="200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 for Mark Hahn</w:t>
            </w: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0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540" w:type="dxa"/>
            <w:vAlign w:val="bottom"/>
            <w:shd w:val="clear" w:color="auto" w:fill="000000"/>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3000" w:type="dxa"/>
            <w:vAlign w:val="bottom"/>
            <w:gridSpan w:val="5"/>
          </w:tcPr>
          <w:p>
            <w:pPr>
              <w:spacing w:after="0"/>
              <w:rPr>
                <w:sz w:val="20"/>
                <w:szCs w:val="20"/>
                <w:color w:val="auto"/>
              </w:rPr>
            </w:pPr>
            <w:r>
              <w:rPr>
                <w:rFonts w:ascii="Arial" w:cs="Arial" w:eastAsia="Arial" w:hAnsi="Arial"/>
                <w:sz w:val="13"/>
                <w:szCs w:val="13"/>
                <w:color w:val="auto"/>
              </w:rPr>
              <w:t>** Signature of Reporting PersonDate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08502" TargetMode="External"/><Relationship Id="rId14" Type="http://schemas.openxmlformats.org/officeDocument/2006/relationships/hyperlink" Target="http://www.sec.gov/cgi-bin/browse-edgar?action=getcompany&amp;CIK=00016573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2025-06-13T15:40:47Z</dcterms:created>
  <dcterms:modified xsi:type="dcterms:W3CDTF">2025-06-13T15:40:47Z</dcterms:modified>
</cp:coreProperties>
</file>