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Rickard Kathleen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04/08/2022</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26"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04/08/2022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112,800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0.5885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right"/>
              <w:ind w:right="154"/>
              <w:spacing w:after="0"/>
              <w:rPr>
                <w:sz w:val="20"/>
                <w:szCs w:val="20"/>
                <w:color w:val="auto"/>
              </w:rPr>
            </w:pPr>
            <w:r>
              <w:rPr>
                <w:rFonts w:ascii="Times New Roman" w:cs="Times New Roman" w:eastAsia="Times New Roman" w:hAnsi="Times New Roman"/>
                <w:sz w:val="17"/>
                <w:szCs w:val="17"/>
                <w:color w:val="0000FF"/>
              </w:rPr>
              <w:t>2,606,128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04/11/2022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69"/>
              <w:spacing w:after="0"/>
              <w:rPr>
                <w:sz w:val="20"/>
                <w:szCs w:val="20"/>
                <w:color w:val="auto"/>
              </w:rPr>
            </w:pPr>
            <w:r>
              <w:rPr>
                <w:rFonts w:ascii="Times New Roman" w:cs="Times New Roman" w:eastAsia="Times New Roman" w:hAnsi="Times New Roman"/>
                <w:sz w:val="17"/>
                <w:szCs w:val="17"/>
                <w:color w:val="0000FF"/>
              </w:rPr>
              <w:t>59,720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0.5375</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ind w:right="74"/>
              <w:spacing w:after="0"/>
              <w:rPr>
                <w:sz w:val="20"/>
                <w:szCs w:val="20"/>
                <w:color w:val="auto"/>
              </w:rPr>
            </w:pPr>
            <w:r>
              <w:rPr>
                <w:rFonts w:ascii="Times New Roman" w:cs="Times New Roman" w:eastAsia="Times New Roman" w:hAnsi="Times New Roman"/>
                <w:sz w:val="17"/>
                <w:szCs w:val="17"/>
                <w:color w:val="0000FF"/>
              </w:rPr>
              <w:t>2,546,408</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instruction solely with the intent to cover withholding taxes in connection with the vesting of certain previously reported Restricted Share Units.</w:t>
      </w:r>
    </w:p>
    <w:p>
      <w:pPr>
        <w:spacing w:after="0" w:line="7" w:lineRule="exact"/>
        <w:rPr>
          <w:rFonts w:ascii="Times New Roman" w:cs="Times New Roman" w:eastAsia="Times New Roman" w:hAnsi="Times New Roman"/>
          <w:sz w:val="13"/>
          <w:szCs w:val="13"/>
          <w:color w:val="008000"/>
        </w:rPr>
      </w:pPr>
    </w:p>
    <w:p>
      <w:pPr>
        <w:jc w:val="both"/>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 $0.5625 to $0.6075.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 $0.52 to $0.5585. The Reporting Person undertakes to provide upon request to the SEC staff, the Issuer, or any shareholder of the Issuer, full information regarding the number of securities sold at each separate price within the range set forth in this footnote 4.</w:t>
      </w:r>
    </w:p>
    <w:p>
      <w:pPr>
        <w:spacing w:after="0" w:line="2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1,916,968 Ordinary Shares underlying Restricted Share Units, each of which represents a contingent right to receive one (1) Ordinary Share of the Issuer (which are represented by 239,621 ADSs); and (ii) 629,440 Ordinary Shares underlying 78,680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04/12/2022</w:t>
            </w:r>
          </w:p>
        </w:tc>
        <w:tc>
          <w:tcPr>
            <w:tcW w:w="0" w:type="dxa"/>
            <w:vAlign w:val="bottom"/>
          </w:tcPr>
          <w:p>
            <w:pPr>
              <w:spacing w:after="0"/>
              <w:rPr>
                <w:sz w:val="1"/>
                <w:szCs w:val="1"/>
                <w:color w:val="auto"/>
              </w:rPr>
            </w:pPr>
          </w:p>
        </w:tc>
      </w:tr>
      <w:tr>
        <w:trPr>
          <w:trHeight w:val="87"/>
        </w:trPr>
        <w:tc>
          <w:tcPr>
            <w:tcW w:w="1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Kathleen Rickard</w:t>
            </w:r>
          </w:p>
        </w:tc>
        <w:tc>
          <w:tcPr>
            <w:tcW w:w="3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8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2022-04-12T15:07:28Z</dcterms:created>
  <dcterms:modified xsi:type="dcterms:W3CDTF">2022-04-12T15:07:28Z</dcterms:modified>
</cp:coreProperties>
</file>