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Hahn Mark 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ind w:left="100"/>
              <w:spacing w:after="0"/>
              <w:rPr>
                <w:sz w:val="20"/>
                <w:szCs w:val="20"/>
                <w:color w:val="auto"/>
              </w:rPr>
            </w:pPr>
            <w:r>
              <w:rPr>
                <w:rFonts w:ascii="Arial" w:cs="Arial" w:eastAsia="Arial" w:hAnsi="Arial"/>
                <w:sz w:val="20"/>
                <w:szCs w:val="20"/>
                <w:color w:val="0000FF"/>
              </w:rPr>
              <w:t>X0</w:t>
            </w:r>
          </w:p>
        </w:tc>
        <w:tc>
          <w:tcPr>
            <w:tcW w:w="1300" w:type="dxa"/>
            <w:vAlign w:val="bottom"/>
          </w:tcPr>
          <w:p>
            <w:pPr>
              <w:ind w:left="300"/>
              <w:spacing w:after="0"/>
              <w:rPr>
                <w:sz w:val="20"/>
                <w:szCs w:val="20"/>
                <w:color w:val="auto"/>
              </w:rPr>
            </w:pPr>
            <w:r>
              <w:rPr>
                <w:rFonts w:ascii="Arial" w:cs="Arial" w:eastAsia="Arial" w:hAnsi="Arial"/>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ind w:left="260"/>
              <w:spacing w:after="0"/>
              <w:rPr>
                <w:sz w:val="20"/>
                <w:szCs w:val="20"/>
                <w:color w:val="auto"/>
              </w:rPr>
            </w:pPr>
            <w:r>
              <w:rPr>
                <w:rFonts w:ascii="Arial" w:cs="Arial" w:eastAsia="Arial" w:hAnsi="Arial"/>
                <w:sz w:val="20"/>
                <w:szCs w:val="20"/>
                <w:color w:val="0000FF"/>
                <w:w w:val="96"/>
              </w:rPr>
              <w:t>18,975,408</w:t>
            </w:r>
            <w:r>
              <w:rPr>
                <w:rFonts w:ascii="Arial" w:cs="Arial" w:eastAsia="Arial" w:hAnsi="Arial"/>
                <w:sz w:val="25"/>
                <w:szCs w:val="25"/>
                <w:color w:val="008000"/>
                <w:w w:val="96"/>
                <w:vertAlign w:val="superscript"/>
              </w:rPr>
              <w:t>(1)(2)</w:t>
            </w:r>
          </w:p>
        </w:tc>
        <w:tc>
          <w:tcPr>
            <w:tcW w:w="920" w:type="dxa"/>
            <w:vAlign w:val="bottom"/>
            <w:tcBorders>
              <w:bottom w:val="single" w:sz="8" w:color="2C2C2C"/>
            </w:tcBorders>
            <w:gridSpan w:val="2"/>
          </w:tcPr>
          <w:p>
            <w:pPr>
              <w:ind w:left="76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gridSpan w:val="2"/>
          </w:tcPr>
          <w:p>
            <w:pPr>
              <w:ind w:left="22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4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2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Consists of (i) 18,583,792 Ordinary Shares underlying Restricted Share Units, each of which represents a contingent right to receive one (1) Ordinary Share of the Issuer (which may be represented by 2,322,974 American Depositary Shares ("ADSs")); and (ii) 391,616 Ordinary Shares underlying 48,952 ADSs.</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Reported securities are represented by ADSs, each of which represents eight (8) Ordinary Shares of the Issuer.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Claire Poll, Attorney-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in-fact for Mark Hahn</w:t>
            </w:r>
          </w:p>
        </w:tc>
        <w:tc>
          <w:tcPr>
            <w:tcW w:w="2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6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1006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69" w:lineRule="exact"/>
        <w:rPr>
          <w:sz w:val="20"/>
          <w:szCs w:val="20"/>
          <w:color w:val="auto"/>
        </w:rPr>
      </w:pPr>
    </w:p>
    <w:p>
      <w:pPr>
        <w:jc w:val="both"/>
        <w:ind w:left="780" w:hanging="10"/>
        <w:spacing w:after="0" w:line="319" w:lineRule="auto"/>
        <w:tabs>
          <w:tab w:leader="none" w:pos="137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prepare, execute in the undersigned’s name and on the undersigned’s behalf, and submit to the United States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1" w:lineRule="exact"/>
        <w:rPr>
          <w:rFonts w:ascii="Arial" w:cs="Arial" w:eastAsia="Arial" w:hAnsi="Arial"/>
          <w:sz w:val="17"/>
          <w:szCs w:val="17"/>
          <w:color w:val="auto"/>
        </w:rPr>
      </w:pPr>
    </w:p>
    <w:p>
      <w:pPr>
        <w:ind w:left="780" w:hanging="10"/>
        <w:spacing w:after="0" w:line="277" w:lineRule="auto"/>
        <w:tabs>
          <w:tab w:leader="none" w:pos="1482"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3, 4, and 5 in accordance with Section 16 of the Securities Exchange Act of 1934, as amended, and the rules thereunder;</w:t>
      </w:r>
    </w:p>
    <w:p>
      <w:pPr>
        <w:spacing w:after="0" w:line="189" w:lineRule="exact"/>
        <w:rPr>
          <w:rFonts w:ascii="Arial" w:cs="Arial" w:eastAsia="Arial" w:hAnsi="Arial"/>
          <w:sz w:val="20"/>
          <w:szCs w:val="20"/>
          <w:color w:val="auto"/>
        </w:rPr>
      </w:pPr>
    </w:p>
    <w:p>
      <w:pPr>
        <w:jc w:val="both"/>
        <w:ind w:left="780" w:right="20" w:hanging="10"/>
        <w:spacing w:after="0" w:line="264" w:lineRule="auto"/>
        <w:tabs>
          <w:tab w:leader="none" w:pos="1371"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ind w:left="780" w:hanging="10"/>
        <w:spacing w:after="0" w:line="297" w:lineRule="auto"/>
        <w:tabs>
          <w:tab w:leader="none" w:pos="1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3rd day of January, 2021.</w:t>
      </w:r>
    </w:p>
    <w:p>
      <w:pPr>
        <w:spacing w:after="0" w:line="273"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Signature:</w:t>
        <w:tab/>
        <w:t>/s/ Mark Hahn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Print Name: 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-145415</wp:posOffset>
            </wp:positionV>
            <wp:extent cx="27825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82570" cy="952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2782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502285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9" w:right="479" w:bottom="1440" w:gutter="0" w:footer="0" w:header="0"/>
        </w:sectPr>
      </w:pPr>
    </w:p>
    <w:bookmarkStart w:id="2" w:name="page3"/>
    <w:bookmarkEnd w:id="2"/>
    <w:p>
      <w:pPr>
        <w:jc w:val="center"/>
        <w:ind w:right="-96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Claire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408502"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2021-01-04T19:18:07Z</dcterms:created>
  <dcterms:modified xsi:type="dcterms:W3CDTF">2021-01-04T19:18:07Z</dcterms:modified>
</cp:coreProperties>
</file>