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4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323215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3"/>
          <w:szCs w:val="23"/>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314325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40"/>
        <w:spacing w:after="0"/>
        <w:rPr>
          <w:sz w:val="20"/>
          <w:szCs w:val="20"/>
          <w:color w:val="auto"/>
        </w:rPr>
      </w:pPr>
      <w:r>
        <w:rPr>
          <w:rFonts w:ascii="Arial" w:cs="Arial" w:eastAsia="Arial" w:hAnsi="Arial"/>
          <w:sz w:val="42"/>
          <w:szCs w:val="42"/>
          <w:b w:val="1"/>
          <w:bCs w:val="1"/>
          <w:color w:val="auto"/>
        </w:rPr>
        <w:t>Verona Pharma plc</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Ordinary Shares, nominal value £0.05 per share</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American Depositary Shares, each representing eight Ordinary Shares</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925050106**</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(CUSIP Number)</w:t>
      </w: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December 31, 2018</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311785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681" w:hanging="215"/>
        <w:spacing w:after="0"/>
        <w:tabs>
          <w:tab w:leader="none" w:pos="68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8" w:lineRule="exact"/>
        <w:rPr>
          <w:sz w:val="24"/>
          <w:szCs w:val="24"/>
          <w:color w:val="auto"/>
        </w:rPr>
      </w:pPr>
    </w:p>
    <w:p>
      <w:pPr>
        <w:ind w:left="681" w:hanging="215"/>
        <w:spacing w:after="0"/>
        <w:tabs>
          <w:tab w:leader="none" w:pos="68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03" w:lineRule="exact"/>
        <w:rPr>
          <w:sz w:val="24"/>
          <w:szCs w:val="24"/>
          <w:color w:val="auto"/>
        </w:rPr>
      </w:pPr>
    </w:p>
    <w:p>
      <w:pPr>
        <w:ind w:left="461"/>
        <w:spacing w:after="0" w:line="219" w:lineRule="exact"/>
        <w:rPr>
          <w:sz w:val="24"/>
          <w:szCs w:val="24"/>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301" w:lineRule="exact"/>
        <w:rPr>
          <w:sz w:val="24"/>
          <w:szCs w:val="24"/>
          <w:color w:val="auto"/>
        </w:rPr>
      </w:pPr>
    </w:p>
    <w:p>
      <w:pPr>
        <w:ind w:left="461" w:right="40" w:hanging="456"/>
        <w:spacing w:after="0" w:line="304" w:lineRule="auto"/>
        <w:rPr>
          <w:sz w:val="24"/>
          <w:szCs w:val="24"/>
          <w:color w:val="auto"/>
        </w:rPr>
      </w:pPr>
      <w:r>
        <w:rPr>
          <w:rFonts w:ascii="Arial" w:cs="Arial" w:eastAsia="Arial" w:hAnsi="Arial"/>
          <w:sz w:val="19"/>
          <w:szCs w:val="19"/>
          <w:color w:val="auto"/>
        </w:rPr>
        <w:t>*</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ind w:left="461" w:hanging="461"/>
        <w:spacing w:after="0" w:line="275" w:lineRule="auto"/>
        <w:tabs>
          <w:tab w:leader="none" w:pos="46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CUSIP number is for the American Depositary Shares that trade on the NASDAQ Global Market, each representing eight ordinary shares. No CUSIP number has been assigned to the ordinary shares.</w:t>
      </w:r>
    </w:p>
    <w:p>
      <w:pPr>
        <w:spacing w:after="0" w:line="184" w:lineRule="exact"/>
        <w:rPr>
          <w:sz w:val="24"/>
          <w:szCs w:val="24"/>
          <w:color w:val="auto"/>
        </w:rPr>
      </w:pPr>
    </w:p>
    <w:p>
      <w:pPr>
        <w:ind w:left="1" w:right="100"/>
        <w:spacing w:after="0" w:line="263" w:lineRule="auto"/>
        <w:rPr>
          <w:sz w:val="20"/>
          <w:szCs w:val="20"/>
          <w:color w:val="auto"/>
        </w:rPr>
      </w:pPr>
      <w:r>
        <w:rPr>
          <w:rFonts w:ascii="Arial" w:cs="Arial" w:eastAsia="Arial" w:hAnsi="Arial"/>
          <w:sz w:val="19"/>
          <w:szCs w:val="19"/>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205105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01"/>
          </w:cols>
          <w:pgMar w:left="299" w:top="239" w:right="3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CUSIP No. </w:t>
      </w:r>
      <w:r>
        <w:rPr>
          <w:rFonts w:ascii="Arial" w:cs="Arial" w:eastAsia="Arial" w:hAnsi="Arial"/>
          <w:sz w:val="19"/>
          <w:szCs w:val="19"/>
          <w:color w:val="auto"/>
        </w:rPr>
        <w:t>925050106</w:t>
      </w:r>
    </w:p>
    <w:p>
      <w:pPr>
        <w:spacing w:after="0" w:line="152"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1</w:t>
      </w:r>
      <w:r>
        <w:rPr>
          <w:sz w:val="20"/>
          <w:szCs w:val="20"/>
          <w:color w:val="auto"/>
        </w:rPr>
        <w:tab/>
      </w:r>
      <w:r>
        <w:rPr>
          <w:rFonts w:ascii="Arial" w:cs="Arial" w:eastAsia="Arial" w:hAnsi="Arial"/>
          <w:sz w:val="16"/>
          <w:szCs w:val="16"/>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398385" cy="5704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98385" cy="5704840"/>
                    </a:xfrm>
                    <a:prstGeom prst="rect">
                      <a:avLst/>
                    </a:prstGeom>
                    <a:noFill/>
                  </pic:spPr>
                </pic:pic>
              </a:graphicData>
            </a:graphic>
          </wp:anchor>
        </w:drawing>
      </w:r>
    </w:p>
    <w:p>
      <w:pPr>
        <w:spacing w:after="0" w:line="243" w:lineRule="exact"/>
        <w:rPr>
          <w:sz w:val="20"/>
          <w:szCs w:val="20"/>
          <w:color w:val="auto"/>
        </w:rPr>
      </w:pPr>
    </w:p>
    <w:p>
      <w:pPr>
        <w:ind w:left="521"/>
        <w:spacing w:after="0"/>
        <w:rPr>
          <w:sz w:val="20"/>
          <w:szCs w:val="20"/>
          <w:color w:val="auto"/>
        </w:rPr>
      </w:pPr>
      <w:r>
        <w:rPr>
          <w:rFonts w:ascii="Arial" w:cs="Arial" w:eastAsia="Arial" w:hAnsi="Arial"/>
          <w:sz w:val="23"/>
          <w:szCs w:val="23"/>
          <w:color w:val="auto"/>
        </w:rPr>
        <w:t>BioDiscovery 4 FPCI</w:t>
      </w:r>
    </w:p>
    <w:p>
      <w:pPr>
        <w:spacing w:after="0" w:line="27"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7"/>
          <w:szCs w:val="17"/>
          <w:b w:val="1"/>
          <w:bCs w:val="1"/>
          <w:color w:val="auto"/>
        </w:rPr>
        <w:t>Check the appropriate box if a member of a Group (see instructions)</w:t>
      </w:r>
    </w:p>
    <w:p>
      <w:pPr>
        <w:spacing w:after="0" w:line="26" w:lineRule="exact"/>
        <w:rPr>
          <w:sz w:val="20"/>
          <w:szCs w:val="20"/>
          <w:color w:val="auto"/>
        </w:rPr>
      </w:pPr>
    </w:p>
    <w:p>
      <w:pPr>
        <w:ind w:left="521"/>
        <w:spacing w:after="0" w:line="219" w:lineRule="exact"/>
        <w:tabs>
          <w:tab w:leader="none" w:pos="136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76"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3</w:t>
      </w:r>
      <w:r>
        <w:rPr>
          <w:sz w:val="20"/>
          <w:szCs w:val="20"/>
          <w:color w:val="auto"/>
        </w:rPr>
        <w:tab/>
      </w:r>
      <w:r>
        <w:rPr>
          <w:rFonts w:ascii="Arial" w:cs="Arial" w:eastAsia="Arial" w:hAnsi="Arial"/>
          <w:sz w:val="17"/>
          <w:szCs w:val="17"/>
          <w:b w:val="1"/>
          <w:bCs w:val="1"/>
          <w:color w:val="auto"/>
        </w:rPr>
        <w:t>SEC Use Only</w:t>
      </w:r>
    </w:p>
    <w:p>
      <w:pPr>
        <w:spacing w:after="0" w:line="295"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4</w:t>
      </w:r>
      <w:r>
        <w:rPr>
          <w:sz w:val="20"/>
          <w:szCs w:val="20"/>
          <w:color w:val="auto"/>
        </w:rPr>
        <w:tab/>
      </w:r>
      <w:r>
        <w:rPr>
          <w:rFonts w:ascii="Arial" w:cs="Arial" w:eastAsia="Arial" w:hAnsi="Arial"/>
          <w:sz w:val="17"/>
          <w:szCs w:val="17"/>
          <w:b w:val="1"/>
          <w:bCs w:val="1"/>
          <w:color w:val="auto"/>
        </w:rPr>
        <w:t>Citizenship or Place of Organization</w:t>
      </w:r>
    </w:p>
    <w:p>
      <w:pPr>
        <w:spacing w:after="0" w:line="263" w:lineRule="exact"/>
        <w:rPr>
          <w:sz w:val="20"/>
          <w:szCs w:val="20"/>
          <w:color w:val="auto"/>
        </w:rPr>
      </w:pPr>
    </w:p>
    <w:p>
      <w:pPr>
        <w:ind w:left="521"/>
        <w:spacing w:after="0"/>
        <w:rPr>
          <w:sz w:val="20"/>
          <w:szCs w:val="20"/>
          <w:color w:val="auto"/>
        </w:rPr>
      </w:pPr>
      <w:r>
        <w:rPr>
          <w:rFonts w:ascii="Arial" w:cs="Arial" w:eastAsia="Arial" w:hAnsi="Arial"/>
          <w:sz w:val="23"/>
          <w:szCs w:val="23"/>
          <w:color w:val="auto"/>
        </w:rPr>
        <w:t>France</w:t>
      </w:r>
    </w:p>
    <w:p>
      <w:pPr>
        <w:spacing w:after="0" w:line="27" w:lineRule="exact"/>
        <w:rPr>
          <w:sz w:val="20"/>
          <w:szCs w:val="20"/>
          <w:color w:val="auto"/>
        </w:rPr>
      </w:pPr>
    </w:p>
    <w:tbl>
      <w:tblPr>
        <w:tblLayout w:type="fixed"/>
        <w:tblInd w:w="1361" w:type="dxa"/>
        <w:tblCellMar>
          <w:top w:w="0" w:type="dxa"/>
          <w:left w:w="0" w:type="dxa"/>
          <w:bottom w:w="0" w:type="dxa"/>
          <w:right w:w="0" w:type="dxa"/>
        </w:tblCellMar>
      </w:tblPr>
      <w:tr>
        <w:trPr>
          <w:trHeight w:val="247"/>
        </w:trPr>
        <w:tc>
          <w:tcPr>
            <w:tcW w:w="26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5</w:t>
            </w:r>
          </w:p>
        </w:tc>
        <w:tc>
          <w:tcPr>
            <w:tcW w:w="1640" w:type="dxa"/>
            <w:vAlign w:val="bottom"/>
          </w:tcPr>
          <w:p>
            <w:pPr>
              <w:ind w:left="160"/>
              <w:spacing w:after="0"/>
              <w:rPr>
                <w:sz w:val="20"/>
                <w:szCs w:val="20"/>
                <w:color w:val="auto"/>
              </w:rPr>
            </w:pPr>
            <w:r>
              <w:rPr>
                <w:rFonts w:ascii="Arial" w:cs="Arial" w:eastAsia="Arial" w:hAnsi="Arial"/>
                <w:sz w:val="19"/>
                <w:szCs w:val="19"/>
                <w:b w:val="1"/>
                <w:bCs w:val="1"/>
                <w:color w:val="auto"/>
                <w:w w:val="87"/>
              </w:rPr>
              <w:t>Sole Voting Power</w:t>
            </w:r>
          </w:p>
        </w:tc>
      </w:tr>
    </w:tbl>
    <w:p>
      <w:pPr>
        <w:spacing w:after="0" w:line="231" w:lineRule="exact"/>
        <w:rPr>
          <w:sz w:val="20"/>
          <w:szCs w:val="20"/>
          <w:color w:val="auto"/>
        </w:rPr>
      </w:pPr>
    </w:p>
    <w:tbl>
      <w:tblPr>
        <w:tblLayout w:type="fixed"/>
        <w:tblInd w:w="181" w:type="dxa"/>
        <w:tblCellMar>
          <w:top w:w="0" w:type="dxa"/>
          <w:left w:w="0" w:type="dxa"/>
          <w:bottom w:w="0" w:type="dxa"/>
          <w:right w:w="0" w:type="dxa"/>
        </w:tblCellMar>
      </w:tblPr>
      <w:tr>
        <w:trPr>
          <w:trHeight w:val="293"/>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2"/>
              </w:rPr>
              <w:t>Number of</w:t>
            </w:r>
          </w:p>
        </w:tc>
        <w:tc>
          <w:tcPr>
            <w:tcW w:w="4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160"/>
              <w:spacing w:after="0"/>
              <w:rPr>
                <w:sz w:val="20"/>
                <w:szCs w:val="20"/>
                <w:color w:val="auto"/>
              </w:rPr>
            </w:pPr>
            <w:r>
              <w:rPr>
                <w:rFonts w:ascii="Arial" w:cs="Arial" w:eastAsia="Arial" w:hAnsi="Arial"/>
                <w:sz w:val="23"/>
                <w:szCs w:val="23"/>
                <w:color w:val="auto"/>
              </w:rPr>
              <w:t>6,652,398 (1)</w:t>
            </w:r>
          </w:p>
        </w:tc>
        <w:tc>
          <w:tcPr>
            <w:tcW w:w="0" w:type="dxa"/>
            <w:vAlign w:val="bottom"/>
          </w:tcPr>
          <w:p>
            <w:pPr>
              <w:spacing w:after="0"/>
              <w:rPr>
                <w:sz w:val="1"/>
                <w:szCs w:val="1"/>
                <w:color w:val="auto"/>
              </w:rPr>
            </w:pPr>
          </w:p>
        </w:tc>
      </w:tr>
      <w:tr>
        <w:trPr>
          <w:trHeight w:val="47"/>
        </w:trPr>
        <w:tc>
          <w:tcPr>
            <w:tcW w:w="960" w:type="dxa"/>
            <w:vAlign w:val="bottom"/>
            <w:vMerge w:val="continue"/>
          </w:tcPr>
          <w:p>
            <w:pPr>
              <w:spacing w:after="0"/>
              <w:rPr>
                <w:sz w:val="4"/>
                <w:szCs w:val="4"/>
                <w:color w:val="auto"/>
              </w:rPr>
            </w:pPr>
          </w:p>
        </w:tc>
        <w:tc>
          <w:tcPr>
            <w:tcW w:w="48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6</w:t>
            </w:r>
          </w:p>
        </w:tc>
        <w:tc>
          <w:tcPr>
            <w:tcW w:w="1004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85"/>
              </w:rPr>
              <w:t>Shares</w:t>
            </w:r>
          </w:p>
        </w:tc>
        <w:tc>
          <w:tcPr>
            <w:tcW w:w="480" w:type="dxa"/>
            <w:vAlign w:val="bottom"/>
            <w:vMerge w:val="continue"/>
          </w:tcPr>
          <w:p>
            <w:pPr>
              <w:spacing w:after="0"/>
              <w:rPr>
                <w:sz w:val="16"/>
                <w:szCs w:val="16"/>
                <w:color w:val="auto"/>
              </w:rPr>
            </w:pP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88"/>
              </w:rPr>
              <w:t>Beneficially</w:t>
            </w:r>
          </w:p>
        </w:tc>
        <w:tc>
          <w:tcPr>
            <w:tcW w:w="480" w:type="dxa"/>
            <w:vAlign w:val="bottom"/>
          </w:tcPr>
          <w:p>
            <w:pPr>
              <w:spacing w:after="0"/>
              <w:rPr>
                <w:sz w:val="19"/>
                <w:szCs w:val="19"/>
                <w:color w:val="auto"/>
              </w:rPr>
            </w:pPr>
          </w:p>
        </w:tc>
        <w:tc>
          <w:tcPr>
            <w:tcW w:w="10040" w:type="dxa"/>
            <w:vAlign w:val="bottom"/>
            <w:vMerge w:val="restart"/>
          </w:tcPr>
          <w:p>
            <w:pPr>
              <w:ind w:left="16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47"/>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90"/>
              </w:rPr>
              <w:t>Owned by</w:t>
            </w:r>
          </w:p>
        </w:tc>
        <w:tc>
          <w:tcPr>
            <w:tcW w:w="480" w:type="dxa"/>
            <w:vAlign w:val="bottom"/>
            <w:tcBorders>
              <w:bottom w:val="single" w:sz="8" w:color="auto"/>
            </w:tcBorders>
          </w:tcPr>
          <w:p>
            <w:pPr>
              <w:spacing w:after="0"/>
              <w:rPr>
                <w:sz w:val="21"/>
                <w:szCs w:val="21"/>
                <w:color w:val="auto"/>
              </w:rPr>
            </w:pPr>
          </w:p>
        </w:tc>
        <w:tc>
          <w:tcPr>
            <w:tcW w:w="10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w w:val="92"/>
              </w:rPr>
              <w:t>Each</w:t>
            </w:r>
          </w:p>
        </w:tc>
        <w:tc>
          <w:tcPr>
            <w:tcW w:w="480" w:type="dxa"/>
            <w:vAlign w:val="bottom"/>
          </w:tcPr>
          <w:p>
            <w:pPr>
              <w:jc w:val="right"/>
              <w:ind w:right="65"/>
              <w:spacing w:after="0" w:line="189" w:lineRule="exact"/>
              <w:rPr>
                <w:sz w:val="20"/>
                <w:szCs w:val="20"/>
                <w:color w:val="auto"/>
              </w:rPr>
            </w:pPr>
            <w:r>
              <w:rPr>
                <w:rFonts w:ascii="Arial" w:cs="Arial" w:eastAsia="Arial" w:hAnsi="Arial"/>
                <w:sz w:val="19"/>
                <w:szCs w:val="19"/>
                <w:b w:val="1"/>
                <w:bCs w:val="1"/>
                <w:color w:val="auto"/>
              </w:rPr>
              <w:t>7</w:t>
            </w:r>
          </w:p>
        </w:tc>
        <w:tc>
          <w:tcPr>
            <w:tcW w:w="10040" w:type="dxa"/>
            <w:vAlign w:val="bottom"/>
          </w:tcPr>
          <w:p>
            <w:pPr>
              <w:ind w:left="16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91"/>
              </w:rPr>
              <w:t>Reporting</w:t>
            </w:r>
          </w:p>
        </w:tc>
        <w:tc>
          <w:tcPr>
            <w:tcW w:w="480" w:type="dxa"/>
            <w:vAlign w:val="bottom"/>
          </w:tcPr>
          <w:p>
            <w:pPr>
              <w:spacing w:after="0"/>
              <w:rPr>
                <w:sz w:val="19"/>
                <w:szCs w:val="19"/>
                <w:color w:val="auto"/>
              </w:rPr>
            </w:pPr>
          </w:p>
        </w:tc>
        <w:tc>
          <w:tcPr>
            <w:tcW w:w="10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86"/>
              </w:rPr>
              <w:t>Person</w:t>
            </w:r>
          </w:p>
        </w:tc>
        <w:tc>
          <w:tcPr>
            <w:tcW w:w="480" w:type="dxa"/>
            <w:vAlign w:val="bottom"/>
          </w:tcPr>
          <w:p>
            <w:pPr>
              <w:spacing w:after="0"/>
              <w:rPr>
                <w:sz w:val="22"/>
                <w:szCs w:val="22"/>
                <w:color w:val="auto"/>
              </w:rPr>
            </w:pPr>
          </w:p>
        </w:tc>
        <w:tc>
          <w:tcPr>
            <w:tcW w:w="10040" w:type="dxa"/>
            <w:vAlign w:val="bottom"/>
          </w:tcPr>
          <w:p>
            <w:pPr>
              <w:ind w:left="160"/>
              <w:spacing w:after="0" w:line="263" w:lineRule="exact"/>
              <w:rPr>
                <w:sz w:val="20"/>
                <w:szCs w:val="20"/>
                <w:color w:val="auto"/>
              </w:rPr>
            </w:pPr>
            <w:r>
              <w:rPr>
                <w:rFonts w:ascii="Arial" w:cs="Arial" w:eastAsia="Arial" w:hAnsi="Arial"/>
                <w:sz w:val="23"/>
                <w:szCs w:val="23"/>
                <w:color w:val="auto"/>
              </w:rPr>
              <w:t>6,652,398 (1)</w:t>
            </w:r>
          </w:p>
        </w:tc>
        <w:tc>
          <w:tcPr>
            <w:tcW w:w="0" w:type="dxa"/>
            <w:vAlign w:val="bottom"/>
          </w:tcPr>
          <w:p>
            <w:pPr>
              <w:spacing w:after="0"/>
              <w:rPr>
                <w:sz w:val="1"/>
                <w:szCs w:val="1"/>
                <w:color w:val="auto"/>
              </w:rPr>
            </w:pPr>
          </w:p>
        </w:tc>
      </w:tr>
      <w:tr>
        <w:trPr>
          <w:trHeight w:val="71"/>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6"/>
              </w:rPr>
              <w:t>With:</w:t>
            </w:r>
          </w:p>
        </w:tc>
        <w:tc>
          <w:tcPr>
            <w:tcW w:w="480" w:type="dxa"/>
            <w:vAlign w:val="bottom"/>
            <w:tcBorders>
              <w:bottom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48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8</w:t>
            </w:r>
          </w:p>
        </w:tc>
        <w:tc>
          <w:tcPr>
            <w:tcW w:w="1004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1"/>
        <w:spacing w:after="0"/>
        <w:rPr>
          <w:sz w:val="20"/>
          <w:szCs w:val="20"/>
          <w:color w:val="auto"/>
        </w:rPr>
      </w:pPr>
      <w:r>
        <w:rPr>
          <w:rFonts w:ascii="Arial" w:cs="Arial" w:eastAsia="Arial" w:hAnsi="Arial"/>
          <w:sz w:val="23"/>
          <w:szCs w:val="23"/>
          <w:color w:val="auto"/>
        </w:rPr>
        <w:t>0</w:t>
      </w:r>
    </w:p>
    <w:p>
      <w:pPr>
        <w:spacing w:after="0" w:line="27"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7"/>
          <w:szCs w:val="17"/>
          <w:b w:val="1"/>
          <w:bCs w:val="1"/>
          <w:color w:val="auto"/>
        </w:rPr>
        <w:t>Aggregate Amount Beneficially Owned by Each Reporting Person</w:t>
      </w:r>
    </w:p>
    <w:p>
      <w:pPr>
        <w:spacing w:after="0" w:line="260" w:lineRule="exact"/>
        <w:rPr>
          <w:sz w:val="20"/>
          <w:szCs w:val="20"/>
          <w:color w:val="auto"/>
        </w:rPr>
      </w:pPr>
    </w:p>
    <w:p>
      <w:pPr>
        <w:ind w:left="521"/>
        <w:spacing w:after="0"/>
        <w:rPr>
          <w:sz w:val="20"/>
          <w:szCs w:val="20"/>
          <w:color w:val="auto"/>
        </w:rPr>
      </w:pPr>
      <w:r>
        <w:rPr>
          <w:rFonts w:ascii="Arial" w:cs="Arial" w:eastAsia="Arial" w:hAnsi="Arial"/>
          <w:sz w:val="23"/>
          <w:szCs w:val="23"/>
          <w:color w:val="auto"/>
        </w:rPr>
        <w:t>6,652,398 (1)</w:t>
      </w:r>
    </w:p>
    <w:p>
      <w:pPr>
        <w:spacing w:after="0" w:line="27"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6"/>
          <w:szCs w:val="16"/>
          <w:b w:val="1"/>
          <w:bCs w:val="1"/>
          <w:color w:val="auto"/>
        </w:rPr>
        <w:t>Check box if the aggregate amount in row (9) excludes certain shares (See Instructions)</w:t>
      </w:r>
    </w:p>
    <w:p>
      <w:pPr>
        <w:spacing w:after="0" w:line="232" w:lineRule="exact"/>
        <w:rPr>
          <w:sz w:val="20"/>
          <w:szCs w:val="20"/>
          <w:color w:val="auto"/>
        </w:rPr>
      </w:pPr>
    </w:p>
    <w:p>
      <w:pPr>
        <w:ind w:left="521"/>
        <w:spacing w:after="0" w:line="231" w:lineRule="exact"/>
        <w:rPr>
          <w:sz w:val="20"/>
          <w:szCs w:val="20"/>
          <w:color w:val="auto"/>
        </w:rPr>
      </w:pPr>
      <w:r>
        <w:rPr>
          <w:rFonts w:ascii="MS PGothic" w:cs="MS PGothic" w:eastAsia="MS PGothic" w:hAnsi="MS PGothic"/>
          <w:sz w:val="23"/>
          <w:szCs w:val="23"/>
          <w:color w:val="auto"/>
        </w:rPr>
        <w:t>☐</w:t>
      </w:r>
    </w:p>
    <w:p>
      <w:pPr>
        <w:spacing w:after="0" w:line="123"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6"/>
          <w:szCs w:val="16"/>
          <w:b w:val="1"/>
          <w:bCs w:val="1"/>
          <w:color w:val="auto"/>
        </w:rPr>
        <w:t>Percent of class represented by amount in row (9)</w:t>
      </w:r>
    </w:p>
    <w:p>
      <w:pPr>
        <w:spacing w:after="0" w:line="241" w:lineRule="exact"/>
        <w:rPr>
          <w:sz w:val="20"/>
          <w:szCs w:val="20"/>
          <w:color w:val="auto"/>
        </w:rPr>
      </w:pPr>
    </w:p>
    <w:p>
      <w:pPr>
        <w:ind w:left="521"/>
        <w:spacing w:after="0"/>
        <w:rPr>
          <w:sz w:val="20"/>
          <w:szCs w:val="20"/>
          <w:color w:val="auto"/>
        </w:rPr>
      </w:pPr>
      <w:r>
        <w:rPr>
          <w:rFonts w:ascii="Arial" w:cs="Arial" w:eastAsia="Arial" w:hAnsi="Arial"/>
          <w:sz w:val="23"/>
          <w:szCs w:val="23"/>
          <w:color w:val="auto"/>
        </w:rPr>
        <w:t>6.3% (2)</w:t>
      </w:r>
    </w:p>
    <w:p>
      <w:pPr>
        <w:spacing w:after="0" w:line="27"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6"/>
          <w:szCs w:val="16"/>
          <w:b w:val="1"/>
          <w:bCs w:val="1"/>
          <w:color w:val="auto"/>
        </w:rPr>
        <w:t>Type of Reporting Person (See Instructions)</w:t>
      </w:r>
    </w:p>
    <w:p>
      <w:pPr>
        <w:spacing w:after="0" w:line="260" w:lineRule="exact"/>
        <w:rPr>
          <w:sz w:val="20"/>
          <w:szCs w:val="20"/>
          <w:color w:val="auto"/>
        </w:rPr>
      </w:pPr>
    </w:p>
    <w:p>
      <w:pPr>
        <w:ind w:left="521"/>
        <w:spacing w:after="0"/>
        <w:rPr>
          <w:sz w:val="20"/>
          <w:szCs w:val="20"/>
          <w:color w:val="auto"/>
        </w:rPr>
      </w:pPr>
      <w:r>
        <w:rPr>
          <w:rFonts w:ascii="Arial" w:cs="Arial" w:eastAsia="Arial" w:hAnsi="Arial"/>
          <w:sz w:val="23"/>
          <w:szCs w:val="23"/>
          <w:color w:val="auto"/>
        </w:rPr>
        <w:t>CO</w:t>
      </w:r>
    </w:p>
    <w:p>
      <w:pPr>
        <w:spacing w:after="0" w:line="287" w:lineRule="exact"/>
        <w:rPr>
          <w:sz w:val="20"/>
          <w:szCs w:val="20"/>
          <w:color w:val="auto"/>
        </w:rPr>
      </w:pPr>
    </w:p>
    <w:p>
      <w:pPr>
        <w:ind w:left="461" w:right="580" w:hanging="461"/>
        <w:spacing w:after="0" w:line="275" w:lineRule="auto"/>
        <w:tabs>
          <w:tab w:leader="none" w:pos="461" w:val="left"/>
        </w:tabs>
        <w:numPr>
          <w:ilvl w:val="0"/>
          <w:numId w:val="5"/>
        </w:numPr>
        <w:rPr>
          <w:rFonts w:ascii="Arial" w:cs="Arial" w:eastAsia="Arial" w:hAnsi="Arial"/>
          <w:sz w:val="19"/>
          <w:szCs w:val="19"/>
          <w:color w:val="auto"/>
        </w:rPr>
      </w:pPr>
      <w:r>
        <w:rPr>
          <w:rFonts w:ascii="Arial" w:cs="Arial" w:eastAsia="Arial" w:hAnsi="Arial"/>
          <w:sz w:val="19"/>
          <w:szCs w:val="19"/>
          <w:color w:val="auto"/>
        </w:rPr>
        <w:t>Consists of (a) 1 ordinary share, (b) 720,948 ADRs that each represent 8 ordinary shares (totaling 5,767,584 ordinary shares) and (c) vested warrants to purchase 884,813 ordinary shares (or 110,602 ADRs, at the election of Bio4)</w:t>
      </w:r>
    </w:p>
    <w:p>
      <w:pPr>
        <w:spacing w:after="0" w:line="84" w:lineRule="exact"/>
        <w:rPr>
          <w:rFonts w:ascii="Arial" w:cs="Arial" w:eastAsia="Arial" w:hAnsi="Arial"/>
          <w:sz w:val="19"/>
          <w:szCs w:val="19"/>
          <w:color w:val="auto"/>
        </w:rPr>
      </w:pPr>
    </w:p>
    <w:p>
      <w:pPr>
        <w:ind w:left="461" w:right="120" w:hanging="461"/>
        <w:spacing w:after="0" w:line="263" w:lineRule="auto"/>
        <w:tabs>
          <w:tab w:leader="none" w:pos="461"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upon 106,211,451 ordinary shares, which consists of (a) 105,326,638 ordinary shares outstanding, which includes all outstanding ADRs on an as converted basis, as reported in the Issuer’s Form 6-K filed with the SEC on September 25, 2018 and, and (b) the warrants to purchase 884,813 ordinary shares held by Bio4.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Page 2 of 8</w:t>
      </w:r>
    </w:p>
    <w:p>
      <w:pPr>
        <w:sectPr>
          <w:pgSz w:w="12240" w:h="15840" w:orient="portrait"/>
          <w:cols w:equalWidth="0" w:num="1">
            <w:col w:w="11661"/>
          </w:cols>
          <w:pgMar w:left="299" w:top="136" w:right="28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CUSIP No. </w:t>
      </w:r>
      <w:r>
        <w:rPr>
          <w:rFonts w:ascii="Arial" w:cs="Arial" w:eastAsia="Arial" w:hAnsi="Arial"/>
          <w:sz w:val="19"/>
          <w:szCs w:val="19"/>
          <w:color w:val="auto"/>
        </w:rPr>
        <w:t>925050106</w:t>
      </w:r>
    </w:p>
    <w:p>
      <w:pPr>
        <w:spacing w:after="0" w:line="152"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1</w:t>
      </w:r>
      <w:r>
        <w:rPr>
          <w:sz w:val="20"/>
          <w:szCs w:val="20"/>
          <w:color w:val="auto"/>
        </w:rPr>
        <w:tab/>
      </w:r>
      <w:r>
        <w:rPr>
          <w:rFonts w:ascii="Arial" w:cs="Arial" w:eastAsia="Arial" w:hAnsi="Arial"/>
          <w:sz w:val="16"/>
          <w:szCs w:val="16"/>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398385" cy="5704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98385" cy="5704840"/>
                    </a:xfrm>
                    <a:prstGeom prst="rect">
                      <a:avLst/>
                    </a:prstGeom>
                    <a:noFill/>
                  </pic:spPr>
                </pic:pic>
              </a:graphicData>
            </a:graphic>
          </wp:anchor>
        </w:drawing>
      </w:r>
    </w:p>
    <w:p>
      <w:pPr>
        <w:spacing w:after="0" w:line="243" w:lineRule="exact"/>
        <w:rPr>
          <w:sz w:val="20"/>
          <w:szCs w:val="20"/>
          <w:color w:val="auto"/>
        </w:rPr>
      </w:pPr>
    </w:p>
    <w:p>
      <w:pPr>
        <w:ind w:left="521"/>
        <w:spacing w:after="0"/>
        <w:rPr>
          <w:sz w:val="20"/>
          <w:szCs w:val="20"/>
          <w:color w:val="auto"/>
        </w:rPr>
      </w:pPr>
      <w:r>
        <w:rPr>
          <w:rFonts w:ascii="Arial" w:cs="Arial" w:eastAsia="Arial" w:hAnsi="Arial"/>
          <w:sz w:val="23"/>
          <w:szCs w:val="23"/>
          <w:color w:val="auto"/>
        </w:rPr>
        <w:t>Andera Partners</w:t>
      </w:r>
    </w:p>
    <w:p>
      <w:pPr>
        <w:spacing w:after="0" w:line="27"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7"/>
          <w:szCs w:val="17"/>
          <w:b w:val="1"/>
          <w:bCs w:val="1"/>
          <w:color w:val="auto"/>
        </w:rPr>
        <w:t>Check the appropriate box if a member of a Group (see instructions)</w:t>
      </w:r>
    </w:p>
    <w:p>
      <w:pPr>
        <w:spacing w:after="0" w:line="26" w:lineRule="exact"/>
        <w:rPr>
          <w:sz w:val="20"/>
          <w:szCs w:val="20"/>
          <w:color w:val="auto"/>
        </w:rPr>
      </w:pPr>
    </w:p>
    <w:p>
      <w:pPr>
        <w:ind w:left="521"/>
        <w:spacing w:after="0" w:line="219" w:lineRule="exact"/>
        <w:tabs>
          <w:tab w:leader="none" w:pos="136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76"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3</w:t>
      </w:r>
      <w:r>
        <w:rPr>
          <w:sz w:val="20"/>
          <w:szCs w:val="20"/>
          <w:color w:val="auto"/>
        </w:rPr>
        <w:tab/>
      </w:r>
      <w:r>
        <w:rPr>
          <w:rFonts w:ascii="Arial" w:cs="Arial" w:eastAsia="Arial" w:hAnsi="Arial"/>
          <w:sz w:val="17"/>
          <w:szCs w:val="17"/>
          <w:b w:val="1"/>
          <w:bCs w:val="1"/>
          <w:color w:val="auto"/>
        </w:rPr>
        <w:t>SEC Use Only</w:t>
      </w:r>
    </w:p>
    <w:p>
      <w:pPr>
        <w:spacing w:after="0" w:line="295"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4</w:t>
      </w:r>
      <w:r>
        <w:rPr>
          <w:sz w:val="20"/>
          <w:szCs w:val="20"/>
          <w:color w:val="auto"/>
        </w:rPr>
        <w:tab/>
      </w:r>
      <w:r>
        <w:rPr>
          <w:rFonts w:ascii="Arial" w:cs="Arial" w:eastAsia="Arial" w:hAnsi="Arial"/>
          <w:sz w:val="17"/>
          <w:szCs w:val="17"/>
          <w:b w:val="1"/>
          <w:bCs w:val="1"/>
          <w:color w:val="auto"/>
        </w:rPr>
        <w:t>Citizenship or Place of Organization</w:t>
      </w:r>
    </w:p>
    <w:p>
      <w:pPr>
        <w:spacing w:after="0" w:line="263" w:lineRule="exact"/>
        <w:rPr>
          <w:sz w:val="20"/>
          <w:szCs w:val="20"/>
          <w:color w:val="auto"/>
        </w:rPr>
      </w:pPr>
    </w:p>
    <w:p>
      <w:pPr>
        <w:ind w:left="521"/>
        <w:spacing w:after="0"/>
        <w:rPr>
          <w:sz w:val="20"/>
          <w:szCs w:val="20"/>
          <w:color w:val="auto"/>
        </w:rPr>
      </w:pPr>
      <w:r>
        <w:rPr>
          <w:rFonts w:ascii="Arial" w:cs="Arial" w:eastAsia="Arial" w:hAnsi="Arial"/>
          <w:sz w:val="23"/>
          <w:szCs w:val="23"/>
          <w:color w:val="auto"/>
        </w:rPr>
        <w:t>France</w:t>
      </w:r>
    </w:p>
    <w:p>
      <w:pPr>
        <w:spacing w:after="0" w:line="27" w:lineRule="exact"/>
        <w:rPr>
          <w:sz w:val="20"/>
          <w:szCs w:val="20"/>
          <w:color w:val="auto"/>
        </w:rPr>
      </w:pPr>
    </w:p>
    <w:tbl>
      <w:tblPr>
        <w:tblLayout w:type="fixed"/>
        <w:tblInd w:w="1361" w:type="dxa"/>
        <w:tblCellMar>
          <w:top w:w="0" w:type="dxa"/>
          <w:left w:w="0" w:type="dxa"/>
          <w:bottom w:w="0" w:type="dxa"/>
          <w:right w:w="0" w:type="dxa"/>
        </w:tblCellMar>
      </w:tblPr>
      <w:tr>
        <w:trPr>
          <w:trHeight w:val="247"/>
        </w:trPr>
        <w:tc>
          <w:tcPr>
            <w:tcW w:w="26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5</w:t>
            </w:r>
          </w:p>
        </w:tc>
        <w:tc>
          <w:tcPr>
            <w:tcW w:w="1640" w:type="dxa"/>
            <w:vAlign w:val="bottom"/>
          </w:tcPr>
          <w:p>
            <w:pPr>
              <w:ind w:left="160"/>
              <w:spacing w:after="0"/>
              <w:rPr>
                <w:sz w:val="20"/>
                <w:szCs w:val="20"/>
                <w:color w:val="auto"/>
              </w:rPr>
            </w:pPr>
            <w:r>
              <w:rPr>
                <w:rFonts w:ascii="Arial" w:cs="Arial" w:eastAsia="Arial" w:hAnsi="Arial"/>
                <w:sz w:val="19"/>
                <w:szCs w:val="19"/>
                <w:b w:val="1"/>
                <w:bCs w:val="1"/>
                <w:color w:val="auto"/>
                <w:w w:val="87"/>
              </w:rPr>
              <w:t>Sole Voting Power</w:t>
            </w:r>
          </w:p>
        </w:tc>
      </w:tr>
    </w:tbl>
    <w:p>
      <w:pPr>
        <w:spacing w:after="0" w:line="231" w:lineRule="exact"/>
        <w:rPr>
          <w:sz w:val="20"/>
          <w:szCs w:val="20"/>
          <w:color w:val="auto"/>
        </w:rPr>
      </w:pPr>
    </w:p>
    <w:tbl>
      <w:tblPr>
        <w:tblLayout w:type="fixed"/>
        <w:tblInd w:w="181" w:type="dxa"/>
        <w:tblCellMar>
          <w:top w:w="0" w:type="dxa"/>
          <w:left w:w="0" w:type="dxa"/>
          <w:bottom w:w="0" w:type="dxa"/>
          <w:right w:w="0" w:type="dxa"/>
        </w:tblCellMar>
      </w:tblPr>
      <w:tr>
        <w:trPr>
          <w:trHeight w:val="293"/>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2"/>
              </w:rPr>
              <w:t>Number of</w:t>
            </w:r>
          </w:p>
        </w:tc>
        <w:tc>
          <w:tcPr>
            <w:tcW w:w="4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160"/>
              <w:spacing w:after="0"/>
              <w:rPr>
                <w:sz w:val="20"/>
                <w:szCs w:val="20"/>
                <w:color w:val="auto"/>
              </w:rPr>
            </w:pPr>
            <w:r>
              <w:rPr>
                <w:rFonts w:ascii="Arial" w:cs="Arial" w:eastAsia="Arial" w:hAnsi="Arial"/>
                <w:sz w:val="23"/>
                <w:szCs w:val="23"/>
                <w:color w:val="auto"/>
              </w:rPr>
              <w:t>6,652,398 (1)</w:t>
            </w:r>
          </w:p>
        </w:tc>
        <w:tc>
          <w:tcPr>
            <w:tcW w:w="0" w:type="dxa"/>
            <w:vAlign w:val="bottom"/>
          </w:tcPr>
          <w:p>
            <w:pPr>
              <w:spacing w:after="0"/>
              <w:rPr>
                <w:sz w:val="1"/>
                <w:szCs w:val="1"/>
                <w:color w:val="auto"/>
              </w:rPr>
            </w:pPr>
          </w:p>
        </w:tc>
      </w:tr>
      <w:tr>
        <w:trPr>
          <w:trHeight w:val="47"/>
        </w:trPr>
        <w:tc>
          <w:tcPr>
            <w:tcW w:w="960" w:type="dxa"/>
            <w:vAlign w:val="bottom"/>
            <w:vMerge w:val="continue"/>
          </w:tcPr>
          <w:p>
            <w:pPr>
              <w:spacing w:after="0"/>
              <w:rPr>
                <w:sz w:val="4"/>
                <w:szCs w:val="4"/>
                <w:color w:val="auto"/>
              </w:rPr>
            </w:pPr>
          </w:p>
        </w:tc>
        <w:tc>
          <w:tcPr>
            <w:tcW w:w="48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6</w:t>
            </w:r>
          </w:p>
        </w:tc>
        <w:tc>
          <w:tcPr>
            <w:tcW w:w="1004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85"/>
              </w:rPr>
              <w:t>Shares</w:t>
            </w:r>
          </w:p>
        </w:tc>
        <w:tc>
          <w:tcPr>
            <w:tcW w:w="480" w:type="dxa"/>
            <w:vAlign w:val="bottom"/>
            <w:vMerge w:val="continue"/>
          </w:tcPr>
          <w:p>
            <w:pPr>
              <w:spacing w:after="0"/>
              <w:rPr>
                <w:sz w:val="16"/>
                <w:szCs w:val="16"/>
                <w:color w:val="auto"/>
              </w:rPr>
            </w:pP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88"/>
              </w:rPr>
              <w:t>Beneficially</w:t>
            </w:r>
          </w:p>
        </w:tc>
        <w:tc>
          <w:tcPr>
            <w:tcW w:w="480" w:type="dxa"/>
            <w:vAlign w:val="bottom"/>
          </w:tcPr>
          <w:p>
            <w:pPr>
              <w:spacing w:after="0"/>
              <w:rPr>
                <w:sz w:val="19"/>
                <w:szCs w:val="19"/>
                <w:color w:val="auto"/>
              </w:rPr>
            </w:pPr>
          </w:p>
        </w:tc>
        <w:tc>
          <w:tcPr>
            <w:tcW w:w="10040" w:type="dxa"/>
            <w:vAlign w:val="bottom"/>
            <w:vMerge w:val="restart"/>
          </w:tcPr>
          <w:p>
            <w:pPr>
              <w:ind w:left="16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47"/>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90"/>
              </w:rPr>
              <w:t>Owned by</w:t>
            </w:r>
          </w:p>
        </w:tc>
        <w:tc>
          <w:tcPr>
            <w:tcW w:w="480" w:type="dxa"/>
            <w:vAlign w:val="bottom"/>
            <w:tcBorders>
              <w:bottom w:val="single" w:sz="8" w:color="auto"/>
            </w:tcBorders>
          </w:tcPr>
          <w:p>
            <w:pPr>
              <w:spacing w:after="0"/>
              <w:rPr>
                <w:sz w:val="21"/>
                <w:szCs w:val="21"/>
                <w:color w:val="auto"/>
              </w:rPr>
            </w:pPr>
          </w:p>
        </w:tc>
        <w:tc>
          <w:tcPr>
            <w:tcW w:w="10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w w:val="92"/>
              </w:rPr>
              <w:t>Each</w:t>
            </w:r>
          </w:p>
        </w:tc>
        <w:tc>
          <w:tcPr>
            <w:tcW w:w="480" w:type="dxa"/>
            <w:vAlign w:val="bottom"/>
          </w:tcPr>
          <w:p>
            <w:pPr>
              <w:jc w:val="right"/>
              <w:ind w:right="65"/>
              <w:spacing w:after="0" w:line="189" w:lineRule="exact"/>
              <w:rPr>
                <w:sz w:val="20"/>
                <w:szCs w:val="20"/>
                <w:color w:val="auto"/>
              </w:rPr>
            </w:pPr>
            <w:r>
              <w:rPr>
                <w:rFonts w:ascii="Arial" w:cs="Arial" w:eastAsia="Arial" w:hAnsi="Arial"/>
                <w:sz w:val="19"/>
                <w:szCs w:val="19"/>
                <w:b w:val="1"/>
                <w:bCs w:val="1"/>
                <w:color w:val="auto"/>
              </w:rPr>
              <w:t>7</w:t>
            </w:r>
          </w:p>
        </w:tc>
        <w:tc>
          <w:tcPr>
            <w:tcW w:w="10040" w:type="dxa"/>
            <w:vAlign w:val="bottom"/>
          </w:tcPr>
          <w:p>
            <w:pPr>
              <w:ind w:left="16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91"/>
              </w:rPr>
              <w:t>Reporting</w:t>
            </w:r>
          </w:p>
        </w:tc>
        <w:tc>
          <w:tcPr>
            <w:tcW w:w="480" w:type="dxa"/>
            <w:vAlign w:val="bottom"/>
          </w:tcPr>
          <w:p>
            <w:pPr>
              <w:spacing w:after="0"/>
              <w:rPr>
                <w:sz w:val="19"/>
                <w:szCs w:val="19"/>
                <w:color w:val="auto"/>
              </w:rPr>
            </w:pPr>
          </w:p>
        </w:tc>
        <w:tc>
          <w:tcPr>
            <w:tcW w:w="10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9"/>
                <w:szCs w:val="19"/>
                <w:b w:val="1"/>
                <w:bCs w:val="1"/>
                <w:color w:val="auto"/>
                <w:w w:val="86"/>
              </w:rPr>
              <w:t>Person</w:t>
            </w:r>
          </w:p>
        </w:tc>
        <w:tc>
          <w:tcPr>
            <w:tcW w:w="480" w:type="dxa"/>
            <w:vAlign w:val="bottom"/>
          </w:tcPr>
          <w:p>
            <w:pPr>
              <w:spacing w:after="0"/>
              <w:rPr>
                <w:sz w:val="22"/>
                <w:szCs w:val="22"/>
                <w:color w:val="auto"/>
              </w:rPr>
            </w:pPr>
          </w:p>
        </w:tc>
        <w:tc>
          <w:tcPr>
            <w:tcW w:w="10040" w:type="dxa"/>
            <w:vAlign w:val="bottom"/>
          </w:tcPr>
          <w:p>
            <w:pPr>
              <w:ind w:left="160"/>
              <w:spacing w:after="0" w:line="263" w:lineRule="exact"/>
              <w:rPr>
                <w:sz w:val="20"/>
                <w:szCs w:val="20"/>
                <w:color w:val="auto"/>
              </w:rPr>
            </w:pPr>
            <w:r>
              <w:rPr>
                <w:rFonts w:ascii="Arial" w:cs="Arial" w:eastAsia="Arial" w:hAnsi="Arial"/>
                <w:sz w:val="23"/>
                <w:szCs w:val="23"/>
                <w:color w:val="auto"/>
              </w:rPr>
              <w:t>6,652,398 (1)</w:t>
            </w:r>
          </w:p>
        </w:tc>
        <w:tc>
          <w:tcPr>
            <w:tcW w:w="0" w:type="dxa"/>
            <w:vAlign w:val="bottom"/>
          </w:tcPr>
          <w:p>
            <w:pPr>
              <w:spacing w:after="0"/>
              <w:rPr>
                <w:sz w:val="1"/>
                <w:szCs w:val="1"/>
                <w:color w:val="auto"/>
              </w:rPr>
            </w:pPr>
          </w:p>
        </w:tc>
      </w:tr>
      <w:tr>
        <w:trPr>
          <w:trHeight w:val="71"/>
        </w:trPr>
        <w:tc>
          <w:tcPr>
            <w:tcW w:w="9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6"/>
              </w:rPr>
              <w:t>With:</w:t>
            </w:r>
          </w:p>
        </w:tc>
        <w:tc>
          <w:tcPr>
            <w:tcW w:w="480" w:type="dxa"/>
            <w:vAlign w:val="bottom"/>
            <w:tcBorders>
              <w:bottom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48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8</w:t>
            </w:r>
          </w:p>
        </w:tc>
        <w:tc>
          <w:tcPr>
            <w:tcW w:w="1004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1"/>
        <w:spacing w:after="0"/>
        <w:rPr>
          <w:sz w:val="20"/>
          <w:szCs w:val="20"/>
          <w:color w:val="auto"/>
        </w:rPr>
      </w:pPr>
      <w:r>
        <w:rPr>
          <w:rFonts w:ascii="Arial" w:cs="Arial" w:eastAsia="Arial" w:hAnsi="Arial"/>
          <w:sz w:val="23"/>
          <w:szCs w:val="23"/>
          <w:color w:val="auto"/>
        </w:rPr>
        <w:t>0</w:t>
      </w:r>
    </w:p>
    <w:p>
      <w:pPr>
        <w:spacing w:after="0" w:line="27" w:lineRule="exact"/>
        <w:rPr>
          <w:sz w:val="20"/>
          <w:szCs w:val="20"/>
          <w:color w:val="auto"/>
        </w:rPr>
      </w:pPr>
    </w:p>
    <w:p>
      <w:pPr>
        <w:ind w:left="261"/>
        <w:spacing w:after="0"/>
        <w:tabs>
          <w:tab w:leader="none" w:pos="50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7"/>
          <w:szCs w:val="17"/>
          <w:b w:val="1"/>
          <w:bCs w:val="1"/>
          <w:color w:val="auto"/>
        </w:rPr>
        <w:t>Aggregate Amount Beneficially Owned by Each Reporting Person</w:t>
      </w:r>
    </w:p>
    <w:p>
      <w:pPr>
        <w:spacing w:after="0" w:line="260" w:lineRule="exact"/>
        <w:rPr>
          <w:sz w:val="20"/>
          <w:szCs w:val="20"/>
          <w:color w:val="auto"/>
        </w:rPr>
      </w:pPr>
    </w:p>
    <w:p>
      <w:pPr>
        <w:ind w:left="521"/>
        <w:spacing w:after="0"/>
        <w:rPr>
          <w:sz w:val="20"/>
          <w:szCs w:val="20"/>
          <w:color w:val="auto"/>
        </w:rPr>
      </w:pPr>
      <w:r>
        <w:rPr>
          <w:rFonts w:ascii="Arial" w:cs="Arial" w:eastAsia="Arial" w:hAnsi="Arial"/>
          <w:sz w:val="23"/>
          <w:szCs w:val="23"/>
          <w:color w:val="auto"/>
        </w:rPr>
        <w:t>6,652,398 (1)</w:t>
      </w:r>
    </w:p>
    <w:p>
      <w:pPr>
        <w:spacing w:after="0" w:line="27"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6"/>
          <w:szCs w:val="16"/>
          <w:b w:val="1"/>
          <w:bCs w:val="1"/>
          <w:color w:val="auto"/>
        </w:rPr>
        <w:t>Check box if the aggregate amount in row (9) excludes certain shares (See Instructions)</w:t>
      </w:r>
    </w:p>
    <w:p>
      <w:pPr>
        <w:spacing w:after="0" w:line="232" w:lineRule="exact"/>
        <w:rPr>
          <w:sz w:val="20"/>
          <w:szCs w:val="20"/>
          <w:color w:val="auto"/>
        </w:rPr>
      </w:pPr>
    </w:p>
    <w:p>
      <w:pPr>
        <w:ind w:left="521"/>
        <w:spacing w:after="0" w:line="231" w:lineRule="exact"/>
        <w:rPr>
          <w:sz w:val="20"/>
          <w:szCs w:val="20"/>
          <w:color w:val="auto"/>
        </w:rPr>
      </w:pPr>
      <w:r>
        <w:rPr>
          <w:rFonts w:ascii="MS PGothic" w:cs="MS PGothic" w:eastAsia="MS PGothic" w:hAnsi="MS PGothic"/>
          <w:sz w:val="23"/>
          <w:szCs w:val="23"/>
          <w:color w:val="auto"/>
        </w:rPr>
        <w:t>☐</w:t>
      </w:r>
    </w:p>
    <w:p>
      <w:pPr>
        <w:spacing w:after="0" w:line="123"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6"/>
          <w:szCs w:val="16"/>
          <w:b w:val="1"/>
          <w:bCs w:val="1"/>
          <w:color w:val="auto"/>
        </w:rPr>
        <w:t>Percent of class represented by amount in row (9)</w:t>
      </w:r>
    </w:p>
    <w:p>
      <w:pPr>
        <w:spacing w:after="0" w:line="241" w:lineRule="exact"/>
        <w:rPr>
          <w:sz w:val="20"/>
          <w:szCs w:val="20"/>
          <w:color w:val="auto"/>
        </w:rPr>
      </w:pPr>
    </w:p>
    <w:p>
      <w:pPr>
        <w:ind w:left="521"/>
        <w:spacing w:after="0"/>
        <w:rPr>
          <w:sz w:val="20"/>
          <w:szCs w:val="20"/>
          <w:color w:val="auto"/>
        </w:rPr>
      </w:pPr>
      <w:r>
        <w:rPr>
          <w:rFonts w:ascii="Arial" w:cs="Arial" w:eastAsia="Arial" w:hAnsi="Arial"/>
          <w:sz w:val="23"/>
          <w:szCs w:val="23"/>
          <w:color w:val="auto"/>
        </w:rPr>
        <w:t>6.3% (2)</w:t>
      </w:r>
    </w:p>
    <w:p>
      <w:pPr>
        <w:spacing w:after="0" w:line="27" w:lineRule="exact"/>
        <w:rPr>
          <w:sz w:val="20"/>
          <w:szCs w:val="20"/>
          <w:color w:val="auto"/>
        </w:rPr>
      </w:pPr>
    </w:p>
    <w:p>
      <w:pPr>
        <w:ind w:left="161"/>
        <w:spacing w:after="0"/>
        <w:tabs>
          <w:tab w:leader="none" w:pos="5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6"/>
          <w:szCs w:val="16"/>
          <w:b w:val="1"/>
          <w:bCs w:val="1"/>
          <w:color w:val="auto"/>
        </w:rPr>
        <w:t>Type of Reporting Person (See Instructions)</w:t>
      </w:r>
    </w:p>
    <w:p>
      <w:pPr>
        <w:spacing w:after="0" w:line="260" w:lineRule="exact"/>
        <w:rPr>
          <w:sz w:val="20"/>
          <w:szCs w:val="20"/>
          <w:color w:val="auto"/>
        </w:rPr>
      </w:pPr>
    </w:p>
    <w:p>
      <w:pPr>
        <w:ind w:left="521"/>
        <w:spacing w:after="0"/>
        <w:rPr>
          <w:sz w:val="20"/>
          <w:szCs w:val="20"/>
          <w:color w:val="auto"/>
        </w:rPr>
      </w:pPr>
      <w:r>
        <w:rPr>
          <w:rFonts w:ascii="Arial" w:cs="Arial" w:eastAsia="Arial" w:hAnsi="Arial"/>
          <w:sz w:val="23"/>
          <w:szCs w:val="23"/>
          <w:color w:val="auto"/>
        </w:rPr>
        <w:t>CO</w:t>
      </w:r>
    </w:p>
    <w:p>
      <w:pPr>
        <w:spacing w:after="0" w:line="287" w:lineRule="exact"/>
        <w:rPr>
          <w:sz w:val="20"/>
          <w:szCs w:val="20"/>
          <w:color w:val="auto"/>
        </w:rPr>
      </w:pPr>
    </w:p>
    <w:p>
      <w:pPr>
        <w:ind w:left="461" w:right="580" w:hanging="461"/>
        <w:spacing w:after="0" w:line="275" w:lineRule="auto"/>
        <w:tabs>
          <w:tab w:leader="none" w:pos="461" w:val="left"/>
        </w:tabs>
        <w:numPr>
          <w:ilvl w:val="0"/>
          <w:numId w:val="6"/>
        </w:numPr>
        <w:rPr>
          <w:rFonts w:ascii="Arial" w:cs="Arial" w:eastAsia="Arial" w:hAnsi="Arial"/>
          <w:sz w:val="19"/>
          <w:szCs w:val="19"/>
          <w:color w:val="auto"/>
        </w:rPr>
      </w:pPr>
      <w:r>
        <w:rPr>
          <w:rFonts w:ascii="Arial" w:cs="Arial" w:eastAsia="Arial" w:hAnsi="Arial"/>
          <w:sz w:val="19"/>
          <w:szCs w:val="19"/>
          <w:color w:val="auto"/>
        </w:rPr>
        <w:t>Consists of (a) 1 ordinary share, (b) 720,948 ADRs that each represent 8 ordinary shares (totaling 5,767,584 ordinary shares) and (c) vested warrants to purchase 884,813 ordinary shares (or 110,602 ADRs, at the election of Bio4)</w:t>
      </w:r>
    </w:p>
    <w:p>
      <w:pPr>
        <w:spacing w:after="0" w:line="84" w:lineRule="exact"/>
        <w:rPr>
          <w:rFonts w:ascii="Arial" w:cs="Arial" w:eastAsia="Arial" w:hAnsi="Arial"/>
          <w:sz w:val="19"/>
          <w:szCs w:val="19"/>
          <w:color w:val="auto"/>
        </w:rPr>
      </w:pPr>
    </w:p>
    <w:p>
      <w:pPr>
        <w:ind w:left="461" w:right="120" w:hanging="461"/>
        <w:spacing w:after="0" w:line="263" w:lineRule="auto"/>
        <w:tabs>
          <w:tab w:leader="none" w:pos="461" w:val="left"/>
        </w:tabs>
        <w:numPr>
          <w:ilvl w:val="0"/>
          <w:numId w:val="6"/>
        </w:numPr>
        <w:rPr>
          <w:rFonts w:ascii="Arial" w:cs="Arial" w:eastAsia="Arial" w:hAnsi="Arial"/>
          <w:sz w:val="19"/>
          <w:szCs w:val="19"/>
          <w:color w:val="auto"/>
        </w:rPr>
      </w:pPr>
      <w:r>
        <w:rPr>
          <w:rFonts w:ascii="Arial" w:cs="Arial" w:eastAsia="Arial" w:hAnsi="Arial"/>
          <w:sz w:val="19"/>
          <w:szCs w:val="19"/>
          <w:color w:val="auto"/>
        </w:rPr>
        <w:t>Based upon 106,211,451 ordinary shares, which consists of (a) 105,326,638 ordinary shares outstanding, which includes all outstanding ADRs on an as converted basis, as reported in the Issuer’s Form 6-K filed with the SEC on September 25, 2018 and, and (b) the warrants to purchase 884,813 ordinary shares held by Bio4.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Page 3 of 8</w:t>
      </w:r>
    </w:p>
    <w:p>
      <w:pPr>
        <w:sectPr>
          <w:pgSz w:w="12240" w:h="15840" w:orient="portrait"/>
          <w:cols w:equalWidth="0" w:num="1">
            <w:col w:w="11661"/>
          </w:cols>
          <w:pgMar w:left="299" w:top="136" w:right="280" w:bottom="1440" w:gutter="0" w:footer="0" w:header="0"/>
        </w:sectPr>
      </w:pPr>
    </w:p>
    <w:bookmarkStart w:id="3" w:name="page4"/>
    <w:bookmarkEnd w:id="3"/>
    <w:p>
      <w:pPr>
        <w:ind w:left="1"/>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1.</w:t>
      </w:r>
    </w:p>
    <w:p>
      <w:pPr>
        <w:spacing w:after="0" w:line="138" w:lineRule="exact"/>
        <w:rPr>
          <w:sz w:val="20"/>
          <w:szCs w:val="20"/>
          <w:color w:val="auto"/>
        </w:rPr>
      </w:pPr>
    </w:p>
    <w:p>
      <w:pPr>
        <w:ind w:left="461" w:hanging="461"/>
        <w:spacing w:after="0"/>
        <w:tabs>
          <w:tab w:leader="none" w:pos="461"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Verona Pharma plc</w:t>
      </w:r>
    </w:p>
    <w:p>
      <w:pPr>
        <w:spacing w:after="0" w:line="260" w:lineRule="exact"/>
        <w:rPr>
          <w:sz w:val="20"/>
          <w:szCs w:val="20"/>
          <w:color w:val="auto"/>
        </w:rPr>
      </w:pPr>
    </w:p>
    <w:p>
      <w:pPr>
        <w:ind w:left="461" w:hanging="461"/>
        <w:spacing w:after="0"/>
        <w:tabs>
          <w:tab w:leader="none" w:pos="461"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Issuer’s Principal Executive Offices:</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3 More London Riverside</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London SE1 2RE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United Kingdom</w:t>
      </w:r>
    </w:p>
    <w:p>
      <w:pPr>
        <w:spacing w:after="0" w:line="376"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Item 2.</w:t>
      </w:r>
    </w:p>
    <w:p>
      <w:pPr>
        <w:spacing w:after="0" w:line="138" w:lineRule="exact"/>
        <w:rPr>
          <w:sz w:val="20"/>
          <w:szCs w:val="20"/>
          <w:color w:val="auto"/>
        </w:rPr>
      </w:pPr>
    </w:p>
    <w:p>
      <w:pPr>
        <w:ind w:left="461" w:hanging="461"/>
        <w:spacing w:after="0"/>
        <w:tabs>
          <w:tab w:leader="none" w:pos="461"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Name of Person Filing:</w:t>
      </w:r>
    </w:p>
    <w:p>
      <w:pPr>
        <w:spacing w:after="0" w:line="144" w:lineRule="exact"/>
        <w:rPr>
          <w:rFonts w:ascii="Arial" w:cs="Arial" w:eastAsia="Arial" w:hAnsi="Arial"/>
          <w:sz w:val="19"/>
          <w:szCs w:val="19"/>
          <w:b w:val="1"/>
          <w:bCs w:val="1"/>
          <w:color w:val="auto"/>
        </w:rPr>
      </w:pPr>
    </w:p>
    <w:p>
      <w:pPr>
        <w:ind w:left="921" w:hanging="464"/>
        <w:spacing w:after="0"/>
        <w:tabs>
          <w:tab w:leader="none" w:pos="921" w:val="left"/>
        </w:tabs>
        <w:numPr>
          <w:ilvl w:val="1"/>
          <w:numId w:val="9"/>
        </w:numPr>
        <w:rPr>
          <w:rFonts w:ascii="Arial" w:cs="Arial" w:eastAsia="Arial" w:hAnsi="Arial"/>
          <w:sz w:val="19"/>
          <w:szCs w:val="19"/>
          <w:color w:val="auto"/>
        </w:rPr>
      </w:pPr>
      <w:r>
        <w:rPr>
          <w:rFonts w:ascii="Arial" w:cs="Arial" w:eastAsia="Arial" w:hAnsi="Arial"/>
          <w:sz w:val="19"/>
          <w:szCs w:val="19"/>
          <w:color w:val="auto"/>
        </w:rPr>
        <w:t>BioDiscovery 4, a French Professional Investment Fund (“Bio4”); and</w:t>
      </w:r>
    </w:p>
    <w:p>
      <w:pPr>
        <w:spacing w:after="0" w:line="22" w:lineRule="exact"/>
        <w:rPr>
          <w:rFonts w:ascii="Arial" w:cs="Arial" w:eastAsia="Arial" w:hAnsi="Arial"/>
          <w:sz w:val="19"/>
          <w:szCs w:val="19"/>
          <w:color w:val="auto"/>
        </w:rPr>
      </w:pPr>
    </w:p>
    <w:p>
      <w:pPr>
        <w:ind w:left="921" w:hanging="464"/>
        <w:spacing w:after="0"/>
        <w:tabs>
          <w:tab w:leader="none" w:pos="921" w:val="left"/>
        </w:tabs>
        <w:numPr>
          <w:ilvl w:val="1"/>
          <w:numId w:val="9"/>
        </w:numPr>
        <w:rPr>
          <w:rFonts w:ascii="Arial" w:cs="Arial" w:eastAsia="Arial" w:hAnsi="Arial"/>
          <w:sz w:val="19"/>
          <w:szCs w:val="19"/>
          <w:color w:val="auto"/>
        </w:rPr>
      </w:pPr>
      <w:r>
        <w:rPr>
          <w:rFonts w:ascii="Arial" w:cs="Arial" w:eastAsia="Arial" w:hAnsi="Arial"/>
          <w:sz w:val="19"/>
          <w:szCs w:val="19"/>
          <w:color w:val="auto"/>
        </w:rPr>
        <w:t>Andera Partners, a French partnership limited by shares (“Andera”), the management company of Bio 4.</w:t>
      </w:r>
    </w:p>
    <w:p>
      <w:pPr>
        <w:spacing w:after="0" w:line="247" w:lineRule="exact"/>
        <w:rPr>
          <w:rFonts w:ascii="Arial" w:cs="Arial" w:eastAsia="Arial" w:hAnsi="Arial"/>
          <w:sz w:val="19"/>
          <w:szCs w:val="19"/>
          <w:color w:val="auto"/>
        </w:rPr>
      </w:pPr>
    </w:p>
    <w:p>
      <w:pPr>
        <w:ind w:left="461" w:hanging="461"/>
        <w:spacing w:after="0"/>
        <w:tabs>
          <w:tab w:leader="none" w:pos="461"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Principal Business Office or, if None, Residence:</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 address for each of the Reporting Persons is: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c/o Andera Partners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374 rue Saint-Honoré</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75001 Paris, France</w:t>
      </w:r>
    </w:p>
    <w:p>
      <w:pPr>
        <w:spacing w:after="0" w:line="247" w:lineRule="exact"/>
        <w:rPr>
          <w:sz w:val="20"/>
          <w:szCs w:val="20"/>
          <w:color w:val="auto"/>
        </w:rPr>
      </w:pPr>
    </w:p>
    <w:p>
      <w:pPr>
        <w:ind w:left="461" w:hanging="461"/>
        <w:spacing w:after="0"/>
        <w:tabs>
          <w:tab w:leader="none" w:pos="461"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Citizenship:</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See Row 4 for each Reporting Person.</w:t>
      </w:r>
    </w:p>
    <w:p>
      <w:pPr>
        <w:spacing w:after="0" w:line="260" w:lineRule="exact"/>
        <w:rPr>
          <w:sz w:val="20"/>
          <w:szCs w:val="20"/>
          <w:color w:val="auto"/>
        </w:rPr>
      </w:pPr>
    </w:p>
    <w:p>
      <w:pPr>
        <w:ind w:left="461" w:hanging="461"/>
        <w:spacing w:after="0"/>
        <w:tabs>
          <w:tab w:leader="none" w:pos="461"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Title and Class of Securities:</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Ordinary Shares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American Depositary Shares</w:t>
      </w:r>
    </w:p>
    <w:p>
      <w:pPr>
        <w:spacing w:after="0" w:line="247" w:lineRule="exact"/>
        <w:rPr>
          <w:sz w:val="20"/>
          <w:szCs w:val="20"/>
          <w:color w:val="auto"/>
        </w:rPr>
      </w:pPr>
    </w:p>
    <w:p>
      <w:pPr>
        <w:ind w:left="461" w:hanging="461"/>
        <w:spacing w:after="0"/>
        <w:tabs>
          <w:tab w:leader="none" w:pos="461"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CUSIP No.:</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925050106</w:t>
      </w:r>
    </w:p>
    <w:p>
      <w:pPr>
        <w:spacing w:after="0" w:line="389"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1441" w:hanging="506"/>
        <w:spacing w:after="0" w:line="219" w:lineRule="exact"/>
        <w:tabs>
          <w:tab w:leader="none" w:pos="1441"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Broker or dealer registered under Section 15 of the Act;</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Bank as defined in Section 3(a)(6) of the Act;</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Insurance company as defined in Section 3(a)(19) of the Act;</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investment adviser in accordance with Rule 13d-1(b)(1)(ii)(E);</w:t>
      </w:r>
    </w:p>
    <w:p>
      <w:pPr>
        <w:spacing w:after="0" w:line="202" w:lineRule="exact"/>
        <w:rPr>
          <w:sz w:val="20"/>
          <w:szCs w:val="20"/>
          <w:color w:val="auto"/>
        </w:rPr>
      </w:pPr>
    </w:p>
    <w:p>
      <w:pPr>
        <w:ind w:left="5381"/>
        <w:spacing w:after="0"/>
        <w:rPr>
          <w:sz w:val="20"/>
          <w:szCs w:val="20"/>
          <w:color w:val="auto"/>
        </w:rPr>
      </w:pPr>
      <w:r>
        <w:rPr>
          <w:rFonts w:ascii="Arial" w:cs="Arial" w:eastAsia="Arial" w:hAnsi="Arial"/>
          <w:sz w:val="19"/>
          <w:szCs w:val="19"/>
          <w:color w:val="auto"/>
        </w:rPr>
        <w:t>Page 4 of 8</w:t>
      </w:r>
    </w:p>
    <w:p>
      <w:pPr>
        <w:sectPr>
          <w:pgSz w:w="12240" w:h="15840" w:orient="portrait"/>
          <w:cols w:equalWidth="0" w:num="1">
            <w:col w:w="10501"/>
          </w:cols>
          <w:pgMar w:left="299" w:top="136" w:right="1440" w:bottom="1440" w:gutter="0" w:footer="0" w:header="0"/>
        </w:sectPr>
      </w:pPr>
    </w:p>
    <w:bookmarkStart w:id="4" w:name="page5"/>
    <w:bookmarkEnd w:id="4"/>
    <w:p>
      <w:pPr>
        <w:ind w:left="1441" w:hanging="506"/>
        <w:spacing w:after="0" w:line="219" w:lineRule="exact"/>
        <w:tabs>
          <w:tab w:leader="none" w:pos="1441"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w:t>
      </w:r>
      <w:r>
        <w:rPr>
          <w:rFonts w:ascii="Arial" w:cs="Arial" w:eastAsia="Arial" w:hAnsi="Arial"/>
          <w:sz w:val="19"/>
          <w:szCs w:val="19"/>
          <w:color w:val="auto"/>
        </w:rPr>
        <w:t xml:space="preserve">  An employee benefit plan or endowment fund in accordance with Rule 13d-1(b)(1)(ii)(F);</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parent holding company or control person in accordance with Rule 13d-1(b)(1)(ii)(G);</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associations as defined in Section 3(b) of the Federal Deposit Insurance Act (12 U.S.C. 1813);</w:t>
      </w:r>
    </w:p>
    <w:p>
      <w:pPr>
        <w:spacing w:after="0" w:line="123" w:lineRule="exact"/>
        <w:rPr>
          <w:rFonts w:ascii="Arial" w:cs="Arial" w:eastAsia="Arial" w:hAnsi="Arial"/>
          <w:sz w:val="19"/>
          <w:szCs w:val="19"/>
          <w:color w:val="auto"/>
        </w:rPr>
      </w:pPr>
    </w:p>
    <w:p>
      <w:pPr>
        <w:ind w:left="1821" w:right="1460" w:hanging="886"/>
        <w:spacing w:after="0" w:line="253" w:lineRule="exact"/>
        <w:tabs>
          <w:tab w:leader="none" w:pos="145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church plan that is excluded from the definition of an investment company under section 3(c)(14) of the Investment Company Act of 1940;</w:t>
      </w:r>
    </w:p>
    <w:p>
      <w:pPr>
        <w:spacing w:after="0" w:line="66"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non-U.S. institution in accordance with Rule 240.13d-1(b)(1)(ii)(J);</w:t>
      </w:r>
    </w:p>
    <w:p>
      <w:pPr>
        <w:spacing w:after="0" w:line="123" w:lineRule="exact"/>
        <w:rPr>
          <w:rFonts w:ascii="Arial" w:cs="Arial" w:eastAsia="Arial" w:hAnsi="Arial"/>
          <w:sz w:val="19"/>
          <w:szCs w:val="19"/>
          <w:color w:val="auto"/>
        </w:rPr>
      </w:pPr>
    </w:p>
    <w:p>
      <w:pPr>
        <w:ind w:left="1441" w:hanging="506"/>
        <w:spacing w:after="0" w:line="219" w:lineRule="exact"/>
        <w:tabs>
          <w:tab w:leader="none" w:pos="1441"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Group, in accordance with Rule 240.13d-1(b)(1)(ii)(K). If filing as a non-U.S. institution in accordance with Rule</w:t>
      </w:r>
    </w:p>
    <w:p>
      <w:pPr>
        <w:spacing w:after="0" w:line="60" w:lineRule="exact"/>
        <w:rPr>
          <w:rFonts w:ascii="Arial" w:cs="Arial" w:eastAsia="Arial" w:hAnsi="Arial"/>
          <w:sz w:val="19"/>
          <w:szCs w:val="19"/>
          <w:color w:val="auto"/>
        </w:rPr>
      </w:pPr>
    </w:p>
    <w:p>
      <w:pPr>
        <w:ind w:left="1821"/>
        <w:spacing w:after="0"/>
        <w:rPr>
          <w:rFonts w:ascii="Arial" w:cs="Arial" w:eastAsia="Arial" w:hAnsi="Arial"/>
          <w:sz w:val="19"/>
          <w:szCs w:val="19"/>
          <w:color w:val="auto"/>
        </w:rPr>
      </w:pPr>
      <w:r>
        <w:rPr>
          <w:rFonts w:ascii="Arial" w:cs="Arial" w:eastAsia="Arial" w:hAnsi="Arial"/>
          <w:sz w:val="19"/>
          <w:szCs w:val="19"/>
          <w:color w:val="auto"/>
        </w:rPr>
        <w:t>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-21590</wp:posOffset>
            </wp:positionV>
            <wp:extent cx="723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900" cy="8890"/>
                    </a:xfrm>
                    <a:prstGeom prst="rect">
                      <a:avLst/>
                    </a:prstGeom>
                    <a:noFill/>
                  </pic:spPr>
                </pic:pic>
              </a:graphicData>
            </a:graphic>
          </wp:anchor>
        </w:drawing>
      </w:r>
    </w:p>
    <w:p>
      <w:pPr>
        <w:spacing w:after="0" w:line="353"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8" w:lineRule="exact"/>
        <w:rPr>
          <w:sz w:val="20"/>
          <w:szCs w:val="20"/>
          <w:color w:val="auto"/>
        </w:rPr>
      </w:pPr>
    </w:p>
    <w:p>
      <w:pPr>
        <w:ind w:left="461" w:hanging="461"/>
        <w:spacing w:after="0"/>
        <w:tabs>
          <w:tab w:leader="none" w:pos="461"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Amount Beneficially Owned:</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See Row 9 for each Reporting Person</w:t>
      </w:r>
    </w:p>
    <w:p>
      <w:pPr>
        <w:spacing w:after="0" w:line="238" w:lineRule="exact"/>
        <w:rPr>
          <w:sz w:val="20"/>
          <w:szCs w:val="20"/>
          <w:color w:val="auto"/>
        </w:rPr>
      </w:pPr>
    </w:p>
    <w:p>
      <w:pPr>
        <w:ind w:left="1"/>
        <w:spacing w:after="0" w:line="336" w:lineRule="auto"/>
        <w:rPr>
          <w:sz w:val="20"/>
          <w:szCs w:val="20"/>
          <w:color w:val="auto"/>
        </w:rPr>
      </w:pPr>
      <w:r>
        <w:rPr>
          <w:rFonts w:ascii="Arial" w:cs="Arial" w:eastAsia="Arial" w:hAnsi="Arial"/>
          <w:sz w:val="17"/>
          <w:szCs w:val="17"/>
          <w:color w:val="auto"/>
        </w:rPr>
        <w:t>Bio4 directly owns (a) 1 ordinary share, (b) 720,948 American Depository Shares (“ADRs”) that each represent 8 ordinary shares (totaling 5,767,584 ordinary shares) and (c) vested warrants to purchase 884,813 ordinary shares (or 110,602 ADRs, at the election of Bio4) (collectively, the “Shares”).</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9"/>
          <w:szCs w:val="19"/>
          <w:color w:val="auto"/>
        </w:rPr>
        <w:t>Andera is the management company of Bio4 and may be deemed to beneficially own the Shares.</w:t>
      </w:r>
    </w:p>
    <w:p>
      <w:pPr>
        <w:spacing w:after="0" w:line="260" w:lineRule="exact"/>
        <w:rPr>
          <w:sz w:val="20"/>
          <w:szCs w:val="20"/>
          <w:color w:val="auto"/>
        </w:rPr>
      </w:pPr>
    </w:p>
    <w:p>
      <w:pPr>
        <w:ind w:left="461" w:hanging="461"/>
        <w:spacing w:after="0"/>
        <w:tabs>
          <w:tab w:leader="none" w:pos="461"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Percent of Class:</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9"/>
          <w:szCs w:val="19"/>
          <w:color w:val="auto"/>
        </w:rPr>
        <w:t>See Row 11 for each Reporting Person.</w:t>
      </w:r>
    </w:p>
    <w:p>
      <w:pPr>
        <w:spacing w:after="0" w:line="260" w:lineRule="exact"/>
        <w:rPr>
          <w:sz w:val="20"/>
          <w:szCs w:val="20"/>
          <w:color w:val="auto"/>
        </w:rPr>
      </w:pPr>
    </w:p>
    <w:p>
      <w:pPr>
        <w:ind w:left="461" w:hanging="461"/>
        <w:spacing w:after="0"/>
        <w:tabs>
          <w:tab w:leader="none" w:pos="461"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Number of shares as to which such person has:</w:t>
      </w:r>
    </w:p>
    <w:p>
      <w:pPr>
        <w:spacing w:after="0" w:line="138" w:lineRule="exact"/>
        <w:rPr>
          <w:sz w:val="20"/>
          <w:szCs w:val="20"/>
          <w:color w:val="auto"/>
        </w:rPr>
      </w:pPr>
    </w:p>
    <w:p>
      <w:pPr>
        <w:ind w:left="921" w:hanging="464"/>
        <w:spacing w:after="0"/>
        <w:tabs>
          <w:tab w:leader="none" w:pos="921"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Sole power to vote or to direct the vote:</w:t>
      </w:r>
    </w:p>
    <w:p>
      <w:pPr>
        <w:spacing w:after="0" w:line="130" w:lineRule="exact"/>
        <w:rPr>
          <w:sz w:val="20"/>
          <w:szCs w:val="20"/>
          <w:color w:val="auto"/>
        </w:rPr>
      </w:pPr>
    </w:p>
    <w:p>
      <w:pPr>
        <w:ind w:left="461"/>
        <w:spacing w:after="0"/>
        <w:rPr>
          <w:sz w:val="20"/>
          <w:szCs w:val="20"/>
          <w:color w:val="auto"/>
        </w:rPr>
      </w:pPr>
      <w:r>
        <w:rPr>
          <w:rFonts w:ascii="Arial" w:cs="Arial" w:eastAsia="Arial" w:hAnsi="Arial"/>
          <w:sz w:val="19"/>
          <w:szCs w:val="19"/>
          <w:color w:val="auto"/>
        </w:rPr>
        <w:t>See Row 5 for each Reporting Person.</w:t>
      </w:r>
    </w:p>
    <w:p>
      <w:pPr>
        <w:spacing w:after="0" w:line="260" w:lineRule="exact"/>
        <w:rPr>
          <w:sz w:val="20"/>
          <w:szCs w:val="20"/>
          <w:color w:val="auto"/>
        </w:rPr>
      </w:pPr>
    </w:p>
    <w:p>
      <w:pPr>
        <w:ind w:left="921" w:hanging="464"/>
        <w:spacing w:after="0"/>
        <w:tabs>
          <w:tab w:leader="none" w:pos="921"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Shared power to vote or to direct the vote:</w:t>
      </w:r>
    </w:p>
    <w:p>
      <w:pPr>
        <w:spacing w:after="0" w:line="130" w:lineRule="exact"/>
        <w:rPr>
          <w:sz w:val="20"/>
          <w:szCs w:val="20"/>
          <w:color w:val="auto"/>
        </w:rPr>
      </w:pPr>
    </w:p>
    <w:p>
      <w:pPr>
        <w:ind w:left="461"/>
        <w:spacing w:after="0"/>
        <w:rPr>
          <w:sz w:val="20"/>
          <w:szCs w:val="20"/>
          <w:color w:val="auto"/>
        </w:rPr>
      </w:pPr>
      <w:r>
        <w:rPr>
          <w:rFonts w:ascii="Arial" w:cs="Arial" w:eastAsia="Arial" w:hAnsi="Arial"/>
          <w:sz w:val="19"/>
          <w:szCs w:val="19"/>
          <w:color w:val="auto"/>
        </w:rPr>
        <w:t>See Row 6 for each Reporting Person.</w:t>
      </w:r>
    </w:p>
    <w:p>
      <w:pPr>
        <w:spacing w:after="0" w:line="260" w:lineRule="exact"/>
        <w:rPr>
          <w:sz w:val="20"/>
          <w:szCs w:val="20"/>
          <w:color w:val="auto"/>
        </w:rPr>
      </w:pPr>
    </w:p>
    <w:p>
      <w:pPr>
        <w:ind w:left="461"/>
        <w:spacing w:after="0"/>
        <w:tabs>
          <w:tab w:leader="none" w:pos="90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6"/>
          <w:szCs w:val="16"/>
          <w:b w:val="1"/>
          <w:bCs w:val="1"/>
          <w:color w:val="auto"/>
        </w:rPr>
        <w:t>Sole power to dispose or to direct the disposition of:</w:t>
      </w:r>
    </w:p>
    <w:p>
      <w:pPr>
        <w:spacing w:after="0" w:line="130" w:lineRule="exact"/>
        <w:rPr>
          <w:sz w:val="20"/>
          <w:szCs w:val="20"/>
          <w:color w:val="auto"/>
        </w:rPr>
      </w:pPr>
    </w:p>
    <w:p>
      <w:pPr>
        <w:ind w:left="461"/>
        <w:spacing w:after="0"/>
        <w:rPr>
          <w:sz w:val="20"/>
          <w:szCs w:val="20"/>
          <w:color w:val="auto"/>
        </w:rPr>
      </w:pPr>
      <w:r>
        <w:rPr>
          <w:rFonts w:ascii="Arial" w:cs="Arial" w:eastAsia="Arial" w:hAnsi="Arial"/>
          <w:sz w:val="19"/>
          <w:szCs w:val="19"/>
          <w:color w:val="auto"/>
        </w:rPr>
        <w:t>See Row 7 for each Reporting Person.</w:t>
      </w:r>
    </w:p>
    <w:p>
      <w:pPr>
        <w:spacing w:after="0" w:line="260" w:lineRule="exact"/>
        <w:rPr>
          <w:sz w:val="20"/>
          <w:szCs w:val="20"/>
          <w:color w:val="auto"/>
        </w:rPr>
      </w:pPr>
    </w:p>
    <w:p>
      <w:pPr>
        <w:ind w:left="461"/>
        <w:spacing w:after="0"/>
        <w:tabs>
          <w:tab w:leader="none" w:pos="900" w:val="left"/>
        </w:tabs>
        <w:rPr>
          <w:sz w:val="20"/>
          <w:szCs w:val="20"/>
          <w:color w:val="auto"/>
        </w:rPr>
      </w:pPr>
      <w:r>
        <w:rPr>
          <w:rFonts w:ascii="Arial" w:cs="Arial" w:eastAsia="Arial" w:hAnsi="Arial"/>
          <w:sz w:val="19"/>
          <w:szCs w:val="19"/>
          <w:b w:val="1"/>
          <w:bCs w:val="1"/>
          <w:color w:val="auto"/>
        </w:rPr>
        <w:t>(iv)</w:t>
      </w:r>
      <w:r>
        <w:rPr>
          <w:sz w:val="20"/>
          <w:szCs w:val="20"/>
          <w:color w:val="auto"/>
        </w:rPr>
        <w:tab/>
      </w:r>
      <w:r>
        <w:rPr>
          <w:rFonts w:ascii="Arial" w:cs="Arial" w:eastAsia="Arial" w:hAnsi="Arial"/>
          <w:sz w:val="16"/>
          <w:szCs w:val="16"/>
          <w:b w:val="1"/>
          <w:bCs w:val="1"/>
          <w:color w:val="auto"/>
        </w:rPr>
        <w:t>Shared power to dispose or to direct the disposition of:</w:t>
      </w:r>
    </w:p>
    <w:p>
      <w:pPr>
        <w:spacing w:after="0" w:line="130" w:lineRule="exact"/>
        <w:rPr>
          <w:sz w:val="20"/>
          <w:szCs w:val="20"/>
          <w:color w:val="auto"/>
        </w:rPr>
      </w:pPr>
    </w:p>
    <w:p>
      <w:pPr>
        <w:ind w:left="461"/>
        <w:spacing w:after="0"/>
        <w:rPr>
          <w:sz w:val="20"/>
          <w:szCs w:val="20"/>
          <w:color w:val="auto"/>
        </w:rPr>
      </w:pPr>
      <w:r>
        <w:rPr>
          <w:rFonts w:ascii="Arial" w:cs="Arial" w:eastAsia="Arial" w:hAnsi="Arial"/>
          <w:sz w:val="19"/>
          <w:szCs w:val="19"/>
          <w:color w:val="auto"/>
        </w:rPr>
        <w:t>See Row 8 for each Reporting Person.</w:t>
      </w:r>
    </w:p>
    <w:p>
      <w:pPr>
        <w:spacing w:after="0" w:line="167"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Page 5 of 8</w:t>
      </w:r>
    </w:p>
    <w:p>
      <w:pPr>
        <w:sectPr>
          <w:pgSz w:w="12240" w:h="15840" w:orient="portrait"/>
          <w:cols w:equalWidth="0" w:num="1">
            <w:col w:w="11361"/>
          </w:cols>
          <w:pgMar w:left="299" w:top="221" w:right="580"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left="460" w:right="12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ind w:left="1040" w:hanging="1040"/>
        <w:spacing w:after="0" w:line="282" w:lineRule="auto"/>
        <w:tabs>
          <w:tab w:leader="none" w:pos="102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Page 6 of 8</w:t>
      </w:r>
    </w:p>
    <w:p>
      <w:pPr>
        <w:sectPr>
          <w:pgSz w:w="12240" w:h="15840" w:orient="portrait"/>
          <w:cols w:equalWidth="0" w:num="1">
            <w:col w:w="11560"/>
          </w:cols>
          <w:pgMar w:left="300" w:top="136" w:right="380"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w:t>
      </w:r>
    </w:p>
    <w:p>
      <w:pPr>
        <w:spacing w:after="0" w:line="244" w:lineRule="exact"/>
        <w:rPr>
          <w:sz w:val="20"/>
          <w:szCs w:val="20"/>
          <w:color w:val="auto"/>
        </w:rPr>
      </w:pPr>
    </w:p>
    <w:p>
      <w:pPr>
        <w:ind w:right="600"/>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Dated : February 11, 2019</w:t>
      </w:r>
    </w:p>
    <w:p>
      <w:pPr>
        <w:spacing w:after="0" w:line="260"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BioDiscovery 4 FPCI</w:t>
      </w:r>
    </w:p>
    <w:p>
      <w:pPr>
        <w:spacing w:after="0" w:line="244"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Andera Partners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Its Management Company</w:t>
      </w:r>
    </w:p>
    <w:p>
      <w:pPr>
        <w:spacing w:after="0" w:line="225" w:lineRule="exact"/>
        <w:rPr>
          <w:sz w:val="20"/>
          <w:szCs w:val="20"/>
          <w:color w:val="auto"/>
        </w:rPr>
      </w:pPr>
    </w:p>
    <w:tbl>
      <w:tblPr>
        <w:tblLayout w:type="fixed"/>
        <w:tblInd w:w="69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Raphaël Wisniewski</w:t>
            </w:r>
          </w:p>
        </w:tc>
      </w:tr>
      <w:tr>
        <w:trPr>
          <w:trHeight w:val="209"/>
        </w:trPr>
        <w:tc>
          <w:tcPr>
            <w:tcW w:w="560" w:type="dxa"/>
            <w:vAlign w:val="bottom"/>
          </w:tcPr>
          <w:p>
            <w:pPr>
              <w:spacing w:after="0" w:line="209" w:lineRule="exact"/>
              <w:rPr>
                <w:sz w:val="20"/>
                <w:szCs w:val="20"/>
                <w:color w:val="auto"/>
              </w:rPr>
            </w:pPr>
            <w:r>
              <w:rPr>
                <w:rFonts w:ascii="Arial" w:cs="Arial" w:eastAsia="Arial" w:hAnsi="Arial"/>
                <w:sz w:val="19"/>
                <w:szCs w:val="19"/>
                <w:color w:val="auto"/>
                <w:w w:val="96"/>
              </w:rPr>
              <w:t>Name:</w:t>
            </w:r>
          </w:p>
        </w:tc>
        <w:tc>
          <w:tcPr>
            <w:tcW w:w="4100" w:type="dxa"/>
            <w:vAlign w:val="bottom"/>
          </w:tcPr>
          <w:p>
            <w:pPr>
              <w:ind w:left="60"/>
              <w:spacing w:after="0" w:line="209" w:lineRule="exact"/>
              <w:rPr>
                <w:sz w:val="20"/>
                <w:szCs w:val="20"/>
                <w:color w:val="auto"/>
              </w:rPr>
            </w:pPr>
            <w:r>
              <w:rPr>
                <w:rFonts w:ascii="Arial" w:cs="Arial" w:eastAsia="Arial" w:hAnsi="Arial"/>
                <w:sz w:val="19"/>
                <w:szCs w:val="19"/>
                <w:color w:val="auto"/>
              </w:rPr>
              <w:t>Raphaël Wisniewski</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4100" w:type="dxa"/>
            <w:vAlign w:val="bottom"/>
          </w:tcPr>
          <w:p>
            <w:pPr>
              <w:ind w:left="60"/>
              <w:spacing w:after="0"/>
              <w:rPr>
                <w:sz w:val="20"/>
                <w:szCs w:val="20"/>
                <w:color w:val="auto"/>
              </w:rPr>
            </w:pPr>
            <w:r>
              <w:rPr>
                <w:rFonts w:ascii="Arial" w:cs="Arial" w:eastAsia="Arial" w:hAnsi="Arial"/>
                <w:sz w:val="19"/>
                <w:szCs w:val="19"/>
                <w:color w:val="auto"/>
              </w:rPr>
              <w:t>Partner</w:t>
            </w:r>
          </w:p>
        </w:tc>
      </w:tr>
      <w:tr>
        <w:trPr>
          <w:trHeight w:val="685"/>
        </w:trPr>
        <w:tc>
          <w:tcPr>
            <w:tcW w:w="4660" w:type="dxa"/>
            <w:vAlign w:val="bottom"/>
            <w:gridSpan w:val="2"/>
          </w:tcPr>
          <w:p>
            <w:pPr>
              <w:spacing w:after="0"/>
              <w:rPr>
                <w:sz w:val="20"/>
                <w:szCs w:val="20"/>
                <w:color w:val="auto"/>
              </w:rPr>
            </w:pPr>
            <w:r>
              <w:rPr>
                <w:rFonts w:ascii="Arial" w:cs="Arial" w:eastAsia="Arial" w:hAnsi="Arial"/>
                <w:sz w:val="19"/>
                <w:szCs w:val="19"/>
                <w:b w:val="1"/>
                <w:bCs w:val="1"/>
                <w:color w:val="auto"/>
              </w:rPr>
              <w:t>Andera Partners</w:t>
            </w:r>
          </w:p>
        </w:tc>
      </w:tr>
      <w:tr>
        <w:trPr>
          <w:trHeight w:val="456"/>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Raphaël Wisniewski</w:t>
            </w:r>
          </w:p>
        </w:tc>
      </w:tr>
      <w:tr>
        <w:trPr>
          <w:trHeight w:val="209"/>
        </w:trPr>
        <w:tc>
          <w:tcPr>
            <w:tcW w:w="560" w:type="dxa"/>
            <w:vAlign w:val="bottom"/>
          </w:tcPr>
          <w:p>
            <w:pPr>
              <w:spacing w:after="0" w:line="209" w:lineRule="exact"/>
              <w:rPr>
                <w:sz w:val="20"/>
                <w:szCs w:val="20"/>
                <w:color w:val="auto"/>
              </w:rPr>
            </w:pPr>
            <w:r>
              <w:rPr>
                <w:rFonts w:ascii="Arial" w:cs="Arial" w:eastAsia="Arial" w:hAnsi="Arial"/>
                <w:sz w:val="19"/>
                <w:szCs w:val="19"/>
                <w:color w:val="auto"/>
                <w:w w:val="96"/>
              </w:rPr>
              <w:t>Name:</w:t>
            </w:r>
          </w:p>
        </w:tc>
        <w:tc>
          <w:tcPr>
            <w:tcW w:w="4100" w:type="dxa"/>
            <w:vAlign w:val="bottom"/>
          </w:tcPr>
          <w:p>
            <w:pPr>
              <w:ind w:left="60"/>
              <w:spacing w:after="0" w:line="209" w:lineRule="exact"/>
              <w:rPr>
                <w:sz w:val="20"/>
                <w:szCs w:val="20"/>
                <w:color w:val="auto"/>
              </w:rPr>
            </w:pPr>
            <w:r>
              <w:rPr>
                <w:rFonts w:ascii="Arial" w:cs="Arial" w:eastAsia="Arial" w:hAnsi="Arial"/>
                <w:sz w:val="19"/>
                <w:szCs w:val="19"/>
                <w:color w:val="auto"/>
              </w:rPr>
              <w:t>Raphaël Wisniewski</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4100" w:type="dxa"/>
            <w:vAlign w:val="bottom"/>
          </w:tcPr>
          <w:p>
            <w:pPr>
              <w:ind w:left="60"/>
              <w:spacing w:after="0"/>
              <w:rPr>
                <w:sz w:val="20"/>
                <w:szCs w:val="20"/>
                <w:color w:val="auto"/>
              </w:rPr>
            </w:pPr>
            <w:r>
              <w:rPr>
                <w:rFonts w:ascii="Arial" w:cs="Arial" w:eastAsia="Arial" w:hAnsi="Arial"/>
                <w:sz w:val="19"/>
                <w:szCs w:val="19"/>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84" w:lineRule="exact"/>
        <w:rPr>
          <w:sz w:val="20"/>
          <w:szCs w:val="20"/>
          <w:color w:val="auto"/>
        </w:rPr>
      </w:pPr>
    </w:p>
    <w:p>
      <w:pPr>
        <w:jc w:val="center"/>
        <w:spacing w:after="0" w:line="454" w:lineRule="auto"/>
        <w:rPr>
          <w:sz w:val="20"/>
          <w:szCs w:val="20"/>
          <w:color w:val="auto"/>
        </w:rPr>
      </w:pPr>
      <w:r>
        <w:rPr>
          <w:rFonts w:ascii="Arial" w:cs="Arial" w:eastAsia="Arial" w:hAnsi="Arial"/>
          <w:sz w:val="19"/>
          <w:szCs w:val="19"/>
          <w:b w:val="1"/>
          <w:bCs w:val="1"/>
          <w:color w:val="auto"/>
        </w:rPr>
        <w:t xml:space="preserve">Attention: Intentional misstatements or omissions of fact constitute Federal criminal violations (See 18 U.S.C. 1001). </w:t>
      </w:r>
      <w:r>
        <w:rPr>
          <w:rFonts w:ascii="Arial" w:cs="Arial" w:eastAsia="Arial" w:hAnsi="Arial"/>
          <w:sz w:val="19"/>
          <w:szCs w:val="19"/>
          <w:color w:val="auto"/>
        </w:rPr>
        <w:t>Page 7 of 8</w:t>
      </w:r>
    </w:p>
    <w:p>
      <w:pPr>
        <w:sectPr>
          <w:pgSz w:w="12240" w:h="15840" w:orient="portrait"/>
          <w:cols w:equalWidth="0" w:num="1">
            <w:col w:w="11640"/>
          </w:cols>
          <w:pgMar w:left="300" w:top="136" w:right="300"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EXHIBIT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JOINT FILING AGREEMENT</w:t>
      </w:r>
    </w:p>
    <w:p>
      <w:pPr>
        <w:spacing w:after="0" w:line="225" w:lineRule="exact"/>
        <w:rPr>
          <w:sz w:val="20"/>
          <w:szCs w:val="20"/>
          <w:color w:val="auto"/>
        </w:rPr>
      </w:pPr>
    </w:p>
    <w:p>
      <w:pPr>
        <w:ind w:right="140" w:firstLine="465"/>
        <w:spacing w:after="0" w:line="256" w:lineRule="auto"/>
        <w:rPr>
          <w:sz w:val="20"/>
          <w:szCs w:val="20"/>
          <w:color w:val="auto"/>
        </w:rPr>
      </w:pPr>
      <w:r>
        <w:rPr>
          <w:rFonts w:ascii="Arial" w:cs="Arial" w:eastAsia="Arial" w:hAnsi="Arial"/>
          <w:sz w:val="19"/>
          <w:szCs w:val="19"/>
          <w:color w:val="auto"/>
        </w:rPr>
        <w:t>In accordance with Rule 13d-1(k) under the Securities Exchange Act of 1934, as amended, the undersigned agree to the joint filing on behalf of each of them of a statement on Schedule 13G (including amendments thereto) with respect to the ordinary shares and American Depositary Shares of Verona Pharma, PLC and further agree that this Agreement be included as an exhibit to such filing. Each party to the agreement expressly authorized each other party to file on its behalf any and all amendments to such statement. Each party to this agreement agrees that this joint filing agreement may be signed in counterparts.</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Dated : February 11, 2019</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BioDiscovery 4 FPCI</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Andera Partners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Its Management Company</w:t>
      </w:r>
    </w:p>
    <w:p>
      <w:pPr>
        <w:spacing w:after="0" w:line="225" w:lineRule="exact"/>
        <w:rPr>
          <w:sz w:val="20"/>
          <w:szCs w:val="20"/>
          <w:color w:val="auto"/>
        </w:rPr>
      </w:pPr>
    </w:p>
    <w:tbl>
      <w:tblPr>
        <w:tblLayout w:type="fixed"/>
        <w:tblInd w:w="69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Raphaël Wisniewski</w:t>
            </w:r>
          </w:p>
        </w:tc>
      </w:tr>
      <w:tr>
        <w:trPr>
          <w:trHeight w:val="209"/>
        </w:trPr>
        <w:tc>
          <w:tcPr>
            <w:tcW w:w="560" w:type="dxa"/>
            <w:vAlign w:val="bottom"/>
          </w:tcPr>
          <w:p>
            <w:pPr>
              <w:spacing w:after="0" w:line="209" w:lineRule="exact"/>
              <w:rPr>
                <w:sz w:val="20"/>
                <w:szCs w:val="20"/>
                <w:color w:val="auto"/>
              </w:rPr>
            </w:pPr>
            <w:r>
              <w:rPr>
                <w:rFonts w:ascii="Arial" w:cs="Arial" w:eastAsia="Arial" w:hAnsi="Arial"/>
                <w:sz w:val="19"/>
                <w:szCs w:val="19"/>
                <w:color w:val="auto"/>
                <w:w w:val="96"/>
              </w:rPr>
              <w:t>Name:</w:t>
            </w:r>
          </w:p>
        </w:tc>
        <w:tc>
          <w:tcPr>
            <w:tcW w:w="4100" w:type="dxa"/>
            <w:vAlign w:val="bottom"/>
          </w:tcPr>
          <w:p>
            <w:pPr>
              <w:ind w:left="60"/>
              <w:spacing w:after="0" w:line="209" w:lineRule="exact"/>
              <w:rPr>
                <w:sz w:val="20"/>
                <w:szCs w:val="20"/>
                <w:color w:val="auto"/>
              </w:rPr>
            </w:pPr>
            <w:r>
              <w:rPr>
                <w:rFonts w:ascii="Arial" w:cs="Arial" w:eastAsia="Arial" w:hAnsi="Arial"/>
                <w:sz w:val="19"/>
                <w:szCs w:val="19"/>
                <w:color w:val="auto"/>
              </w:rPr>
              <w:t>Raphaël Wisniewski</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4100" w:type="dxa"/>
            <w:vAlign w:val="bottom"/>
          </w:tcPr>
          <w:p>
            <w:pPr>
              <w:ind w:left="60"/>
              <w:spacing w:after="0"/>
              <w:rPr>
                <w:sz w:val="20"/>
                <w:szCs w:val="20"/>
                <w:color w:val="auto"/>
              </w:rPr>
            </w:pPr>
            <w:r>
              <w:rPr>
                <w:rFonts w:ascii="Arial" w:cs="Arial" w:eastAsia="Arial" w:hAnsi="Arial"/>
                <w:sz w:val="19"/>
                <w:szCs w:val="19"/>
                <w:color w:val="auto"/>
              </w:rPr>
              <w:t>Partner</w:t>
            </w:r>
          </w:p>
        </w:tc>
      </w:tr>
      <w:tr>
        <w:trPr>
          <w:trHeight w:val="685"/>
        </w:trPr>
        <w:tc>
          <w:tcPr>
            <w:tcW w:w="4660" w:type="dxa"/>
            <w:vAlign w:val="bottom"/>
            <w:gridSpan w:val="2"/>
          </w:tcPr>
          <w:p>
            <w:pPr>
              <w:spacing w:after="0"/>
              <w:rPr>
                <w:sz w:val="20"/>
                <w:szCs w:val="20"/>
                <w:color w:val="auto"/>
              </w:rPr>
            </w:pPr>
            <w:r>
              <w:rPr>
                <w:rFonts w:ascii="Arial" w:cs="Arial" w:eastAsia="Arial" w:hAnsi="Arial"/>
                <w:sz w:val="19"/>
                <w:szCs w:val="19"/>
                <w:color w:val="auto"/>
              </w:rPr>
              <w:t>Andera Partners</w:t>
            </w:r>
          </w:p>
        </w:tc>
      </w:tr>
      <w:tr>
        <w:trPr>
          <w:trHeight w:val="456"/>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Raphaël Wisniewski</w:t>
            </w:r>
          </w:p>
        </w:tc>
      </w:tr>
      <w:tr>
        <w:trPr>
          <w:trHeight w:val="209"/>
        </w:trPr>
        <w:tc>
          <w:tcPr>
            <w:tcW w:w="560" w:type="dxa"/>
            <w:vAlign w:val="bottom"/>
          </w:tcPr>
          <w:p>
            <w:pPr>
              <w:spacing w:after="0" w:line="209" w:lineRule="exact"/>
              <w:rPr>
                <w:sz w:val="20"/>
                <w:szCs w:val="20"/>
                <w:color w:val="auto"/>
              </w:rPr>
            </w:pPr>
            <w:r>
              <w:rPr>
                <w:rFonts w:ascii="Arial" w:cs="Arial" w:eastAsia="Arial" w:hAnsi="Arial"/>
                <w:sz w:val="19"/>
                <w:szCs w:val="19"/>
                <w:color w:val="auto"/>
                <w:w w:val="96"/>
              </w:rPr>
              <w:t>Name:</w:t>
            </w:r>
          </w:p>
        </w:tc>
        <w:tc>
          <w:tcPr>
            <w:tcW w:w="4100" w:type="dxa"/>
            <w:vAlign w:val="bottom"/>
          </w:tcPr>
          <w:p>
            <w:pPr>
              <w:ind w:left="60"/>
              <w:spacing w:after="0" w:line="209" w:lineRule="exact"/>
              <w:rPr>
                <w:sz w:val="20"/>
                <w:szCs w:val="20"/>
                <w:color w:val="auto"/>
              </w:rPr>
            </w:pPr>
            <w:r>
              <w:rPr>
                <w:rFonts w:ascii="Arial" w:cs="Arial" w:eastAsia="Arial" w:hAnsi="Arial"/>
                <w:sz w:val="19"/>
                <w:szCs w:val="19"/>
                <w:color w:val="auto"/>
              </w:rPr>
              <w:t>Raphaël Wisniewski</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4100" w:type="dxa"/>
            <w:vAlign w:val="bottom"/>
          </w:tcPr>
          <w:p>
            <w:pPr>
              <w:ind w:left="60"/>
              <w:spacing w:after="0"/>
              <w:rPr>
                <w:sz w:val="20"/>
                <w:szCs w:val="20"/>
                <w:color w:val="auto"/>
              </w:rPr>
            </w:pPr>
            <w:r>
              <w:rPr>
                <w:rFonts w:ascii="Arial" w:cs="Arial" w:eastAsia="Arial" w:hAnsi="Arial"/>
                <w:sz w:val="19"/>
                <w:szCs w:val="19"/>
                <w:color w:val="auto"/>
              </w:rPr>
              <w:t>Partner</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8 of 8</w:t>
      </w:r>
    </w:p>
    <w:sectPr>
      <w:pgSz w:w="12240" w:h="15840" w:orient="portrait"/>
      <w:cols w:equalWidth="0" w:num="1">
        <w:col w:w="11640"/>
      </w:cols>
      <w:pgMar w:left="300" w:top="136"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1"/>
    </w:lvl>
    <w:lvl w:ilvl="1">
      <w:lvlJc w:val="left"/>
      <w:lvlText w:val="(%2)"/>
      <w:numFmt w:val="lowerRoman"/>
      <w:start w:val="1"/>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1)"/>
      <w:numFmt w:val="lowerLetter"/>
      <w:start w:val="4"/>
    </w:lvl>
  </w:abstractNum>
  <w:abstractNum w:abstractNumId="11">
    <w:nsid w:val="41A7C4C9"/>
    <w:multiLevelType w:val="hybridMultilevel"/>
    <w:lvl w:ilvl="0">
      <w:lvlJc w:val="left"/>
      <w:lvlText w:val="(%1)"/>
      <w:numFmt w:val="lowerLetter"/>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2019-12-15T19:49:36Z</dcterms:created>
  <dcterms:modified xsi:type="dcterms:W3CDTF">2019-12-15T19:49:36Z</dcterms:modified>
</cp:coreProperties>
</file>