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June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Verona Pharma plc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p>
      <w:pPr>
        <w:spacing w:after="0" w:line="200" w:lineRule="exact"/>
        <w:rPr>
          <w:sz w:val="24"/>
          <w:szCs w:val="24"/>
          <w:color w:val="auto"/>
        </w:rPr>
      </w:pPr>
    </w:p>
    <w:p>
      <w:pPr>
        <w:spacing w:after="0" w:line="289" w:lineRule="exact"/>
        <w:rPr>
          <w:sz w:val="24"/>
          <w:szCs w:val="24"/>
          <w:color w:val="auto"/>
        </w:rPr>
      </w:pPr>
    </w:p>
    <w:p>
      <w:pPr>
        <w:ind w:left="1280"/>
        <w:spacing w:after="0"/>
        <w:rPr>
          <w:sz w:val="20"/>
          <w:szCs w:val="20"/>
          <w:color w:val="auto"/>
        </w:rPr>
      </w:pPr>
      <w:r>
        <w:rPr>
          <w:rFonts w:ascii="Arial" w:cs="Arial" w:eastAsia="Arial" w:hAnsi="Arial"/>
          <w:sz w:val="18"/>
          <w:szCs w:val="18"/>
          <w:b w:val="1"/>
          <w:bCs w:val="1"/>
          <w:color w:val="auto"/>
        </w:rPr>
        <w:t>United Kingdom</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1760"/>
        <w:spacing w:after="0"/>
        <w:rPr>
          <w:sz w:val="20"/>
          <w:szCs w:val="20"/>
          <w:color w:val="auto"/>
        </w:rPr>
      </w:pPr>
      <w:r>
        <w:rPr>
          <w:rFonts w:ascii="Arial" w:cs="Arial" w:eastAsia="Arial" w:hAnsi="Arial"/>
          <w:sz w:val="18"/>
          <w:szCs w:val="18"/>
          <w:b w:val="1"/>
          <w:bCs w:val="1"/>
          <w:color w:val="auto"/>
        </w:rPr>
        <w:t>001-39067</w:t>
      </w:r>
    </w:p>
    <w:p>
      <w:pPr>
        <w:spacing w:after="0" w:line="27" w:lineRule="exact"/>
        <w:rPr>
          <w:sz w:val="24"/>
          <w:szCs w:val="24"/>
          <w:color w:val="auto"/>
        </w:rPr>
      </w:pPr>
    </w:p>
    <w:p>
      <w:pPr>
        <w:jc w:val="center"/>
        <w:ind w:right="176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76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500" w:space="720"/>
            <w:col w:w="2800" w:space="720"/>
            <w:col w:w="2500"/>
          </w:cols>
          <w:pgMar w:left="320" w:top="544"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 More London Riverside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London SE1 2RE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+44 203 283 4200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p>
      <w:pPr>
        <w:spacing w:after="0" w:line="200" w:lineRule="exact"/>
        <w:rPr>
          <w:sz w:val="24"/>
          <w:szCs w:val="24"/>
          <w:color w:val="auto"/>
        </w:rPr>
      </w:pPr>
    </w:p>
    <w:p>
      <w:pPr>
        <w:spacing w:after="0" w:line="31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8"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Written communications pursuant to Rule 425 under the Securities Act (17 CFR 230.425)</w:t>
      </w:r>
    </w:p>
    <w:p>
      <w:pPr>
        <w:spacing w:after="0" w:line="232"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Soliciting material pursuant to Rule 14a-12 under the Exchange Act (17 CFR 240.14a-12)</w:t>
      </w:r>
    </w:p>
    <w:p>
      <w:pPr>
        <w:spacing w:after="0" w:line="218"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Pre-commencement communications pursuant to Rule 14d-2(b) under the Exchange Act (17 CFR 240.14d-2(b))</w:t>
      </w:r>
    </w:p>
    <w:p>
      <w:pPr>
        <w:spacing w:after="0" w:line="232"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Pre-commencement communications pursuant to Rule 13e-4(c) under the Exchange Act (17 CFR 240.13e-4(c))</w:t>
      </w:r>
    </w:p>
    <w:p>
      <w:pPr>
        <w:spacing w:after="0" w:line="24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195"/>
        </w:trPr>
        <w:tc>
          <w:tcPr>
            <w:tcW w:w="4180" w:type="dxa"/>
            <w:vAlign w:val="bottom"/>
            <w:tcBorders>
              <w:top w:val="single" w:sz="8" w:color="auto"/>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Title of each class</w:t>
            </w:r>
          </w:p>
        </w:tc>
        <w:tc>
          <w:tcPr>
            <w:tcW w:w="370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Trading Symbol(s)</w:t>
            </w:r>
          </w:p>
        </w:tc>
        <w:tc>
          <w:tcPr>
            <w:tcW w:w="3360" w:type="dxa"/>
            <w:vAlign w:val="bottom"/>
            <w:tcBorders>
              <w:top w:val="single" w:sz="8" w:color="auto"/>
              <w:right w:val="single" w:sz="8" w:color="auto"/>
            </w:tcBorders>
          </w:tcPr>
          <w:p>
            <w:pPr>
              <w:ind w:left="440"/>
              <w:spacing w:after="0" w:line="195" w:lineRule="exact"/>
              <w:rPr>
                <w:sz w:val="20"/>
                <w:szCs w:val="20"/>
                <w:color w:val="auto"/>
              </w:rPr>
            </w:pPr>
            <w:r>
              <w:rPr>
                <w:rFonts w:ascii="Arial" w:cs="Arial" w:eastAsia="Arial" w:hAnsi="Arial"/>
                <w:sz w:val="18"/>
                <w:szCs w:val="18"/>
                <w:color w:val="auto"/>
              </w:rPr>
              <w:t>Name of each exchange on which</w:t>
            </w:r>
          </w:p>
        </w:tc>
      </w:tr>
      <w:tr>
        <w:trPr>
          <w:trHeight w:val="230"/>
        </w:trPr>
        <w:tc>
          <w:tcPr>
            <w:tcW w:w="418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registered</w:t>
            </w:r>
          </w:p>
        </w:tc>
      </w:tr>
      <w:tr>
        <w:trPr>
          <w:trHeight w:val="210"/>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Ordinary shares, nominal value £0.05 per share*</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VRNA</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202" w:lineRule="exact"/>
        <w:rPr>
          <w:sz w:val="24"/>
          <w:szCs w:val="24"/>
          <w:color w:val="auto"/>
        </w:rPr>
      </w:pPr>
    </w:p>
    <w:p>
      <w:pPr>
        <w:jc w:val="both"/>
        <w:ind w:right="480"/>
        <w:spacing w:after="0" w:line="277" w:lineRule="auto"/>
        <w:rPr>
          <w:sz w:val="20"/>
          <w:szCs w:val="20"/>
          <w:color w:val="auto"/>
        </w:rPr>
      </w:pPr>
      <w:r>
        <w:rPr>
          <w:rFonts w:ascii="Arial" w:cs="Arial" w:eastAsia="Arial" w:hAnsi="Arial"/>
          <w:sz w:val="18"/>
          <w:szCs w:val="18"/>
          <w:i w:val="1"/>
          <w:iCs w:val="1"/>
          <w:color w:val="auto"/>
        </w:rPr>
        <w:t>* The ordinary shares are represented by American Depositary Shares (each representing 8 ordinary shares), which are exempt from the operation of Section 12(a) of the Securities Exchange Act of 1934, as amended, pursuant to Rule 12a-8 thereunder.</w:t>
      </w:r>
    </w:p>
    <w:p>
      <w:pPr>
        <w:spacing w:after="0" w:line="170" w:lineRule="exact"/>
        <w:rPr>
          <w:sz w:val="24"/>
          <w:szCs w:val="24"/>
          <w:color w:val="auto"/>
        </w:rPr>
      </w:pPr>
    </w:p>
    <w:p>
      <w:pPr>
        <w:jc w:val="both"/>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On June 9, 2021, Verona Pharma plc (the “Company”) and Nuance Pharma Limited, a Shanghai-based specialty pharmaceutical company (“Nuance Pharma”), entered into a collaboration and license agreement (the “Agreement”).</w:t>
      </w:r>
    </w:p>
    <w:p>
      <w:pPr>
        <w:spacing w:after="0" w:line="17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Under the terms of the Agreement, the Company granted Nuance Pharma the exclusive rights to develop and commercialize products containing ensifentrine (the “Licensed Products”) in Greater China (mainland China, Taiwan, Hong Kong and Macau). Pursuant to the Agreement, Nuance Pharma agreed to make an upfront payment to the Company of $25 million in cash and grant to the Company an equity interest valued at $15 million as of the date of the Agreement in Nuance Biotech, the parent company of Nuance Pharma. Pursuant to the Agreement, the Company is eligible to receive future milestone payments of up to $179 million upon achievement of certain clinical, regulatory, and commercial milestones related to the Licensed Products in Greater China. The Company is also entitled to tiered double-digit royalties as a percentage of net sales of the Licensed Products in Greater China.</w:t>
      </w:r>
    </w:p>
    <w:p>
      <w:pPr>
        <w:spacing w:after="0" w:line="164"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Nuance Pharma will be responsible for all costs related to clinical development and commercialization of the Licensed Products in Greater China. Under the Agreement, the Company and Nuance Pharma agreed to establish a joint steering committee to oversee and coordinate the overall conduct of the clinical development and commercialization of the Licensed Products in Greater China. The Company intends to use the joint steering committee to help ensure the clinical development of ensifentrine in the region aligns with the Company’s overall global development and commercialization strategy.</w:t>
      </w:r>
    </w:p>
    <w:p>
      <w:pPr>
        <w:spacing w:after="0" w:line="15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Pursuant to the Agreement, at any time until three (3) months prior to the expected submission of the first New Drug Application for a Licensed Product in Greater China, if (i) a third party is interested in partnering with the Company, either globally or in territory covering at least the United States or Europe, for the development and/or commercialization of the Licensed Products, or (ii) the Company undergoes a change of control, the Company will have an exclusive option right to buy back the license granted to Nuance Pharma pursuant to the Agreement and all related assets, at a price equal to the aggregate of (i) all prior amounts paid by Nuance Pharma to the Company in cash under the Agreement and (ii) all development and regulatory costs incurred and paid by Nuance Pharma in connection with the development and commercialization of the Licensed Products under the Agreement multiplied by a single-digit factor range dependent upon achievement of certain milestones, subject to a specified maximum amount.</w:t>
      </w:r>
    </w:p>
    <w:p>
      <w:pPr>
        <w:spacing w:after="0" w:line="16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Agreement will continue on a jurisdiction-by-jurisdiction and product-by-product basis until the expiration of royalty payment obligations with respect to such product in such jurisdiction unless earlier terminated by the parties. Either party may terminate the Agreement for an uncured material breach or bankruptcy of the other party. Nuance Pharma may also terminate the Agreement at will upon 90 days' prior written notice.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Current Report on Form 8-K (the “Form 8-K”) contains forward-looking statements within the meaning of the Private Securities Litigation Reform Act of 1995. All statements contained in this Form 8-K that do not relate to matters of historical fact should be considered forward-looking statements, including, but not limited to, statements regarding milestone payments, royalties and other financial terms and activities under the Agreement with Nuance Pharma. 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the reliance of our business on the success of ensifentrine, our only product candidate under development; if we, and any collaborators with whom we may enter into agreements for the development and commercialization of ensifentrine, are unable to commercialize ensifentrine, or experience significant delays in doing so, our ability to generate revenue and our financial condition will be adversely affected; the lengthy and expensive process of clinical drug development, which has an uncertain outcome; our reliance on third parties, including clinical research organizations, clinical investigators, manufacturers and suppliers, and the risks related to these parties’ ability to successfully develop and commercialize ensifentrine; lawsuits related to patents covering ensifentrine and the potential for our patents to be found invalid or unenforceable; and our vulnerability to natural disasters, global economic factors and other unexpected events, including health epidemics or pandemics like the COVID-19 pandemic, which has and may continue to adversely impact our business. These and other important factors under the caption “Risk Factors” in our Annual Report on Form 10-K for the year ended December 31, 2020, and our other reports filed with the SEC, could cause actual results to differ materially from those indicated by the forward-looking statements made in this Form 8-K. Any such forward-looking statements represent management's estimates as of the date of this Form 8-K.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Arial" w:cs="Arial" w:eastAsia="Arial" w:hAnsi="Arial"/>
                <w:sz w:val="18"/>
                <w:szCs w:val="18"/>
                <w:b w:val="1"/>
                <w:bCs w:val="1"/>
                <w:color w:val="auto"/>
              </w:rPr>
              <w:t>VERONA PHARMA PLC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June 11, 2021</w:t>
            </w:r>
          </w:p>
        </w:tc>
        <w:tc>
          <w:tcPr>
            <w:tcW w:w="2660" w:type="dxa"/>
            <w:vAlign w:val="bottom"/>
          </w:tcPr>
          <w:p>
            <w:pPr>
              <w:ind w:left="21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Zaccardelli, Pharm. D.</w:t>
            </w:r>
          </w:p>
        </w:tc>
      </w:tr>
      <w:tr>
        <w:trPr>
          <w:trHeight w:val="195"/>
        </w:trPr>
        <w:tc>
          <w:tcPr>
            <w:tcW w:w="3540" w:type="dxa"/>
            <w:vAlign w:val="bottom"/>
          </w:tcPr>
          <w:p>
            <w:pPr>
              <w:spacing w:after="0"/>
              <w:rPr>
                <w:sz w:val="16"/>
                <w:szCs w:val="16"/>
                <w:color w:val="auto"/>
              </w:rPr>
            </w:pPr>
          </w:p>
        </w:tc>
        <w:tc>
          <w:tcPr>
            <w:tcW w:w="2660" w:type="dxa"/>
            <w:vAlign w:val="bottom"/>
          </w:tcPr>
          <w:p>
            <w:pPr>
              <w:ind w:left="210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David Zaccardelli, Pharm. D.</w:t>
            </w:r>
          </w:p>
        </w:tc>
      </w:tr>
      <w:tr>
        <w:trPr>
          <w:trHeight w:val="230"/>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75"/>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2021-06-11T15:30:26Z</dcterms:created>
  <dcterms:modified xsi:type="dcterms:W3CDTF">2021-06-11T15:30:26Z</dcterms:modified>
</cp:coreProperties>
</file>