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2222500</wp:posOffset>
            </wp:positionH>
            <wp:positionV relativeFrom="page">
              <wp:posOffset>2265680</wp:posOffset>
            </wp:positionV>
            <wp:extent cx="3441065" cy="1717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41065" cy="1717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2940"/>
        <w:spacing w:after="0"/>
        <w:rPr>
          <w:sz w:val="20"/>
          <w:szCs w:val="20"/>
          <w:color w:val="auto"/>
        </w:rPr>
      </w:pPr>
      <w:r>
        <w:rPr>
          <w:rFonts w:ascii="Arial" w:cs="Arial" w:eastAsia="Arial" w:hAnsi="Arial"/>
          <w:sz w:val="34"/>
          <w:szCs w:val="34"/>
          <w:b w:val="1"/>
          <w:bCs w:val="1"/>
          <w:color w:val="auto"/>
        </w:rPr>
        <w:t>Verona Pharma plc</w:t>
      </w:r>
    </w:p>
    <w:p>
      <w:pPr>
        <w:spacing w:after="0" w:line="231" w:lineRule="exact"/>
        <w:rPr>
          <w:sz w:val="24"/>
          <w:szCs w:val="24"/>
          <w:color w:val="auto"/>
        </w:rPr>
      </w:pPr>
    </w:p>
    <w:p>
      <w:pPr>
        <w:ind w:left="2920"/>
        <w:spacing w:after="0"/>
        <w:rPr>
          <w:sz w:val="20"/>
          <w:szCs w:val="20"/>
          <w:color w:val="auto"/>
        </w:rPr>
      </w:pPr>
      <w:r>
        <w:rPr>
          <w:rFonts w:ascii="Arial" w:cs="Arial" w:eastAsia="Arial" w:hAnsi="Arial"/>
          <w:sz w:val="35"/>
          <w:szCs w:val="35"/>
          <w:color w:val="auto"/>
        </w:rPr>
        <w:t>2024 Annual Report</w:t>
      </w:r>
    </w:p>
    <w:p>
      <w:pPr>
        <w:sectPr>
          <w:pgSz w:w="11880" w:h="15480" w:orient="portrait"/>
          <w:cols w:equalWidth="0" w:num="1">
            <w:col w:w="9000"/>
          </w:cols>
          <w:pgMar w:left="1440" w:top="1440" w:right="1440" w:bottom="1440"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4803140</wp:posOffset>
            </wp:positionH>
            <wp:positionV relativeFrom="page">
              <wp:posOffset>605790</wp:posOffset>
            </wp:positionV>
            <wp:extent cx="1916430" cy="956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6430" cy="95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Dear Shareholders,</w:t>
      </w:r>
    </w:p>
    <w:p>
      <w:pPr>
        <w:spacing w:after="0" w:line="245"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20"/>
          <w:szCs w:val="20"/>
          <w:color w:val="auto"/>
        </w:rPr>
        <w:t>2024 was another transformational year for Verona Pharma with the US approval and launch of Ohtuvayre</w:t>
      </w:r>
      <w:r>
        <w:rPr>
          <w:rFonts w:ascii="Arial" w:cs="Arial" w:eastAsia="Arial" w:hAnsi="Arial"/>
          <w:sz w:val="12"/>
          <w:szCs w:val="12"/>
          <w:color w:val="auto"/>
        </w:rPr>
        <w:t>TM</w:t>
      </w:r>
      <w:r>
        <w:rPr>
          <w:rFonts w:ascii="Arial" w:cs="Arial" w:eastAsia="Arial" w:hAnsi="Arial"/>
          <w:sz w:val="20"/>
          <w:szCs w:val="20"/>
          <w:color w:val="auto"/>
        </w:rPr>
        <w:t xml:space="preserve"> (ensifentrine), the first novel inhaled therapy available for the maintenance treatment of Chronic Obstructive Pulmonary Disease (“COPD”) in over 20 years. We are very pleased with the extremely strong start to the launch, which continues to build momentum with more prescriptions dispensed through the first two months of 2025 than in the entire fourth quarter of 2024.</w:t>
      </w:r>
    </w:p>
    <w:p>
      <w:pPr>
        <w:spacing w:after="0" w:line="152" w:lineRule="exact"/>
        <w:rPr>
          <w:sz w:val="20"/>
          <w:szCs w:val="20"/>
          <w:color w:val="auto"/>
        </w:rPr>
      </w:pPr>
    </w:p>
    <w:p>
      <w:pPr>
        <w:jc w:val="both"/>
        <w:ind w:left="20" w:right="20"/>
        <w:spacing w:after="0" w:line="329" w:lineRule="auto"/>
        <w:rPr>
          <w:sz w:val="20"/>
          <w:szCs w:val="20"/>
          <w:color w:val="auto"/>
        </w:rPr>
      </w:pPr>
      <w:r>
        <w:rPr>
          <w:rFonts w:ascii="Arial" w:cs="Arial" w:eastAsia="Arial" w:hAnsi="Arial"/>
          <w:sz w:val="17"/>
          <w:szCs w:val="17"/>
          <w:color w:val="auto"/>
        </w:rPr>
        <w:t>More than 4,600 unique healthcare professionals (“HCPs”) including approximately 55% of our Tier 1 HCPs have prescribed Ohtuvayre through February 2025. Additionally, more than 275 HCPs have prescribed Ohtuvayre to over 20 patients in their practice. Ohtuvayre is being prescribed for maintenance therapy across a broad COPD population including those receiving background single, dual and approximately 50% on triple therapy.</w:t>
      </w:r>
    </w:p>
    <w:p>
      <w:pPr>
        <w:spacing w:after="0" w:line="10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9"/>
          <w:szCs w:val="19"/>
          <w:color w:val="auto"/>
        </w:rPr>
        <w:t>We recorded net product sales of $36.6 million in the fourth quarter and $42.3 million for full year 2024 after approval in June 2024. Our balance sheet remains strong with approximately $400 million in cash and cash equivalents at December 31, 2024. While it is still early in the launch, feedback from HCPs and patients is consistently positive with month over month growth in dispensed prescriptions, new patient starts and refills. These remarkable data strengthen our belief that Ohtuvayre's novel bronchodilator and non-steroidal anti-inflammatory activity will redefine the treatment paradigm for COPD.</w:t>
      </w:r>
    </w:p>
    <w:p>
      <w:pPr>
        <w:spacing w:after="0" w:line="146" w:lineRule="exact"/>
        <w:rPr>
          <w:sz w:val="20"/>
          <w:szCs w:val="20"/>
          <w:color w:val="auto"/>
        </w:rPr>
      </w:pPr>
    </w:p>
    <w:p>
      <w:pPr>
        <w:jc w:val="both"/>
        <w:ind w:left="20" w:right="20"/>
        <w:spacing w:after="0" w:line="315" w:lineRule="auto"/>
        <w:rPr>
          <w:sz w:val="20"/>
          <w:szCs w:val="20"/>
          <w:color w:val="auto"/>
        </w:rPr>
      </w:pPr>
      <w:r>
        <w:rPr>
          <w:rFonts w:ascii="Arial" w:cs="Arial" w:eastAsia="Arial" w:hAnsi="Arial"/>
          <w:sz w:val="17"/>
          <w:szCs w:val="17"/>
          <w:color w:val="auto"/>
        </w:rPr>
        <w:t>Alongside our commercialization efforts, in the third quarter we initiated two Phase 2 clinical trials: a dose-ranging trial with glycopyrrolate, a long-acting muscarinic antagonist (“LAMA”), to support a nebulized fixed-dose combination of ensifentrine and glycopyrrolate for the maintenance treatment of COPD, and a study assessing the safety and efficacy of nebulized ensifentrine in patients with non-cystic fibrosis bronchiectasis (“bronchiectasis”). The glycopyrrolate dose-ranging trial was successfully completed and we plan to initiate a dose ranging Phase 2b trial with a fixed-dose combination of ensifentrine and glycopyrrolate in the second half of 2025.</w:t>
      </w:r>
    </w:p>
    <w:p>
      <w:pPr>
        <w:spacing w:after="0" w:line="122"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20"/>
          <w:szCs w:val="20"/>
          <w:color w:val="auto"/>
        </w:rPr>
        <w:t>In addition to our successful Ohtuvayre launch, our development partner in Greater China, Nuance Pharma, announced in February 2025 that Ohtuvayre was approved in Macau, the first approval outside of the US, for the maintenance treatment of COPD. In addition, Nuance Pharma has completed enrollment in its own pivotal Phase 3 trial in China to evaluate ensifentrine for the maintenance treatment of COPD and expects to report results in mid-2025.</w:t>
      </w:r>
    </w:p>
    <w:p>
      <w:pPr>
        <w:spacing w:after="0" w:line="158" w:lineRule="exact"/>
        <w:rPr>
          <w:sz w:val="20"/>
          <w:szCs w:val="20"/>
          <w:color w:val="auto"/>
        </w:rPr>
      </w:pPr>
    </w:p>
    <w:p>
      <w:pPr>
        <w:jc w:val="both"/>
        <w:ind w:left="20" w:right="20"/>
        <w:spacing w:after="0" w:line="339" w:lineRule="auto"/>
        <w:rPr>
          <w:sz w:val="20"/>
          <w:szCs w:val="20"/>
          <w:color w:val="auto"/>
        </w:rPr>
      </w:pPr>
      <w:r>
        <w:rPr>
          <w:rFonts w:ascii="Arial" w:cs="Arial" w:eastAsia="Arial" w:hAnsi="Arial"/>
          <w:sz w:val="17"/>
          <w:szCs w:val="17"/>
          <w:color w:val="auto"/>
        </w:rPr>
        <w:t>We are also initiating activities with regulatory authorities in the European Union and the UK for potential marketing authorization application submissions for Ohtuvayre. We are excited by the initial impact of Ohtuvayre and look forward to building on this momentum in 2025 while progressing our Phase 2 programs and our global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David Zaccardelli</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20"/>
          <w:szCs w:val="20"/>
          <w:color w:val="auto"/>
        </w:rPr>
        <w:t>President and Chief Executive Officer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March 18, 2025</w:t>
      </w:r>
    </w:p>
    <w:p>
      <w:pPr>
        <w:sectPr>
          <w:pgSz w:w="11880" w:h="15480" w:orient="portrait"/>
          <w:cols w:equalWidth="0" w:num="1">
            <w:col w:w="9000"/>
          </w:cols>
          <w:pgMar w:left="1440" w:top="1440" w:right="1440" w:bottom="1440" w:gutter="0" w:footer="0" w:header="0"/>
        </w:sectPr>
      </w:pPr>
    </w:p>
    <w:bookmarkStart w:id="3" w:name="page4"/>
    <w:bookmarkEnd w:id="3"/>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4" w:name="page5"/>
    <w:bookmarkEnd w:id="4"/>
    <w:p>
      <w:pPr>
        <w:jc w:val="center"/>
        <w:ind w:right="-19"/>
        <w:spacing w:after="0"/>
        <w:rPr>
          <w:sz w:val="20"/>
          <w:szCs w:val="20"/>
          <w:color w:val="auto"/>
        </w:rPr>
      </w:pPr>
      <w:r>
        <w:rPr>
          <w:rFonts w:ascii="Arial" w:cs="Arial" w:eastAsia="Arial" w:hAnsi="Arial"/>
          <w:sz w:val="28"/>
          <w:szCs w:val="28"/>
          <w:b w:val="1"/>
          <w:bCs w:val="1"/>
          <w:color w:val="auto"/>
        </w:rPr>
        <w:t>UNITED STATES</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FORM 10-K</w:t>
      </w:r>
    </w:p>
    <w:p>
      <w:pPr>
        <w:spacing w:after="0" w:line="2" w:lineRule="exact"/>
        <w:rPr>
          <w:sz w:val="20"/>
          <w:szCs w:val="20"/>
          <w:color w:val="auto"/>
        </w:rPr>
      </w:pPr>
    </w:p>
    <w:p>
      <w:pPr>
        <w:ind w:left="1400" w:hanging="715"/>
        <w:spacing w:after="0"/>
        <w:tabs>
          <w:tab w:leader="none" w:pos="1400" w:val="left"/>
        </w:tabs>
        <w:numPr>
          <w:ilvl w:val="0"/>
          <w:numId w:val="1"/>
        </w:numPr>
        <w:rPr>
          <w:rFonts w:ascii="MS PGothic" w:cs="MS PGothic" w:eastAsia="MS PGothic" w:hAnsi="MS PGothic"/>
          <w:sz w:val="24"/>
          <w:szCs w:val="24"/>
          <w:b w:val="1"/>
          <w:bCs w:val="1"/>
          <w:color w:val="auto"/>
        </w:rPr>
      </w:pPr>
      <w:r>
        <w:rPr>
          <w:rFonts w:ascii="Arial" w:cs="Arial" w:eastAsia="Arial" w:hAnsi="Arial"/>
          <w:sz w:val="24"/>
          <w:szCs w:val="24"/>
          <w:b w:val="1"/>
          <w:bCs w:val="1"/>
          <w:color w:val="auto"/>
        </w:rPr>
        <w:t>ANNUAL REPORT PURSUANT TO SECTION 13 OR 15(d) OF THE</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EXCHANGE ACT OF 1934</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OR</w:t>
      </w:r>
    </w:p>
    <w:p>
      <w:pPr>
        <w:ind w:left="2480" w:right="420" w:hanging="2042"/>
        <w:spacing w:after="0" w:line="276" w:lineRule="auto"/>
        <w:tabs>
          <w:tab w:leader="none" w:pos="1157" w:val="left"/>
        </w:tabs>
        <w:numPr>
          <w:ilvl w:val="0"/>
          <w:numId w:val="2"/>
        </w:numPr>
        <w:rPr>
          <w:rFonts w:ascii="MS PGothic" w:cs="MS PGothic" w:eastAsia="MS PGothic" w:hAnsi="MS PGothic"/>
          <w:sz w:val="24"/>
          <w:szCs w:val="24"/>
          <w:b w:val="1"/>
          <w:bCs w:val="1"/>
          <w:color w:val="auto"/>
        </w:rPr>
      </w:pPr>
      <w:r>
        <w:rPr>
          <w:rFonts w:ascii="Arial" w:cs="Arial" w:eastAsia="Arial" w:hAnsi="Arial"/>
          <w:sz w:val="24"/>
          <w:szCs w:val="24"/>
          <w:b w:val="1"/>
          <w:bCs w:val="1"/>
          <w:color w:val="auto"/>
        </w:rPr>
        <w:t>TRANSITION REPORT PURSUANT TO SECTION 13 OR 15(d) OF THE SECURITIES EXCHANGE ACT OF 1934</w:t>
      </w:r>
    </w:p>
    <w:p>
      <w:pPr>
        <w:spacing w:after="0" w:line="151"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auto"/>
        </w:rPr>
        <w:t>FOR THE TRANSITION PERIOD FROM __________ TO __________</w:t>
      </w:r>
    </w:p>
    <w:p>
      <w:pPr>
        <w:jc w:val="center"/>
        <w:ind w:right="-19"/>
        <w:spacing w:after="0" w:line="235" w:lineRule="auto"/>
        <w:rPr>
          <w:sz w:val="20"/>
          <w:szCs w:val="20"/>
          <w:color w:val="auto"/>
        </w:rPr>
      </w:pPr>
      <w:r>
        <w:rPr>
          <w:rFonts w:ascii="Arial" w:cs="Arial" w:eastAsia="Arial" w:hAnsi="Arial"/>
          <w:sz w:val="20"/>
          <w:szCs w:val="20"/>
          <w:b w:val="1"/>
          <w:bCs w:val="1"/>
          <w:color w:val="auto"/>
        </w:rPr>
        <w:t>Commission file number: 001-38067</w:t>
      </w:r>
    </w:p>
    <w:p>
      <w:pPr>
        <w:jc w:val="center"/>
        <w:ind w:right="-19"/>
        <w:spacing w:after="0"/>
        <w:rPr>
          <w:sz w:val="20"/>
          <w:szCs w:val="20"/>
          <w:color w:val="auto"/>
        </w:rPr>
      </w:pPr>
      <w:r>
        <w:rPr>
          <w:rFonts w:ascii="Arial" w:cs="Arial" w:eastAsia="Arial" w:hAnsi="Arial"/>
          <w:sz w:val="36"/>
          <w:szCs w:val="36"/>
          <w:b w:val="1"/>
          <w:bCs w:val="1"/>
          <w:color w:val="auto"/>
        </w:rPr>
        <w:t>Verona Pharma plc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87" w:lineRule="exact"/>
        <w:rPr>
          <w:sz w:val="20"/>
          <w:szCs w:val="20"/>
          <w:color w:val="auto"/>
        </w:rPr>
      </w:pPr>
    </w:p>
    <w:tbl>
      <w:tblPr>
        <w:tblLayout w:type="fixed"/>
        <w:tblInd w:w="520" w:type="dxa"/>
        <w:tblCellMar>
          <w:top w:w="0" w:type="dxa"/>
          <w:left w:w="0" w:type="dxa"/>
          <w:bottom w:w="0" w:type="dxa"/>
          <w:right w:w="0" w:type="dxa"/>
        </w:tblCellMar>
      </w:tblPr>
      <w:tr>
        <w:trPr>
          <w:trHeight w:val="264"/>
        </w:trPr>
        <w:tc>
          <w:tcPr>
            <w:tcW w:w="4360" w:type="dxa"/>
            <w:vAlign w:val="bottom"/>
          </w:tcPr>
          <w:p>
            <w:pPr>
              <w:jc w:val="center"/>
              <w:ind w:right="1010"/>
              <w:spacing w:after="0"/>
              <w:rPr>
                <w:sz w:val="20"/>
                <w:szCs w:val="20"/>
                <w:color w:val="auto"/>
              </w:rPr>
            </w:pPr>
            <w:r>
              <w:rPr>
                <w:rFonts w:ascii="Arial" w:cs="Arial" w:eastAsia="Arial" w:hAnsi="Arial"/>
                <w:sz w:val="20"/>
                <w:szCs w:val="20"/>
                <w:b w:val="1"/>
                <w:bCs w:val="1"/>
                <w:color w:val="auto"/>
                <w:w w:val="91"/>
              </w:rPr>
              <w:t>United Kingdom</w:t>
            </w:r>
          </w:p>
        </w:tc>
        <w:tc>
          <w:tcPr>
            <w:tcW w:w="3560" w:type="dxa"/>
            <w:vAlign w:val="bottom"/>
          </w:tcPr>
          <w:p>
            <w:pPr>
              <w:jc w:val="center"/>
              <w:ind w:left="1010"/>
              <w:spacing w:after="0"/>
              <w:rPr>
                <w:sz w:val="20"/>
                <w:szCs w:val="20"/>
                <w:color w:val="auto"/>
              </w:rPr>
            </w:pPr>
            <w:r>
              <w:rPr>
                <w:rFonts w:ascii="Arial" w:cs="Arial" w:eastAsia="Arial" w:hAnsi="Arial"/>
                <w:sz w:val="20"/>
                <w:szCs w:val="20"/>
                <w:b w:val="1"/>
                <w:bCs w:val="1"/>
                <w:color w:val="auto"/>
                <w:w w:val="91"/>
              </w:rPr>
              <w:t>98-1489389</w:t>
            </w:r>
          </w:p>
        </w:tc>
      </w:tr>
      <w:tr>
        <w:trPr>
          <w:trHeight w:val="251"/>
        </w:trPr>
        <w:tc>
          <w:tcPr>
            <w:tcW w:w="4360" w:type="dxa"/>
            <w:vAlign w:val="bottom"/>
          </w:tcPr>
          <w:p>
            <w:pPr>
              <w:jc w:val="center"/>
              <w:ind w:right="1010"/>
              <w:spacing w:after="0"/>
              <w:rPr>
                <w:sz w:val="20"/>
                <w:szCs w:val="20"/>
                <w:color w:val="auto"/>
              </w:rPr>
            </w:pPr>
            <w:r>
              <w:rPr>
                <w:rFonts w:ascii="Arial" w:cs="Arial" w:eastAsia="Arial" w:hAnsi="Arial"/>
                <w:sz w:val="16"/>
                <w:szCs w:val="16"/>
                <w:b w:val="1"/>
                <w:bCs w:val="1"/>
                <w:color w:val="auto"/>
                <w:w w:val="91"/>
              </w:rPr>
              <w:t>(State or Other Jurisdiction of Incorporation or</w:t>
            </w:r>
          </w:p>
        </w:tc>
        <w:tc>
          <w:tcPr>
            <w:tcW w:w="3560" w:type="dxa"/>
            <w:vAlign w:val="bottom"/>
          </w:tcPr>
          <w:p>
            <w:pPr>
              <w:spacing w:after="0"/>
              <w:rPr>
                <w:sz w:val="21"/>
                <w:szCs w:val="21"/>
                <w:color w:val="auto"/>
              </w:rPr>
            </w:pPr>
          </w:p>
        </w:tc>
      </w:tr>
      <w:tr>
        <w:trPr>
          <w:trHeight w:val="211"/>
        </w:trPr>
        <w:tc>
          <w:tcPr>
            <w:tcW w:w="4360" w:type="dxa"/>
            <w:vAlign w:val="bottom"/>
          </w:tcPr>
          <w:p>
            <w:pPr>
              <w:jc w:val="center"/>
              <w:ind w:right="990"/>
              <w:spacing w:after="0"/>
              <w:rPr>
                <w:sz w:val="20"/>
                <w:szCs w:val="20"/>
                <w:color w:val="auto"/>
              </w:rPr>
            </w:pPr>
            <w:r>
              <w:rPr>
                <w:rFonts w:ascii="Arial" w:cs="Arial" w:eastAsia="Arial" w:hAnsi="Arial"/>
                <w:sz w:val="16"/>
                <w:szCs w:val="16"/>
                <w:b w:val="1"/>
                <w:bCs w:val="1"/>
                <w:color w:val="auto"/>
                <w:w w:val="93"/>
              </w:rPr>
              <w:t>Organization)</w:t>
            </w:r>
          </w:p>
        </w:tc>
        <w:tc>
          <w:tcPr>
            <w:tcW w:w="3560" w:type="dxa"/>
            <w:vAlign w:val="bottom"/>
          </w:tcPr>
          <w:p>
            <w:pPr>
              <w:jc w:val="center"/>
              <w:ind w:left="1010"/>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549"/>
        </w:trPr>
        <w:tc>
          <w:tcPr>
            <w:tcW w:w="4360" w:type="dxa"/>
            <w:vAlign w:val="bottom"/>
          </w:tcPr>
          <w:p>
            <w:pPr>
              <w:jc w:val="center"/>
              <w:ind w:right="1010"/>
              <w:spacing w:after="0"/>
              <w:rPr>
                <w:sz w:val="20"/>
                <w:szCs w:val="20"/>
                <w:color w:val="auto"/>
              </w:rPr>
            </w:pPr>
            <w:r>
              <w:rPr>
                <w:rFonts w:ascii="Arial" w:cs="Arial" w:eastAsia="Arial" w:hAnsi="Arial"/>
                <w:sz w:val="20"/>
                <w:szCs w:val="20"/>
                <w:b w:val="1"/>
                <w:bCs w:val="1"/>
                <w:color w:val="auto"/>
                <w:w w:val="91"/>
              </w:rPr>
              <w:t>3 More London Riverside</w:t>
            </w:r>
          </w:p>
        </w:tc>
        <w:tc>
          <w:tcPr>
            <w:tcW w:w="3560" w:type="dxa"/>
            <w:vAlign w:val="bottom"/>
          </w:tcPr>
          <w:p>
            <w:pPr>
              <w:spacing w:after="0"/>
              <w:rPr>
                <w:sz w:val="24"/>
                <w:szCs w:val="24"/>
                <w:color w:val="auto"/>
              </w:rPr>
            </w:pPr>
          </w:p>
        </w:tc>
      </w:tr>
      <w:tr>
        <w:trPr>
          <w:trHeight w:val="264"/>
        </w:trPr>
        <w:tc>
          <w:tcPr>
            <w:tcW w:w="4360" w:type="dxa"/>
            <w:vAlign w:val="bottom"/>
          </w:tcPr>
          <w:p>
            <w:pPr>
              <w:jc w:val="center"/>
              <w:ind w:right="1010"/>
              <w:spacing w:after="0"/>
              <w:rPr>
                <w:sz w:val="20"/>
                <w:szCs w:val="20"/>
                <w:color w:val="auto"/>
              </w:rPr>
            </w:pPr>
            <w:r>
              <w:rPr>
                <w:rFonts w:ascii="Arial" w:cs="Arial" w:eastAsia="Arial" w:hAnsi="Arial"/>
                <w:sz w:val="20"/>
                <w:szCs w:val="20"/>
                <w:b w:val="1"/>
                <w:bCs w:val="1"/>
                <w:color w:val="auto"/>
                <w:w w:val="92"/>
              </w:rPr>
              <w:t>London SE1 2RE United Kingdom</w:t>
            </w:r>
          </w:p>
        </w:tc>
        <w:tc>
          <w:tcPr>
            <w:tcW w:w="3560" w:type="dxa"/>
            <w:vAlign w:val="bottom"/>
          </w:tcPr>
          <w:p>
            <w:pPr>
              <w:jc w:val="center"/>
              <w:ind w:left="990"/>
              <w:spacing w:after="0"/>
              <w:rPr>
                <w:sz w:val="20"/>
                <w:szCs w:val="20"/>
                <w:color w:val="auto"/>
              </w:rPr>
            </w:pPr>
            <w:r>
              <w:rPr>
                <w:rFonts w:ascii="Arial" w:cs="Arial" w:eastAsia="Arial" w:hAnsi="Arial"/>
                <w:sz w:val="20"/>
                <w:szCs w:val="20"/>
                <w:b w:val="1"/>
                <w:bCs w:val="1"/>
                <w:color w:val="auto"/>
                <w:w w:val="91"/>
              </w:rPr>
              <w:t>Not Applicable</w:t>
            </w:r>
          </w:p>
        </w:tc>
      </w:tr>
      <w:tr>
        <w:trPr>
          <w:trHeight w:val="282"/>
        </w:trPr>
        <w:tc>
          <w:tcPr>
            <w:tcW w:w="4360" w:type="dxa"/>
            <w:vAlign w:val="bottom"/>
          </w:tcPr>
          <w:p>
            <w:pPr>
              <w:jc w:val="center"/>
              <w:ind w:right="1010"/>
              <w:spacing w:after="0"/>
              <w:rPr>
                <w:sz w:val="20"/>
                <w:szCs w:val="20"/>
                <w:color w:val="auto"/>
              </w:rPr>
            </w:pPr>
            <w:r>
              <w:rPr>
                <w:rFonts w:ascii="Arial" w:cs="Arial" w:eastAsia="Arial" w:hAnsi="Arial"/>
                <w:sz w:val="16"/>
                <w:szCs w:val="16"/>
                <w:b w:val="1"/>
                <w:bCs w:val="1"/>
                <w:color w:val="auto"/>
                <w:w w:val="90"/>
              </w:rPr>
              <w:t>(Address of Principal Executive Offices)</w:t>
            </w:r>
          </w:p>
        </w:tc>
        <w:tc>
          <w:tcPr>
            <w:tcW w:w="3560" w:type="dxa"/>
            <w:vAlign w:val="bottom"/>
          </w:tcPr>
          <w:p>
            <w:pPr>
              <w:jc w:val="center"/>
              <w:ind w:left="1010"/>
              <w:spacing w:after="0"/>
              <w:rPr>
                <w:sz w:val="20"/>
                <w:szCs w:val="20"/>
                <w:color w:val="auto"/>
              </w:rPr>
            </w:pPr>
            <w:r>
              <w:rPr>
                <w:rFonts w:ascii="Arial" w:cs="Arial" w:eastAsia="Arial" w:hAnsi="Arial"/>
                <w:sz w:val="16"/>
                <w:szCs w:val="16"/>
                <w:b w:val="1"/>
                <w:bCs w:val="1"/>
                <w:color w:val="auto"/>
                <w:w w:val="93"/>
              </w:rPr>
              <w:t>(Zip Code)</w:t>
            </w:r>
          </w:p>
        </w:tc>
      </w:tr>
    </w:tbl>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+44 203 283 4200</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registered pursuant to Section 12(b) of the Act: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vMerge w:val="restart"/>
          </w:tcPr>
          <w:p>
            <w:pPr>
              <w:jc w:val="center"/>
              <w:ind w:left="50"/>
              <w:spacing w:after="0"/>
              <w:rPr>
                <w:sz w:val="20"/>
                <w:szCs w:val="20"/>
                <w:color w:val="auto"/>
              </w:rPr>
            </w:pPr>
            <w:r>
              <w:rPr>
                <w:rFonts w:ascii="Arial" w:cs="Arial" w:eastAsia="Arial" w:hAnsi="Arial"/>
                <w:sz w:val="20"/>
                <w:szCs w:val="20"/>
                <w:b w:val="1"/>
                <w:bCs w:val="1"/>
                <w:color w:val="auto"/>
                <w:w w:val="87"/>
              </w:rPr>
              <w:t>Title of each class</w:t>
            </w:r>
          </w:p>
        </w:tc>
        <w:tc>
          <w:tcPr>
            <w:tcW w:w="1260" w:type="dxa"/>
            <w:vAlign w:val="bottom"/>
          </w:tcPr>
          <w:p>
            <w:pPr>
              <w:jc w:val="center"/>
              <w:ind w:left="67"/>
              <w:spacing w:after="0"/>
              <w:rPr>
                <w:sz w:val="20"/>
                <w:szCs w:val="20"/>
                <w:color w:val="auto"/>
              </w:rPr>
            </w:pPr>
            <w:r>
              <w:rPr>
                <w:rFonts w:ascii="Arial" w:cs="Arial" w:eastAsia="Arial" w:hAnsi="Arial"/>
                <w:sz w:val="20"/>
                <w:szCs w:val="20"/>
                <w:b w:val="1"/>
                <w:bCs w:val="1"/>
                <w:color w:val="auto"/>
                <w:w w:val="95"/>
              </w:rPr>
              <w:t>Trading</w:t>
            </w:r>
          </w:p>
        </w:tc>
        <w:tc>
          <w:tcPr>
            <w:tcW w:w="412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7"/>
              </w:rPr>
              <w:t>Name of each exchange on which registered</w:t>
            </w:r>
          </w:p>
        </w:tc>
        <w:tc>
          <w:tcPr>
            <w:tcW w:w="0" w:type="dxa"/>
            <w:vAlign w:val="bottom"/>
          </w:tcPr>
          <w:p>
            <w:pPr>
              <w:spacing w:after="0"/>
              <w:rPr>
                <w:sz w:val="1"/>
                <w:szCs w:val="1"/>
                <w:color w:val="auto"/>
              </w:rPr>
            </w:pPr>
          </w:p>
        </w:tc>
      </w:tr>
      <w:tr>
        <w:trPr>
          <w:trHeight w:val="263"/>
        </w:trPr>
        <w:tc>
          <w:tcPr>
            <w:tcW w:w="3960" w:type="dxa"/>
            <w:vAlign w:val="bottom"/>
            <w:tcBorders>
              <w:bottom w:val="single" w:sz="8" w:color="auto"/>
            </w:tcBorders>
            <w:vMerge w:val="continue"/>
          </w:tcPr>
          <w:p>
            <w:pPr>
              <w:spacing w:after="0"/>
              <w:rPr>
                <w:sz w:val="22"/>
                <w:szCs w:val="22"/>
                <w:color w:val="auto"/>
              </w:rPr>
            </w:pPr>
          </w:p>
        </w:tc>
        <w:tc>
          <w:tcPr>
            <w:tcW w:w="1260" w:type="dxa"/>
            <w:vAlign w:val="bottom"/>
            <w:tcBorders>
              <w:bottom w:val="single" w:sz="8" w:color="auto"/>
            </w:tcBorders>
          </w:tcPr>
          <w:p>
            <w:pPr>
              <w:jc w:val="center"/>
              <w:ind w:left="87"/>
              <w:spacing w:after="0"/>
              <w:rPr>
                <w:sz w:val="20"/>
                <w:szCs w:val="20"/>
                <w:color w:val="auto"/>
              </w:rPr>
            </w:pPr>
            <w:r>
              <w:rPr>
                <w:rFonts w:ascii="Arial" w:cs="Arial" w:eastAsia="Arial" w:hAnsi="Arial"/>
                <w:sz w:val="20"/>
                <w:szCs w:val="20"/>
                <w:b w:val="1"/>
                <w:bCs w:val="1"/>
                <w:color w:val="auto"/>
                <w:w w:val="88"/>
              </w:rPr>
              <w:t>Symbol</w:t>
            </w:r>
          </w:p>
        </w:tc>
        <w:tc>
          <w:tcPr>
            <w:tcW w:w="4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3960" w:type="dxa"/>
            <w:vAlign w:val="bottom"/>
          </w:tcPr>
          <w:p>
            <w:pPr>
              <w:jc w:val="center"/>
              <w:ind w:left="70"/>
              <w:spacing w:after="0"/>
              <w:rPr>
                <w:sz w:val="20"/>
                <w:szCs w:val="20"/>
                <w:color w:val="auto"/>
              </w:rPr>
            </w:pPr>
            <w:r>
              <w:rPr>
                <w:rFonts w:ascii="Arial" w:cs="Arial" w:eastAsia="Arial" w:hAnsi="Arial"/>
                <w:sz w:val="16"/>
                <w:szCs w:val="16"/>
                <w:color w:val="auto"/>
                <w:w w:val="90"/>
              </w:rPr>
              <w:t>Ordinary shares, nominal value £0.05 per share*</w:t>
            </w:r>
          </w:p>
        </w:tc>
        <w:tc>
          <w:tcPr>
            <w:tcW w:w="1260" w:type="dxa"/>
            <w:vAlign w:val="bottom"/>
          </w:tcPr>
          <w:p>
            <w:pPr>
              <w:jc w:val="center"/>
              <w:ind w:left="67"/>
              <w:spacing w:after="0"/>
              <w:rPr>
                <w:sz w:val="20"/>
                <w:szCs w:val="20"/>
                <w:color w:val="auto"/>
              </w:rPr>
            </w:pPr>
            <w:r>
              <w:rPr>
                <w:rFonts w:ascii="Arial" w:cs="Arial" w:eastAsia="Arial" w:hAnsi="Arial"/>
                <w:sz w:val="16"/>
                <w:szCs w:val="16"/>
                <w:color w:val="auto"/>
              </w:rPr>
              <w:t>VRNA</w:t>
            </w:r>
          </w:p>
        </w:tc>
        <w:tc>
          <w:tcPr>
            <w:tcW w:w="4120" w:type="dxa"/>
            <w:vAlign w:val="bottom"/>
          </w:tcPr>
          <w:p>
            <w:pPr>
              <w:jc w:val="center"/>
              <w:spacing w:after="0"/>
              <w:rPr>
                <w:sz w:val="20"/>
                <w:szCs w:val="20"/>
                <w:color w:val="auto"/>
              </w:rPr>
            </w:pPr>
            <w:r>
              <w:rPr>
                <w:rFonts w:ascii="Arial" w:cs="Arial" w:eastAsia="Arial" w:hAnsi="Arial"/>
                <w:sz w:val="16"/>
                <w:szCs w:val="16"/>
                <w:color w:val="auto"/>
                <w:w w:val="92"/>
              </w:rPr>
              <w:t>The Nasdaq Stock Market LLC (Nasdaq Global Market)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54" w:lineRule="auto"/>
        <w:tabs>
          <w:tab w:leader="none" w:pos="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registered pursuant to Section 12(g) of the Act: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279" w:lineRule="exact"/>
        <w:rPr>
          <w:sz w:val="20"/>
          <w:szCs w:val="20"/>
          <w:color w:val="auto"/>
        </w:rPr>
      </w:pPr>
    </w:p>
    <w:p>
      <w:pPr>
        <w:ind w:right="340"/>
        <w:spacing w:after="0" w:line="251" w:lineRule="exact"/>
        <w:rPr>
          <w:sz w:val="20"/>
          <w:szCs w:val="20"/>
          <w:color w:val="auto"/>
        </w:rPr>
      </w:pPr>
      <w:r>
        <w:rPr>
          <w:rFonts w:ascii="Arial" w:cs="Arial" w:eastAsia="Arial" w:hAnsi="Arial"/>
          <w:sz w:val="20"/>
          <w:szCs w:val="20"/>
          <w:color w:val="auto"/>
        </w:rPr>
        <w:t xml:space="preserve">Indicate by check mark if the registrant is a well-known seasoned issuer, as defined in Rule 405 of the Securities Act. Yes </w:t>
      </w:r>
      <w:r>
        <w:rPr>
          <w:rFonts w:ascii="MS PGothic" w:cs="MS PGothic" w:eastAsia="MS PGothic" w:hAnsi="MS PGothic"/>
          <w:sz w:val="20"/>
          <w:szCs w:val="20"/>
          <w:b w:val="1"/>
          <w:bCs w:val="1"/>
          <w:color w:val="auto"/>
        </w:rPr>
        <w:t>☒</w:t>
      </w:r>
      <w:r>
        <w:rPr>
          <w:rFonts w:ascii="Arial" w:cs="Arial" w:eastAsia="Arial" w:hAnsi="Arial"/>
          <w:sz w:val="20"/>
          <w:szCs w:val="20"/>
          <w:color w:val="auto"/>
        </w:rPr>
        <w:t xml:space="preserve"> No </w:t>
      </w:r>
      <w:r>
        <w:rPr>
          <w:rFonts w:ascii="MS PGothic" w:cs="MS PGothic" w:eastAsia="MS PGothic" w:hAnsi="MS PGothic"/>
          <w:sz w:val="20"/>
          <w:szCs w:val="20"/>
          <w:b w:val="1"/>
          <w:bCs w:val="1"/>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 Yes</w:t>
      </w:r>
    </w:p>
    <w:p>
      <w:pPr>
        <w:spacing w:after="0" w:line="16" w:lineRule="exact"/>
        <w:rPr>
          <w:sz w:val="20"/>
          <w:szCs w:val="20"/>
          <w:color w:val="auto"/>
        </w:rPr>
      </w:pPr>
    </w:p>
    <w:p>
      <w:pPr>
        <w:ind w:left="200" w:hanging="200"/>
        <w:spacing w:after="0" w:line="219" w:lineRule="exact"/>
        <w:tabs>
          <w:tab w:leader="none" w:pos="200" w:val="left"/>
        </w:tabs>
        <w:numPr>
          <w:ilvl w:val="0"/>
          <w:numId w:val="4"/>
        </w:numPr>
        <w:rPr>
          <w:rFonts w:ascii="MS PGothic" w:cs="MS PGothic" w:eastAsia="MS PGothic" w:hAnsi="MS PGothic"/>
          <w:sz w:val="19"/>
          <w:szCs w:val="19"/>
          <w:b w:val="1"/>
          <w:bCs w:val="1"/>
          <w:color w:val="auto"/>
        </w:rPr>
      </w:pPr>
      <w:r>
        <w:rPr>
          <w:rFonts w:ascii="Arial" w:cs="Arial" w:eastAsia="Arial" w:hAnsi="Arial"/>
          <w:sz w:val="19"/>
          <w:szCs w:val="19"/>
          <w:color w:val="auto"/>
        </w:rPr>
        <w:t xml:space="preserve">No </w:t>
      </w:r>
      <w:r>
        <w:rPr>
          <w:rFonts w:ascii="MS PGothic" w:cs="MS PGothic" w:eastAsia="MS PGothic" w:hAnsi="MS PGothic"/>
          <w:sz w:val="19"/>
          <w:szCs w:val="19"/>
          <w:b w:val="1"/>
          <w:bCs w:val="1"/>
          <w:color w:val="auto"/>
        </w:rPr>
        <w:t>☒</w:t>
      </w:r>
    </w:p>
    <w:p>
      <w:pPr>
        <w:spacing w:after="0" w:line="39" w:lineRule="exact"/>
        <w:rPr>
          <w:sz w:val="20"/>
          <w:szCs w:val="20"/>
          <w:color w:val="auto"/>
        </w:rPr>
      </w:pPr>
    </w:p>
    <w:p>
      <w:pPr>
        <w:ind w:right="120"/>
        <w:spacing w:after="0" w:line="240" w:lineRule="exact"/>
        <w:rPr>
          <w:sz w:val="20"/>
          <w:szCs w:val="20"/>
          <w:color w:val="auto"/>
        </w:rPr>
      </w:pPr>
      <w:r>
        <w:rPr>
          <w:rFonts w:ascii="Arial" w:cs="Arial" w:eastAsia="Arial" w:hAnsi="Arial"/>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b w:val="1"/>
          <w:bCs w:val="1"/>
          <w:color w:val="auto"/>
        </w:rPr>
        <w:t>☒</w:t>
      </w:r>
      <w:r>
        <w:rPr>
          <w:rFonts w:ascii="Arial" w:cs="Arial" w:eastAsia="Arial" w:hAnsi="Arial"/>
          <w:sz w:val="20"/>
          <w:szCs w:val="20"/>
          <w:color w:val="auto"/>
        </w:rPr>
        <w:t xml:space="preserve"> No </w:t>
      </w:r>
      <w:r>
        <w:rPr>
          <w:rFonts w:ascii="MS PGothic" w:cs="MS PGothic" w:eastAsia="MS PGothic" w:hAnsi="MS PGothic"/>
          <w:sz w:val="20"/>
          <w:szCs w:val="20"/>
          <w:b w:val="1"/>
          <w:bCs w:val="1"/>
          <w:color w:val="auto"/>
        </w:rPr>
        <w:t>☐</w:t>
      </w:r>
    </w:p>
    <w:p>
      <w:pPr>
        <w:spacing w:after="0" w:line="2" w:lineRule="exact"/>
        <w:rPr>
          <w:sz w:val="20"/>
          <w:szCs w:val="20"/>
          <w:color w:val="auto"/>
        </w:rPr>
      </w:pPr>
    </w:p>
    <w:p>
      <w:pPr>
        <w:jc w:val="both"/>
        <w:ind w:right="40"/>
        <w:spacing w:after="0" w:line="240" w:lineRule="exact"/>
        <w:rPr>
          <w:sz w:val="20"/>
          <w:szCs w:val="20"/>
          <w:color w:val="auto"/>
        </w:rPr>
      </w:pPr>
      <w:r>
        <w:rPr>
          <w:rFonts w:ascii="Arial" w:cs="Arial" w:eastAsia="Arial" w:hAnsi="Arial"/>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b w:val="1"/>
          <w:bCs w:val="1"/>
          <w:color w:val="auto"/>
        </w:rPr>
        <w:t>☒</w:t>
      </w:r>
      <w:r>
        <w:rPr>
          <w:rFonts w:ascii="Arial" w:cs="Arial" w:eastAsia="Arial" w:hAnsi="Arial"/>
          <w:sz w:val="19"/>
          <w:szCs w:val="19"/>
          <w:color w:val="auto"/>
        </w:rPr>
        <w:t xml:space="preserve"> No </w:t>
      </w:r>
      <w:r>
        <w:rPr>
          <w:rFonts w:ascii="MS PGothic" w:cs="MS PGothic" w:eastAsia="MS PGothic" w:hAnsi="MS PGothic"/>
          <w:sz w:val="19"/>
          <w:szCs w:val="19"/>
          <w:b w:val="1"/>
          <w:bCs w:val="1"/>
          <w:color w:val="auto"/>
        </w:rPr>
        <w:t>☐</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9340"/>
          </w:cols>
          <w:pgMar w:left="1260" w:top="1164" w:right="1280" w:bottom="1143" w:gutter="0" w:footer="0" w:header="0"/>
        </w:sectPr>
      </w:pPr>
    </w:p>
    <w:bookmarkStart w:id="5" w:name="page6"/>
    <w:bookmarkEnd w:id="5"/>
    <w:tbl>
      <w:tblPr>
        <w:tblLayout w:type="fixed"/>
        <w:tblInd w:w="60" w:type="dxa"/>
        <w:tblCellMar>
          <w:top w:w="0" w:type="dxa"/>
          <w:left w:w="0" w:type="dxa"/>
          <w:bottom w:w="0" w:type="dxa"/>
          <w:right w:w="0" w:type="dxa"/>
        </w:tblCellMar>
      </w:tblPr>
      <w:tr>
        <w:trPr>
          <w:trHeight w:val="293"/>
        </w:trPr>
        <w:tc>
          <w:tcPr>
            <w:tcW w:w="2920" w:type="dxa"/>
            <w:vAlign w:val="bottom"/>
          </w:tcPr>
          <w:p>
            <w:pPr>
              <w:spacing w:after="0"/>
              <w:rPr>
                <w:sz w:val="20"/>
                <w:szCs w:val="20"/>
                <w:color w:val="auto"/>
              </w:rPr>
            </w:pPr>
            <w:r>
              <w:rPr>
                <w:rFonts w:ascii="Arial" w:cs="Arial" w:eastAsia="Arial" w:hAnsi="Arial"/>
                <w:sz w:val="20"/>
                <w:szCs w:val="20"/>
                <w:color w:val="auto"/>
              </w:rPr>
              <w:t>Large accelerated filer</w:t>
            </w:r>
          </w:p>
        </w:tc>
        <w:tc>
          <w:tcPr>
            <w:tcW w:w="1580" w:type="dxa"/>
            <w:vAlign w:val="bottom"/>
          </w:tcPr>
          <w:p>
            <w:pPr>
              <w:ind w:left="1140"/>
              <w:spacing w:after="0" w:line="201" w:lineRule="exact"/>
              <w:rPr>
                <w:sz w:val="20"/>
                <w:szCs w:val="20"/>
                <w:color w:val="auto"/>
              </w:rPr>
            </w:pPr>
            <w:r>
              <w:rPr>
                <w:rFonts w:ascii="MS PGothic" w:cs="MS PGothic" w:eastAsia="MS PGothic" w:hAnsi="MS PGothic"/>
                <w:sz w:val="20"/>
                <w:szCs w:val="20"/>
                <w:b w:val="1"/>
                <w:bCs w:val="1"/>
                <w:color w:val="auto"/>
              </w:rPr>
              <w:t>☒</w:t>
            </w:r>
          </w:p>
        </w:tc>
        <w:tc>
          <w:tcPr>
            <w:tcW w:w="3400" w:type="dxa"/>
            <w:vAlign w:val="bottom"/>
          </w:tcPr>
          <w:p>
            <w:pPr>
              <w:ind w:left="280"/>
              <w:spacing w:after="0"/>
              <w:rPr>
                <w:sz w:val="20"/>
                <w:szCs w:val="20"/>
                <w:color w:val="auto"/>
              </w:rPr>
            </w:pPr>
            <w:r>
              <w:rPr>
                <w:rFonts w:ascii="Arial" w:cs="Arial" w:eastAsia="Arial" w:hAnsi="Arial"/>
                <w:sz w:val="20"/>
                <w:szCs w:val="20"/>
                <w:color w:val="auto"/>
              </w:rPr>
              <w:t>Accelerated filer</w:t>
            </w:r>
          </w:p>
        </w:tc>
        <w:tc>
          <w:tcPr>
            <w:tcW w:w="1100" w:type="dxa"/>
            <w:vAlign w:val="bottom"/>
          </w:tcPr>
          <w:p>
            <w:pPr>
              <w:ind w:left="940"/>
              <w:spacing w:after="0" w:line="191" w:lineRule="exact"/>
              <w:rPr>
                <w:sz w:val="20"/>
                <w:szCs w:val="20"/>
                <w:color w:val="auto"/>
              </w:rPr>
            </w:pPr>
            <w:r>
              <w:rPr>
                <w:rFonts w:ascii="MS PGothic" w:cs="MS PGothic" w:eastAsia="MS PGothic" w:hAnsi="MS PGothic"/>
                <w:sz w:val="19"/>
                <w:szCs w:val="19"/>
                <w:b w:val="1"/>
                <w:bCs w:val="1"/>
                <w:color w:val="auto"/>
                <w:w w:val="73"/>
              </w:rPr>
              <w:t>☐</w:t>
            </w:r>
          </w:p>
        </w:tc>
      </w:tr>
      <w:tr>
        <w:trPr>
          <w:trHeight w:val="315"/>
        </w:trPr>
        <w:tc>
          <w:tcPr>
            <w:tcW w:w="2920" w:type="dxa"/>
            <w:vAlign w:val="bottom"/>
          </w:tcPr>
          <w:p>
            <w:pPr>
              <w:spacing w:after="0"/>
              <w:rPr>
                <w:sz w:val="20"/>
                <w:szCs w:val="20"/>
                <w:color w:val="auto"/>
              </w:rPr>
            </w:pPr>
            <w:r>
              <w:rPr>
                <w:rFonts w:ascii="Arial" w:cs="Arial" w:eastAsia="Arial" w:hAnsi="Arial"/>
                <w:sz w:val="20"/>
                <w:szCs w:val="20"/>
                <w:color w:val="auto"/>
              </w:rPr>
              <w:t>Non-accelerated filer</w:t>
            </w:r>
          </w:p>
        </w:tc>
        <w:tc>
          <w:tcPr>
            <w:tcW w:w="1580" w:type="dxa"/>
            <w:vAlign w:val="bottom"/>
          </w:tcPr>
          <w:p>
            <w:pPr>
              <w:ind w:left="1140"/>
              <w:spacing w:after="0" w:line="201" w:lineRule="exact"/>
              <w:rPr>
                <w:sz w:val="20"/>
                <w:szCs w:val="20"/>
                <w:color w:val="auto"/>
              </w:rPr>
            </w:pPr>
            <w:r>
              <w:rPr>
                <w:rFonts w:ascii="MS PGothic" w:cs="MS PGothic" w:eastAsia="MS PGothic" w:hAnsi="MS PGothic"/>
                <w:sz w:val="20"/>
                <w:szCs w:val="20"/>
                <w:b w:val="1"/>
                <w:bCs w:val="1"/>
                <w:color w:val="auto"/>
              </w:rPr>
              <w:t>☐</w:t>
            </w:r>
          </w:p>
        </w:tc>
        <w:tc>
          <w:tcPr>
            <w:tcW w:w="3400" w:type="dxa"/>
            <w:vAlign w:val="bottom"/>
          </w:tcPr>
          <w:p>
            <w:pPr>
              <w:ind w:left="280"/>
              <w:spacing w:after="0"/>
              <w:rPr>
                <w:sz w:val="20"/>
                <w:szCs w:val="20"/>
                <w:color w:val="auto"/>
              </w:rPr>
            </w:pPr>
            <w:r>
              <w:rPr>
                <w:rFonts w:ascii="Arial" w:cs="Arial" w:eastAsia="Arial" w:hAnsi="Arial"/>
                <w:sz w:val="20"/>
                <w:szCs w:val="20"/>
                <w:color w:val="auto"/>
              </w:rPr>
              <w:t>Small reporting company</w:t>
            </w:r>
          </w:p>
        </w:tc>
        <w:tc>
          <w:tcPr>
            <w:tcW w:w="1100" w:type="dxa"/>
            <w:vAlign w:val="bottom"/>
          </w:tcPr>
          <w:p>
            <w:pPr>
              <w:ind w:left="940"/>
              <w:spacing w:after="0" w:line="191" w:lineRule="exact"/>
              <w:rPr>
                <w:sz w:val="20"/>
                <w:szCs w:val="20"/>
                <w:color w:val="auto"/>
              </w:rPr>
            </w:pPr>
            <w:r>
              <w:rPr>
                <w:rFonts w:ascii="MS PGothic" w:cs="MS PGothic" w:eastAsia="MS PGothic" w:hAnsi="MS PGothic"/>
                <w:sz w:val="19"/>
                <w:szCs w:val="19"/>
                <w:b w:val="1"/>
                <w:bCs w:val="1"/>
                <w:color w:val="auto"/>
                <w:w w:val="73"/>
              </w:rPr>
              <w:t>☐</w:t>
            </w:r>
          </w:p>
        </w:tc>
      </w:tr>
      <w:tr>
        <w:trPr>
          <w:trHeight w:val="315"/>
        </w:trPr>
        <w:tc>
          <w:tcPr>
            <w:tcW w:w="2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0" w:type="dxa"/>
            <w:vAlign w:val="bottom"/>
          </w:tcPr>
          <w:p>
            <w:pPr>
              <w:ind w:left="280"/>
              <w:spacing w:after="0"/>
              <w:rPr>
                <w:sz w:val="20"/>
                <w:szCs w:val="20"/>
                <w:color w:val="auto"/>
              </w:rPr>
            </w:pPr>
            <w:r>
              <w:rPr>
                <w:rFonts w:ascii="Arial" w:cs="Arial" w:eastAsia="Arial" w:hAnsi="Arial"/>
                <w:sz w:val="20"/>
                <w:szCs w:val="20"/>
                <w:color w:val="auto"/>
              </w:rPr>
              <w:t>Emerging growth company</w:t>
            </w:r>
          </w:p>
        </w:tc>
        <w:tc>
          <w:tcPr>
            <w:tcW w:w="1100" w:type="dxa"/>
            <w:vAlign w:val="bottom"/>
          </w:tcPr>
          <w:p>
            <w:pPr>
              <w:ind w:left="940"/>
              <w:spacing w:after="0" w:line="191" w:lineRule="exact"/>
              <w:rPr>
                <w:sz w:val="20"/>
                <w:szCs w:val="20"/>
                <w:color w:val="auto"/>
              </w:rPr>
            </w:pPr>
            <w:r>
              <w:rPr>
                <w:rFonts w:ascii="MS PGothic" w:cs="MS PGothic" w:eastAsia="MS PGothic" w:hAnsi="MS PGothic"/>
                <w:sz w:val="19"/>
                <w:szCs w:val="19"/>
                <w:b w:val="1"/>
                <w:bCs w:val="1"/>
                <w:color w:val="auto"/>
                <w:w w:val="73"/>
              </w:rPr>
              <w:t>☐</w:t>
            </w:r>
          </w:p>
        </w:tc>
      </w:tr>
    </w:tbl>
    <w:p>
      <w:pPr>
        <w:spacing w:after="0" w:line="153" w:lineRule="exact"/>
        <w:rPr>
          <w:sz w:val="20"/>
          <w:szCs w:val="20"/>
          <w:color w:val="auto"/>
        </w:rPr>
      </w:pPr>
    </w:p>
    <w:p>
      <w:pPr>
        <w:jc w:val="both"/>
        <w:spacing w:after="0" w:line="253" w:lineRule="exact"/>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b w:val="1"/>
          <w:bCs w:val="1"/>
          <w:color w:val="auto"/>
        </w:rPr>
        <w:t>☐</w:t>
      </w:r>
    </w:p>
    <w:p>
      <w:pPr>
        <w:spacing w:after="0" w:line="84" w:lineRule="exact"/>
        <w:rPr>
          <w:sz w:val="20"/>
          <w:szCs w:val="20"/>
          <w:color w:val="auto"/>
        </w:rPr>
      </w:pPr>
    </w:p>
    <w:p>
      <w:pPr>
        <w:jc w:val="both"/>
        <w:ind w:right="20"/>
        <w:spacing w:after="0" w:line="25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b w:val="1"/>
          <w:bCs w:val="1"/>
          <w:color w:val="auto"/>
        </w:rPr>
        <w:t>☒</w:t>
      </w:r>
    </w:p>
    <w:p>
      <w:pPr>
        <w:spacing w:after="0" w:line="82" w:lineRule="exact"/>
        <w:rPr>
          <w:sz w:val="20"/>
          <w:szCs w:val="20"/>
          <w:color w:val="auto"/>
        </w:rPr>
      </w:pPr>
    </w:p>
    <w:p>
      <w:pPr>
        <w:jc w:val="both"/>
        <w:spacing w:after="0" w:line="239" w:lineRule="exact"/>
        <w:rPr>
          <w:sz w:val="20"/>
          <w:szCs w:val="20"/>
          <w:color w:val="auto"/>
        </w:rPr>
      </w:pPr>
      <w:r>
        <w:rPr>
          <w:rFonts w:ascii="Arial" w:cs="Arial" w:eastAsia="Arial" w:hAnsi="Arial"/>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0"/>
          <w:szCs w:val="20"/>
          <w:b w:val="1"/>
          <w:bCs w:val="1"/>
          <w:color w:val="auto"/>
        </w:rPr>
        <w:t>☐</w:t>
      </w:r>
    </w:p>
    <w:p>
      <w:pPr>
        <w:spacing w:after="0" w:line="64" w:lineRule="exact"/>
        <w:rPr>
          <w:sz w:val="20"/>
          <w:szCs w:val="20"/>
          <w:color w:val="auto"/>
        </w:rPr>
      </w:pPr>
    </w:p>
    <w:p>
      <w:pPr>
        <w:jc w:val="both"/>
        <w:spacing w:after="0" w:line="239" w:lineRule="exact"/>
        <w:rPr>
          <w:sz w:val="20"/>
          <w:szCs w:val="20"/>
          <w:color w:val="auto"/>
        </w:rPr>
      </w:pPr>
      <w:r>
        <w:rPr>
          <w:rFonts w:ascii="Arial" w:cs="Arial" w:eastAsia="Arial" w:hAnsi="Arial"/>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20"/>
          <w:szCs w:val="20"/>
          <w:b w:val="1"/>
          <w:bCs w:val="1"/>
          <w:color w:val="auto"/>
        </w:rPr>
        <w:t>☐</w:t>
      </w:r>
    </w:p>
    <w:p>
      <w:pPr>
        <w:spacing w:after="0" w:line="64" w:lineRule="exact"/>
        <w:rPr>
          <w:sz w:val="20"/>
          <w:szCs w:val="20"/>
          <w:color w:val="auto"/>
        </w:rPr>
      </w:pPr>
    </w:p>
    <w:p>
      <w:pPr>
        <w:ind w:right="280"/>
        <w:spacing w:after="0" w:line="258" w:lineRule="exact"/>
        <w:rPr>
          <w:sz w:val="20"/>
          <w:szCs w:val="20"/>
          <w:color w:val="auto"/>
        </w:rPr>
      </w:pPr>
      <w:r>
        <w:rPr>
          <w:rFonts w:ascii="Arial" w:cs="Arial" w:eastAsia="Arial" w:hAnsi="Arial"/>
          <w:sz w:val="20"/>
          <w:szCs w:val="20"/>
          <w:color w:val="auto"/>
        </w:rPr>
        <w:t xml:space="preserve">Indicate by check mark whether the registrant is a shell company (as defined in Rule 12b-2 of the Exchange Act). Yes </w:t>
      </w:r>
      <w:r>
        <w:rPr>
          <w:rFonts w:ascii="MS PGothic" w:cs="MS PGothic" w:eastAsia="MS PGothic" w:hAnsi="MS PGothic"/>
          <w:sz w:val="20"/>
          <w:szCs w:val="20"/>
          <w:b w:val="1"/>
          <w:bCs w:val="1"/>
          <w:color w:val="auto"/>
        </w:rPr>
        <w:t>☐</w:t>
      </w:r>
      <w:r>
        <w:rPr>
          <w:rFonts w:ascii="Arial" w:cs="Arial" w:eastAsia="Arial" w:hAnsi="Arial"/>
          <w:sz w:val="20"/>
          <w:szCs w:val="20"/>
          <w:color w:val="auto"/>
        </w:rPr>
        <w:t xml:space="preserve"> No </w:t>
      </w:r>
      <w:r>
        <w:rPr>
          <w:rFonts w:ascii="MS PGothic" w:cs="MS PGothic" w:eastAsia="MS PGothic" w:hAnsi="MS PGothic"/>
          <w:sz w:val="20"/>
          <w:szCs w:val="20"/>
          <w:b w:val="1"/>
          <w:bCs w:val="1"/>
          <w:color w:val="auto"/>
        </w:rPr>
        <w:t>☒</w:t>
      </w:r>
    </w:p>
    <w:p>
      <w:pPr>
        <w:spacing w:after="0" w:line="8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aggregate market value of the registrant's voting and non-voting common equity held by non-affiliates was approximately $1.1 billion as of June 30, 2024, the last business day of the registrant's most recently completed second fiscal quarter. Solely for purposes of this disclosure, shares held by executive officers, directors and certain shareholders of the registrant as of such date have been excluded because such persons or entities may be deemed to be affiliates of the registrant.</w:t>
      </w:r>
    </w:p>
    <w:p>
      <w:pPr>
        <w:spacing w:after="0" w:line="8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As of February 24, 2025, the registrant had 679,831,046 ordinary shares, nominal value £0.05 per share, outstanding, which if all held in ADS form, would be represented by 84,978,881 American Depositary Shares, each representing eight (8) ordinary shares.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DOCUMENTS INCORPORATED BY REFERENCE</w:t>
      </w:r>
    </w:p>
    <w:p>
      <w:pPr>
        <w:spacing w:after="0" w:line="137"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Portions of the registrant’s definitive proxy statement that the registrant intends to file with the Securities and Exchange Commission pursuant to Regulation 14A in connection with the registrant’s 2025 Annual Meeting of Shareholders are incorporated by reference into Part III of this Annual Report on Form 10-K to the extent stated herein.</w:t>
      </w:r>
    </w:p>
    <w:p>
      <w:pPr>
        <w:sectPr>
          <w:pgSz w:w="11880" w:h="15480" w:orient="portrait"/>
          <w:cols w:equalWidth="0" w:num="1">
            <w:col w:w="9360"/>
          </w:cols>
          <w:pgMar w:left="1260" w:top="1286" w:right="1260"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GENERAL INFORMATION</w:t>
      </w:r>
    </w:p>
    <w:p>
      <w:pPr>
        <w:spacing w:after="0" w:line="23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All references in this Annual Report on Form 10-K (the “Annual Report”), to “Verona,” the “Company,” the "group", “we,” “us” and “our” refer to Verona Pharma plc and its consolidated subsidiaries. In this Annual Report, the U.S. Securities and Exchange Commission is referred to as the “SEC”, the Securities Act of 1933, as amended, is referred to as the “Securities Act” and the Securities Exchange Act of 1934, as amended, is referred to as the “Exchange Act.”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TRADEMARKS, TRADENAMES AND SERVICE MARKS</w:t>
      </w:r>
    </w:p>
    <w:p>
      <w:pPr>
        <w:spacing w:after="0" w:line="23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Annual Report may include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Annual Report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Annual Report, including without limitation statements regarding our future results of operations and financial position, business strategy and plans and objectives of management for future operations, the commercial and marketing strategy of Ohtuvayre, market adoption of Ohtuvayre as a treatment for COPD; the ongoing development of ensifentrine and any other product candidates and combinations, including statements regarding the expected initiation, timing, progress and availability of data from our clinical trials and potential regulatory approvals and the expected regulations applicable to ensifentrine and any other product candidates, research and development costs, timing and likelihood of success, potential collaborations, the duration of our patent portfolio, our estimates regarding expenses, future revenues, capital requirements, debt service obligations and our need for additional financing, the funding we expect to become available and conditions under the 2024 Term Loans and RIPSA, and the sufficiency of our cash and cash equivalents to fund operations, are forward-looking statements.</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forward-looking statements in this Annual Report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known and unknown risks, uncertainties and assumptions, including the important factors described under the sections in this Annual Report entitled “Risk Factors” and “Management’s Discussion and Analysis of Financial Condition and Results of Operations” and in our other filings with the SEC.</w:t>
      </w:r>
    </w:p>
    <w:p>
      <w:pPr>
        <w:spacing w:after="0" w:line="5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Except as required by applicable law, we do not plan to publicly update or revise any forward-looking statements contained herein, whether as a result of any new information, future events, changed circumstances or otherwise. We intend the forward-looking statements contained in this Annual Report to be covered by the safe harbor provisions for forward-looking statements contained in Section 27A of the Securities Act and Section 21E of the Exchange Act. Additionally, certain information we may disclose (either herein or elsewhere) is informed by the expectations of various stakeholders or third-party frameworks and, as such, may not necessarily be material for purposes of our filings under U.S. federal securities laws, even if we use “material” or similar language in discussing such matters.</w:t>
      </w:r>
    </w:p>
    <w:p>
      <w:pPr>
        <w:spacing w:after="0" w:line="6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Annual Report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Annual Report is generally reliable, such information is inherently imprecise.</w:t>
      </w:r>
    </w:p>
    <w:p>
      <w:pPr>
        <w:sectPr>
          <w:pgSz w:w="11880" w:h="15480" w:orient="portrait"/>
          <w:cols w:equalWidth="0" w:num="1">
            <w:col w:w="9360"/>
          </w:cols>
          <w:pgMar w:left="1260" w:top="1191" w:right="1260" w:bottom="902"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SUMMARY RISK FACTORS</w:t>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Our business is subject to numerous risks and uncertainties, including those described in Part I, Item 1A. “Risk</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Factors” in this Annual Report. You should carefully consider these risks and uncertainties when investing in our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ADSs. The principal risks and uncertainties affecting our business include the following:</w:t>
      </w:r>
    </w:p>
    <w:p>
      <w:pPr>
        <w:spacing w:after="0" w:line="88" w:lineRule="exact"/>
        <w:rPr>
          <w:sz w:val="20"/>
          <w:szCs w:val="20"/>
          <w:color w:val="auto"/>
        </w:rPr>
      </w:pPr>
    </w:p>
    <w:p>
      <w:pPr>
        <w:ind w:left="360" w:hanging="360"/>
        <w:spacing w:after="0"/>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have a limited operating history and have not generated any significant product revenue.</w:t>
      </w:r>
    </w:p>
    <w:p>
      <w:pPr>
        <w:spacing w:after="0" w:line="110" w:lineRule="exact"/>
        <w:rPr>
          <w:rFonts w:ascii="Arial" w:cs="Arial" w:eastAsia="Arial" w:hAnsi="Arial"/>
          <w:sz w:val="20"/>
          <w:szCs w:val="20"/>
          <w:color w:val="auto"/>
        </w:rPr>
      </w:pPr>
    </w:p>
    <w:p>
      <w:pPr>
        <w:jc w:val="both"/>
        <w:ind w:left="360" w:hanging="360"/>
        <w:spacing w:after="0" w:line="237"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may need additional funding to complete development and commercialization of any future product candidates and to continue to commercialize Ohtuvayre. If we are unable to raise capital when needed, or if a failure of any financial institution where we maintain our cash and cash equivalents prevents or delays us from accessing uninsured funds, we could be forced to delay, reduce or eliminate our product development programs or commercialization efforts.</w:t>
      </w:r>
    </w:p>
    <w:p>
      <w:pPr>
        <w:spacing w:after="0" w:line="84" w:lineRule="exact"/>
        <w:rPr>
          <w:rFonts w:ascii="Arial" w:cs="Arial" w:eastAsia="Arial" w:hAnsi="Arial"/>
          <w:sz w:val="20"/>
          <w:szCs w:val="20"/>
          <w:color w:val="auto"/>
        </w:rPr>
      </w:pPr>
    </w:p>
    <w:p>
      <w:pPr>
        <w:ind w:left="360" w:hanging="360"/>
        <w:spacing w:after="0" w:line="261"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terms of our credit facility place restrictions on our operating and financial flexibility, and our existing and any future indebtedness could adversely affect our ability to operate our business;</w:t>
      </w:r>
    </w:p>
    <w:p>
      <w:pPr>
        <w:spacing w:after="0" w:line="59" w:lineRule="exact"/>
        <w:rPr>
          <w:rFonts w:ascii="Arial" w:cs="Arial" w:eastAsia="Arial" w:hAnsi="Arial"/>
          <w:sz w:val="20"/>
          <w:szCs w:val="20"/>
          <w:color w:val="auto"/>
        </w:rPr>
      </w:pPr>
    </w:p>
    <w:p>
      <w:pPr>
        <w:ind w:left="360" w:hanging="360"/>
        <w:spacing w:after="0" w:line="287" w:lineRule="auto"/>
        <w:tabs>
          <w:tab w:leader="none" w:pos="36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terms of the RIPSA place restrictions on our operating and financial flexibility, and if we fail to comply with certain covenants in the RIPSA, our results of operations and financial condition may be harmed;</w:t>
      </w:r>
    </w:p>
    <w:p>
      <w:pPr>
        <w:spacing w:after="0" w:line="37" w:lineRule="exact"/>
        <w:rPr>
          <w:rFonts w:ascii="Arial" w:cs="Arial" w:eastAsia="Arial" w:hAnsi="Arial"/>
          <w:sz w:val="19"/>
          <w:szCs w:val="19"/>
          <w:color w:val="auto"/>
        </w:rPr>
      </w:pPr>
    </w:p>
    <w:p>
      <w:pPr>
        <w:jc w:val="both"/>
        <w:ind w:left="360" w:hanging="360"/>
        <w:spacing w:after="0" w:line="245"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75" w:lineRule="exact"/>
        <w:rPr>
          <w:rFonts w:ascii="Arial" w:cs="Arial" w:eastAsia="Arial" w:hAnsi="Arial"/>
          <w:sz w:val="20"/>
          <w:szCs w:val="20"/>
          <w:color w:val="auto"/>
        </w:rPr>
      </w:pPr>
    </w:p>
    <w:p>
      <w:pPr>
        <w:jc w:val="both"/>
        <w:ind w:left="360" w:hanging="360"/>
        <w:spacing w:after="0" w:line="264" w:lineRule="auto"/>
        <w:tabs>
          <w:tab w:leader="none" w:pos="360" w:val="left"/>
        </w:tabs>
        <w:numPr>
          <w:ilvl w:val="0"/>
          <w:numId w:val="5"/>
        </w:numPr>
        <w:rPr>
          <w:rFonts w:ascii="Arial" w:cs="Arial" w:eastAsia="Arial" w:hAnsi="Arial"/>
          <w:sz w:val="19"/>
          <w:szCs w:val="19"/>
          <w:color w:val="auto"/>
        </w:rPr>
      </w:pPr>
      <w:r>
        <w:rPr>
          <w:rFonts w:ascii="Arial" w:cs="Arial" w:eastAsia="Arial" w:hAnsi="Arial"/>
          <w:sz w:val="19"/>
          <w:szCs w:val="19"/>
          <w:color w:val="auto"/>
        </w:rPr>
        <w:t>We depend solely on the success of ensifentrine, which was recently approved by the FDA as Ohtuvayre. If we are unable to continue to commercialize Ohtuvayre, or successfully develop ensifentrine for other indications, our ability to generate revenue and our financial condition will be adversely affected;</w:t>
      </w:r>
    </w:p>
    <w:p>
      <w:pPr>
        <w:spacing w:after="0" w:line="58" w:lineRule="exact"/>
        <w:rPr>
          <w:rFonts w:ascii="Arial" w:cs="Arial" w:eastAsia="Arial" w:hAnsi="Arial"/>
          <w:sz w:val="19"/>
          <w:szCs w:val="19"/>
          <w:color w:val="auto"/>
        </w:rPr>
      </w:pPr>
    </w:p>
    <w:p>
      <w:pPr>
        <w:ind w:left="360" w:hanging="360"/>
        <w:spacing w:after="0" w:line="261"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may incur additional costs or experience delays in completing, or ultimately be unable to complete, the development and commercialization of our product candidates;</w:t>
      </w:r>
    </w:p>
    <w:p>
      <w:pPr>
        <w:spacing w:after="0" w:line="59" w:lineRule="exact"/>
        <w:rPr>
          <w:rFonts w:ascii="Arial" w:cs="Arial" w:eastAsia="Arial" w:hAnsi="Arial"/>
          <w:sz w:val="20"/>
          <w:szCs w:val="20"/>
          <w:color w:val="auto"/>
        </w:rPr>
      </w:pPr>
    </w:p>
    <w:p>
      <w:pPr>
        <w:ind w:left="360" w:hanging="360"/>
        <w:spacing w:after="0" w:line="261"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product and product candidates may have serious adverse, undesirable or unacceptable side effects which may delay or prevent marketing approval;</w:t>
      </w:r>
    </w:p>
    <w:p>
      <w:pPr>
        <w:spacing w:after="0" w:line="59" w:lineRule="exact"/>
        <w:rPr>
          <w:rFonts w:ascii="Arial" w:cs="Arial" w:eastAsia="Arial" w:hAnsi="Arial"/>
          <w:sz w:val="20"/>
          <w:szCs w:val="20"/>
          <w:color w:val="auto"/>
        </w:rPr>
      </w:pPr>
    </w:p>
    <w:p>
      <w:pPr>
        <w:ind w:left="360" w:hanging="360"/>
        <w:spacing w:after="0" w:line="261"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If we are unable to enroll patients in our clinical trials for other indications, or enrollment is slower than anticipated, our research and development efforts could be adversely affected;</w:t>
      </w:r>
    </w:p>
    <w:p>
      <w:pPr>
        <w:spacing w:after="0" w:line="59" w:lineRule="exact"/>
        <w:rPr>
          <w:rFonts w:ascii="Arial" w:cs="Arial" w:eastAsia="Arial" w:hAnsi="Arial"/>
          <w:sz w:val="20"/>
          <w:szCs w:val="20"/>
          <w:color w:val="auto"/>
        </w:rPr>
      </w:pPr>
    </w:p>
    <w:p>
      <w:pPr>
        <w:ind w:left="360" w:hanging="360"/>
        <w:spacing w:after="0" w:line="316"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become exposed to costly and damaging liability claims, either when testing ensifentrine in the clinic or at the commercial stage, and our product liability insurance may not cover all damages from such claims;</w:t>
      </w:r>
    </w:p>
    <w:p>
      <w:pPr>
        <w:spacing w:after="0" w:line="14" w:lineRule="exact"/>
        <w:rPr>
          <w:rFonts w:ascii="Arial" w:cs="Arial" w:eastAsia="Arial" w:hAnsi="Arial"/>
          <w:sz w:val="18"/>
          <w:szCs w:val="18"/>
          <w:color w:val="auto"/>
        </w:rPr>
      </w:pPr>
    </w:p>
    <w:p>
      <w:pPr>
        <w:jc w:val="both"/>
        <w:ind w:left="360" w:hanging="360"/>
        <w:spacing w:after="0" w:line="245"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Regulatory approval processes are lengthy, time consuming and inherently unpredictable, and if we are ultimately unable to obtain regulatory approval for our product candidates, our business will be substantially harmed;</w:t>
      </w:r>
    </w:p>
    <w:p>
      <w:pPr>
        <w:spacing w:after="0" w:line="75" w:lineRule="exact"/>
        <w:rPr>
          <w:rFonts w:ascii="Arial" w:cs="Arial" w:eastAsia="Arial" w:hAnsi="Arial"/>
          <w:sz w:val="20"/>
          <w:szCs w:val="20"/>
          <w:color w:val="auto"/>
        </w:rPr>
      </w:pPr>
    </w:p>
    <w:p>
      <w:pPr>
        <w:ind w:left="360" w:hanging="360"/>
        <w:spacing w:after="0" w:line="261"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Enacted and future legislation may increase the difficulty and cost for us to obtain marketing approval of and commercialize our product candidates and may affect the prices we may set;</w:t>
      </w:r>
    </w:p>
    <w:p>
      <w:pPr>
        <w:spacing w:after="0" w:line="59" w:lineRule="exact"/>
        <w:rPr>
          <w:rFonts w:ascii="Arial" w:cs="Arial" w:eastAsia="Arial" w:hAnsi="Arial"/>
          <w:sz w:val="20"/>
          <w:szCs w:val="20"/>
          <w:color w:val="auto"/>
        </w:rPr>
      </w:pPr>
    </w:p>
    <w:p>
      <w:pPr>
        <w:jc w:val="both"/>
        <w:ind w:left="360" w:hanging="360"/>
        <w:spacing w:after="0" w:line="245"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75" w:lineRule="exact"/>
        <w:rPr>
          <w:rFonts w:ascii="Arial" w:cs="Arial" w:eastAsia="Arial" w:hAnsi="Arial"/>
          <w:sz w:val="20"/>
          <w:szCs w:val="20"/>
          <w:color w:val="auto"/>
        </w:rPr>
      </w:pPr>
    </w:p>
    <w:p>
      <w:pPr>
        <w:ind w:left="360" w:hanging="360"/>
        <w:spacing w:after="0" w:line="287" w:lineRule="auto"/>
        <w:tabs>
          <w:tab w:leader="none" w:pos="360" w:val="left"/>
        </w:tabs>
        <w:numPr>
          <w:ilvl w:val="0"/>
          <w:numId w:val="5"/>
        </w:numPr>
        <w:rPr>
          <w:rFonts w:ascii="Arial" w:cs="Arial" w:eastAsia="Arial" w:hAnsi="Arial"/>
          <w:sz w:val="19"/>
          <w:szCs w:val="19"/>
          <w:color w:val="auto"/>
        </w:rPr>
      </w:pPr>
      <w:r>
        <w:rPr>
          <w:rFonts w:ascii="Arial" w:cs="Arial" w:eastAsia="Arial" w:hAnsi="Arial"/>
          <w:sz w:val="19"/>
          <w:szCs w:val="19"/>
          <w:color w:val="auto"/>
        </w:rPr>
        <w:t>We operate in a highly competitive and rapidly changing industry, which may result in others discovering, developing or commercializing competing products before or more successfully than we do;</w:t>
      </w:r>
    </w:p>
    <w:p>
      <w:pPr>
        <w:spacing w:after="0" w:line="37" w:lineRule="exact"/>
        <w:rPr>
          <w:rFonts w:ascii="Arial" w:cs="Arial" w:eastAsia="Arial" w:hAnsi="Arial"/>
          <w:sz w:val="19"/>
          <w:szCs w:val="19"/>
          <w:color w:val="auto"/>
        </w:rPr>
      </w:pPr>
    </w:p>
    <w:p>
      <w:pPr>
        <w:ind w:left="360" w:hanging="360"/>
        <w:spacing w:after="0" w:line="316"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products, including Ohtuvayre, do not gain market acceptance or if we fail to accurately forecast demand or manage our inventories, our business will suffer because we might not be able to fund future operations;</w:t>
      </w:r>
    </w:p>
    <w:p>
      <w:pPr>
        <w:spacing w:after="0" w:line="14" w:lineRule="exact"/>
        <w:rPr>
          <w:rFonts w:ascii="Arial" w:cs="Arial" w:eastAsia="Arial" w:hAnsi="Arial"/>
          <w:sz w:val="18"/>
          <w:szCs w:val="18"/>
          <w:color w:val="auto"/>
        </w:rPr>
      </w:pPr>
    </w:p>
    <w:p>
      <w:pPr>
        <w:ind w:left="360" w:hanging="360"/>
        <w:spacing w:after="0" w:line="316"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commercial capabilities and infrastructure, including sales, marketing, operations, manufacturing, distribution, and reimbursement infrastructure, may not be adequate to successfully commercialize Ohtuvayre;</w:t>
      </w:r>
    </w:p>
    <w:p>
      <w:pPr>
        <w:spacing w:after="0" w:line="14" w:lineRule="exact"/>
        <w:rPr>
          <w:rFonts w:ascii="Arial" w:cs="Arial" w:eastAsia="Arial" w:hAnsi="Arial"/>
          <w:sz w:val="18"/>
          <w:szCs w:val="18"/>
          <w:color w:val="auto"/>
        </w:rPr>
      </w:pPr>
    </w:p>
    <w:p>
      <w:pPr>
        <w:ind w:left="360" w:hanging="360"/>
        <w:spacing w:after="0" w:line="261"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rely, and expect to continue to rely, on third parties, including independent clinical investigators and clinical research organizations, to conduct our pre-clinical studies and clinical trials;</w:t>
      </w:r>
    </w:p>
    <w:p>
      <w:pPr>
        <w:spacing w:after="0" w:line="59" w:lineRule="exact"/>
        <w:rPr>
          <w:rFonts w:ascii="Arial" w:cs="Arial" w:eastAsia="Arial" w:hAnsi="Arial"/>
          <w:sz w:val="20"/>
          <w:szCs w:val="20"/>
          <w:color w:val="auto"/>
        </w:rPr>
      </w:pPr>
    </w:p>
    <w:p>
      <w:pPr>
        <w:jc w:val="both"/>
        <w:ind w:left="360" w:hanging="360"/>
        <w:spacing w:after="0"/>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ectPr>
          <w:pgSz w:w="11880" w:h="15480" w:orient="portrait"/>
          <w:cols w:equalWidth="0" w:num="1">
            <w:col w:w="9360"/>
          </w:cols>
          <w:pgMar w:left="1260" w:top="1191" w:right="1260" w:bottom="717" w:gutter="0" w:footer="0" w:header="0"/>
        </w:sectPr>
      </w:pPr>
    </w:p>
    <w:bookmarkStart w:id="8" w:name="page9"/>
    <w:bookmarkEnd w:id="8"/>
    <w:p>
      <w:pPr>
        <w:ind w:left="360" w:hanging="360"/>
        <w:spacing w:after="0" w:line="261" w:lineRule="auto"/>
        <w:tabs>
          <w:tab w:leader="none" w:pos="360" w:val="left"/>
        </w:tabs>
        <w:numPr>
          <w:ilvl w:val="0"/>
          <w:numId w:val="6"/>
        </w:numPr>
        <w:rPr>
          <w:rFonts w:ascii="Arial" w:cs="Arial" w:eastAsia="Arial" w:hAnsi="Arial"/>
          <w:sz w:val="20"/>
          <w:szCs w:val="20"/>
          <w:color w:val="auto"/>
        </w:rPr>
      </w:pPr>
      <w:r>
        <w:rPr>
          <w:rFonts w:ascii="Arial" w:cs="Arial" w:eastAsia="Arial" w:hAnsi="Arial"/>
          <w:sz w:val="20"/>
          <w:szCs w:val="20"/>
          <w:color w:val="auto"/>
        </w:rPr>
        <w:t>If we fail to enter into new strategic relationships for ensifentrine, our business, research and development and commercialization prospects could be adversely affected;</w:t>
      </w:r>
    </w:p>
    <w:p>
      <w:pPr>
        <w:spacing w:after="0" w:line="59" w:lineRule="exact"/>
        <w:rPr>
          <w:rFonts w:ascii="Arial" w:cs="Arial" w:eastAsia="Arial" w:hAnsi="Arial"/>
          <w:sz w:val="20"/>
          <w:szCs w:val="20"/>
          <w:color w:val="auto"/>
        </w:rPr>
      </w:pPr>
    </w:p>
    <w:p>
      <w:pPr>
        <w:jc w:val="both"/>
        <w:ind w:left="360" w:hanging="360"/>
        <w:spacing w:after="0"/>
        <w:tabs>
          <w:tab w:leader="none" w:pos="360"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rely, and expect to continue to rely, on third party manufacturers and suppliers for production of the active pharmaceutical ingredient ensifentrine and formulated drug products derived therefrom. Our dependence on these third parties may impair continued commercialization of Ohtuvayre and the advancement of our research and development programs;</w:t>
      </w:r>
    </w:p>
    <w:p>
      <w:pPr>
        <w:spacing w:after="0" w:line="80" w:lineRule="exact"/>
        <w:rPr>
          <w:rFonts w:ascii="Arial" w:cs="Arial" w:eastAsia="Arial" w:hAnsi="Arial"/>
          <w:sz w:val="20"/>
          <w:szCs w:val="20"/>
          <w:color w:val="auto"/>
        </w:rPr>
      </w:pPr>
    </w:p>
    <w:p>
      <w:pPr>
        <w:jc w:val="both"/>
        <w:ind w:left="360" w:hanging="360"/>
        <w:spacing w:after="0" w:line="245" w:lineRule="auto"/>
        <w:tabs>
          <w:tab w:leader="none" w:pos="360"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rely, and expect to continue to rely, on third parties for the sales, marketing, reimbursement and distribution of our drug products, and a failure by these third parties to adequately perform would adversely affect our business;</w:t>
      </w:r>
    </w:p>
    <w:p>
      <w:pPr>
        <w:spacing w:after="0" w:line="75" w:lineRule="exact"/>
        <w:rPr>
          <w:rFonts w:ascii="Arial" w:cs="Arial" w:eastAsia="Arial" w:hAnsi="Arial"/>
          <w:sz w:val="20"/>
          <w:szCs w:val="20"/>
          <w:color w:val="auto"/>
        </w:rPr>
      </w:pPr>
    </w:p>
    <w:p>
      <w:pPr>
        <w:ind w:left="360" w:hanging="360"/>
        <w:spacing w:after="0" w:line="316"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and our manufacturers’, suppliers’ and other critical third parties’ cybersecurity risk management program and processes may not be effective in protecting our systems, networks and Confidential Information;</w:t>
      </w:r>
    </w:p>
    <w:p>
      <w:pPr>
        <w:spacing w:after="0" w:line="14" w:lineRule="exact"/>
        <w:rPr>
          <w:rFonts w:ascii="Arial" w:cs="Arial" w:eastAsia="Arial" w:hAnsi="Arial"/>
          <w:sz w:val="18"/>
          <w:szCs w:val="18"/>
          <w:color w:val="auto"/>
        </w:rPr>
      </w:pPr>
    </w:p>
    <w:p>
      <w:pPr>
        <w:ind w:left="360" w:hanging="360"/>
        <w:spacing w:after="0" w:line="261" w:lineRule="auto"/>
        <w:tabs>
          <w:tab w:leader="none" w:pos="360"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rely on patents and other intellectual property rights to protect ensifentrine, the enforcement, defense and maintenance of which may be challenging and costly;</w:t>
      </w:r>
    </w:p>
    <w:p>
      <w:pPr>
        <w:spacing w:after="0" w:line="59" w:lineRule="exact"/>
        <w:rPr>
          <w:rFonts w:ascii="Arial" w:cs="Arial" w:eastAsia="Arial" w:hAnsi="Arial"/>
          <w:sz w:val="20"/>
          <w:szCs w:val="20"/>
          <w:color w:val="auto"/>
        </w:rPr>
      </w:pPr>
    </w:p>
    <w:p>
      <w:pPr>
        <w:jc w:val="both"/>
        <w:ind w:left="360" w:hanging="360"/>
        <w:spacing w:after="0" w:line="256" w:lineRule="auto"/>
        <w:tabs>
          <w:tab w:leader="none" w:pos="360" w:val="left"/>
        </w:tabs>
        <w:numPr>
          <w:ilvl w:val="0"/>
          <w:numId w:val="6"/>
        </w:numPr>
        <w:rPr>
          <w:rFonts w:ascii="Arial" w:cs="Arial" w:eastAsia="Arial" w:hAnsi="Arial"/>
          <w:sz w:val="19"/>
          <w:szCs w:val="19"/>
          <w:color w:val="auto"/>
        </w:rPr>
      </w:pPr>
      <w:r>
        <w:rPr>
          <w:rFonts w:ascii="Arial" w:cs="Arial" w:eastAsia="Arial" w:hAnsi="Arial"/>
          <w:sz w:val="19"/>
          <w:szCs w:val="19"/>
          <w:color w:val="auto"/>
        </w:rPr>
        <w:t>Our information technology systems, and those of our manufacturers, suppliers and other third parties that we use to perform services for us or otherwise collaborate with, may fail or suffer security breaches, which could distract our operations and cause delays in our research and development and commercialization activities, and may adversely affect our business, operations and financial performance;</w:t>
      </w:r>
    </w:p>
    <w:p>
      <w:pPr>
        <w:spacing w:after="0" w:line="67" w:lineRule="exact"/>
        <w:rPr>
          <w:rFonts w:ascii="Arial" w:cs="Arial" w:eastAsia="Arial" w:hAnsi="Arial"/>
          <w:sz w:val="19"/>
          <w:szCs w:val="19"/>
          <w:color w:val="auto"/>
        </w:rPr>
      </w:pPr>
    </w:p>
    <w:p>
      <w:pPr>
        <w:jc w:val="both"/>
        <w:ind w:left="360" w:hanging="360"/>
        <w:spacing w:after="0" w:line="316"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identify relevant third-party patents or may incorrectly interpret the relevance, scope or expiration of a third-party patent which might adversely affect our ability to develop, manufacture and market ensifentrine;</w:t>
      </w:r>
    </w:p>
    <w:p>
      <w:pPr>
        <w:spacing w:after="0" w:line="14" w:lineRule="exact"/>
        <w:rPr>
          <w:rFonts w:ascii="Arial" w:cs="Arial" w:eastAsia="Arial" w:hAnsi="Arial"/>
          <w:sz w:val="18"/>
          <w:szCs w:val="18"/>
          <w:color w:val="auto"/>
        </w:rPr>
      </w:pPr>
    </w:p>
    <w:p>
      <w:pPr>
        <w:jc w:val="both"/>
        <w:ind w:left="360" w:hanging="360"/>
        <w:spacing w:after="0" w:line="245" w:lineRule="auto"/>
        <w:tabs>
          <w:tab w:leader="none" w:pos="360"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may be involved in lawsuits to protect or enforce patents covering ensifentrine, which could be expensive, time consuming and unsuccessful, and issued patents could be found invalid or unenforceable if challenged in court;</w:t>
      </w:r>
    </w:p>
    <w:p>
      <w:pPr>
        <w:spacing w:after="0" w:line="75" w:lineRule="exact"/>
        <w:rPr>
          <w:rFonts w:ascii="Arial" w:cs="Arial" w:eastAsia="Arial" w:hAnsi="Arial"/>
          <w:sz w:val="20"/>
          <w:szCs w:val="20"/>
          <w:color w:val="auto"/>
        </w:rPr>
      </w:pPr>
    </w:p>
    <w:p>
      <w:pPr>
        <w:ind w:left="360" w:hanging="360"/>
        <w:spacing w:after="0" w:line="261" w:lineRule="auto"/>
        <w:tabs>
          <w:tab w:leader="none" w:pos="36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future growth and ability to compete depends on our ability to retain our key personnel and recruit additional qualified personnel;</w:t>
      </w:r>
    </w:p>
    <w:p>
      <w:pPr>
        <w:spacing w:after="0" w:line="59" w:lineRule="exact"/>
        <w:rPr>
          <w:rFonts w:ascii="Arial" w:cs="Arial" w:eastAsia="Arial" w:hAnsi="Arial"/>
          <w:sz w:val="20"/>
          <w:szCs w:val="20"/>
          <w:color w:val="auto"/>
        </w:rPr>
      </w:pPr>
    </w:p>
    <w:p>
      <w:pPr>
        <w:ind w:left="360" w:hanging="360"/>
        <w:spacing w:after="0" w:line="261" w:lineRule="auto"/>
        <w:tabs>
          <w:tab w:leader="none" w:pos="360"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expect to expand our development, regulatory and sales and marketing capabilities, and as a result, we may encounter difficulties in managing our growth, which could disrupt our operations;</w:t>
      </w:r>
    </w:p>
    <w:p>
      <w:pPr>
        <w:spacing w:after="0" w:line="59" w:lineRule="exact"/>
        <w:rPr>
          <w:rFonts w:ascii="Arial" w:cs="Arial" w:eastAsia="Arial" w:hAnsi="Arial"/>
          <w:sz w:val="20"/>
          <w:szCs w:val="20"/>
          <w:color w:val="auto"/>
        </w:rPr>
      </w:pPr>
    </w:p>
    <w:p>
      <w:pPr>
        <w:ind w:left="360" w:hanging="360"/>
        <w:spacing w:after="0" w:line="261" w:lineRule="auto"/>
        <w:tabs>
          <w:tab w:leader="none" w:pos="3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price of our American Depositary Shares may be volatile and may fluctuate due to factors beyond our control;</w:t>
      </w:r>
    </w:p>
    <w:p>
      <w:pPr>
        <w:spacing w:after="0" w:line="59" w:lineRule="exact"/>
        <w:rPr>
          <w:rFonts w:ascii="Arial" w:cs="Arial" w:eastAsia="Arial" w:hAnsi="Arial"/>
          <w:sz w:val="20"/>
          <w:szCs w:val="20"/>
          <w:color w:val="auto"/>
        </w:rPr>
      </w:pPr>
    </w:p>
    <w:p>
      <w:pPr>
        <w:jc w:val="both"/>
        <w:ind w:left="360" w:hanging="360"/>
        <w:spacing w:after="0" w:line="245" w:lineRule="auto"/>
        <w:tabs>
          <w:tab w:leader="none" w:pos="360"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will continue to incur increased costs as a result of operating as a public company in the United States, and our senior management are required to devote substantial time to new compliance initiatives and corporate governance practices; and</w:t>
      </w:r>
    </w:p>
    <w:p>
      <w:pPr>
        <w:spacing w:after="0" w:line="75" w:lineRule="exact"/>
        <w:rPr>
          <w:rFonts w:ascii="Arial" w:cs="Arial" w:eastAsia="Arial" w:hAnsi="Arial"/>
          <w:sz w:val="20"/>
          <w:szCs w:val="20"/>
          <w:color w:val="auto"/>
        </w:rPr>
      </w:pPr>
    </w:p>
    <w:p>
      <w:pPr>
        <w:ind w:left="420" w:hanging="420"/>
        <w:spacing w:after="0"/>
        <w:tabs>
          <w:tab w:leader="none" w:pos="420" w:val="left"/>
        </w:tabs>
        <w:numPr>
          <w:ilvl w:val="0"/>
          <w:numId w:val="6"/>
        </w:numPr>
        <w:rPr>
          <w:rFonts w:ascii="Arial" w:cs="Arial" w:eastAsia="Arial" w:hAnsi="Arial"/>
          <w:sz w:val="20"/>
          <w:szCs w:val="20"/>
          <w:color w:val="auto"/>
        </w:rPr>
      </w:pPr>
      <w:r>
        <w:rPr>
          <w:rFonts w:ascii="Arial" w:cs="Arial" w:eastAsia="Arial" w:hAnsi="Arial"/>
          <w:sz w:val="20"/>
          <w:szCs w:val="20"/>
          <w:color w:val="auto"/>
        </w:rPr>
        <w:t>Business interruptions could adversely affect our operations.</w:t>
      </w:r>
    </w:p>
    <w:p>
      <w:pPr>
        <w:sectPr>
          <w:pgSz w:w="11880" w:h="15480" w:orient="portrait"/>
          <w:cols w:equalWidth="0" w:num="1">
            <w:col w:w="9360"/>
          </w:cols>
          <w:pgMar w:left="1260" w:top="1198" w:right="126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85"/>
        </w:trPr>
        <w:tc>
          <w:tcPr>
            <w:tcW w:w="1000" w:type="dxa"/>
            <w:vAlign w:val="bottom"/>
          </w:tcPr>
          <w:p>
            <w:pPr>
              <w:spacing w:after="0"/>
              <w:rPr>
                <w:sz w:val="24"/>
                <w:szCs w:val="24"/>
                <w:color w:val="auto"/>
              </w:rPr>
            </w:pPr>
          </w:p>
        </w:tc>
        <w:tc>
          <w:tcPr>
            <w:tcW w:w="7400" w:type="dxa"/>
            <w:vAlign w:val="bottom"/>
          </w:tcPr>
          <w:p>
            <w:pPr>
              <w:ind w:left="2900"/>
              <w:spacing w:after="0"/>
              <w:rPr>
                <w:sz w:val="20"/>
                <w:szCs w:val="20"/>
                <w:color w:val="auto"/>
              </w:rPr>
            </w:pPr>
            <w:r>
              <w:rPr>
                <w:rFonts w:ascii="Arial" w:cs="Arial" w:eastAsia="Arial" w:hAnsi="Arial"/>
                <w:sz w:val="20"/>
                <w:szCs w:val="20"/>
                <w:color w:val="auto"/>
              </w:rPr>
              <w:t>Table of Contents</w:t>
            </w:r>
          </w:p>
        </w:tc>
        <w:tc>
          <w:tcPr>
            <w:tcW w:w="920" w:type="dxa"/>
            <w:vAlign w:val="bottom"/>
            <w:tcBorders>
              <w:right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00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Page</w:t>
            </w:r>
          </w:p>
        </w:tc>
        <w:tc>
          <w:tcPr>
            <w:tcW w:w="0" w:type="dxa"/>
            <w:vAlign w:val="bottom"/>
          </w:tcPr>
          <w:p>
            <w:pPr>
              <w:spacing w:after="0"/>
              <w:rPr>
                <w:sz w:val="1"/>
                <w:szCs w:val="1"/>
                <w:color w:val="auto"/>
              </w:rPr>
            </w:pPr>
          </w:p>
        </w:tc>
      </w:tr>
      <w:tr>
        <w:trPr>
          <w:trHeight w:val="275"/>
        </w:trPr>
        <w:tc>
          <w:tcPr>
            <w:tcW w:w="1000" w:type="dxa"/>
            <w:vAlign w:val="bottom"/>
          </w:tcPr>
          <w:p>
            <w:pPr>
              <w:spacing w:after="0"/>
              <w:rPr>
                <w:sz w:val="20"/>
                <w:szCs w:val="20"/>
                <w:color w:val="auto"/>
              </w:rPr>
            </w:pPr>
            <w:r>
              <w:rPr>
                <w:rFonts w:ascii="Arial" w:cs="Arial" w:eastAsia="Arial" w:hAnsi="Arial"/>
                <w:sz w:val="20"/>
                <w:szCs w:val="20"/>
                <w:color w:val="auto"/>
              </w:rPr>
              <w:t>Part I</w:t>
            </w:r>
          </w:p>
        </w:tc>
        <w:tc>
          <w:tcPr>
            <w:tcW w:w="7400" w:type="dxa"/>
            <w:vAlign w:val="bottom"/>
          </w:tcPr>
          <w:p>
            <w:pPr>
              <w:spacing w:after="0"/>
              <w:rPr>
                <w:sz w:val="23"/>
                <w:szCs w:val="23"/>
                <w:color w:val="auto"/>
              </w:rPr>
            </w:pPr>
          </w:p>
        </w:tc>
        <w:tc>
          <w:tcPr>
            <w:tcW w:w="920" w:type="dxa"/>
            <w:vAlign w:val="bottom"/>
            <w:tcBorders>
              <w:right w:val="single" w:sz="8" w:color="E6E6E6"/>
            </w:tcBorders>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1000" w:type="dxa"/>
            <w:vAlign w:val="bottom"/>
          </w:tcPr>
          <w:p>
            <w:pPr>
              <w:spacing w:after="0"/>
              <w:rPr>
                <w:sz w:val="20"/>
                <w:szCs w:val="20"/>
                <w:color w:val="auto"/>
              </w:rPr>
            </w:pPr>
            <w:r>
              <w:rPr>
                <w:rFonts w:ascii="Arial" w:cs="Arial" w:eastAsia="Arial" w:hAnsi="Arial"/>
                <w:sz w:val="20"/>
                <w:szCs w:val="20"/>
                <w:color w:val="auto"/>
              </w:rPr>
              <w:t>Item 1.</w:t>
            </w:r>
          </w:p>
        </w:tc>
        <w:tc>
          <w:tcPr>
            <w:tcW w:w="7400" w:type="dxa"/>
            <w:vAlign w:val="bottom"/>
          </w:tcPr>
          <w:p>
            <w:pPr>
              <w:ind w:left="180"/>
              <w:spacing w:after="0"/>
              <w:rPr>
                <w:sz w:val="20"/>
                <w:szCs w:val="20"/>
                <w:color w:val="auto"/>
              </w:rPr>
            </w:pPr>
            <w:r>
              <w:rPr>
                <w:rFonts w:ascii="Arial" w:cs="Arial" w:eastAsia="Arial" w:hAnsi="Arial"/>
                <w:sz w:val="20"/>
                <w:szCs w:val="20"/>
                <w:color w:val="auto"/>
              </w:rPr>
              <w:t>Business</w:t>
            </w:r>
          </w:p>
        </w:tc>
        <w:tc>
          <w:tcPr>
            <w:tcW w:w="92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448"/>
        </w:trPr>
        <w:tc>
          <w:tcPr>
            <w:tcW w:w="1000" w:type="dxa"/>
            <w:vAlign w:val="bottom"/>
          </w:tcPr>
          <w:p>
            <w:pPr>
              <w:spacing w:after="0"/>
              <w:rPr>
                <w:sz w:val="20"/>
                <w:szCs w:val="20"/>
                <w:color w:val="auto"/>
              </w:rPr>
            </w:pPr>
            <w:r>
              <w:rPr>
                <w:rFonts w:ascii="Arial" w:cs="Arial" w:eastAsia="Arial" w:hAnsi="Arial"/>
                <w:sz w:val="20"/>
                <w:szCs w:val="20"/>
                <w:color w:val="auto"/>
              </w:rPr>
              <w:t>Item 1A.</w:t>
            </w:r>
          </w:p>
        </w:tc>
        <w:tc>
          <w:tcPr>
            <w:tcW w:w="7400" w:type="dxa"/>
            <w:vAlign w:val="bottom"/>
          </w:tcPr>
          <w:p>
            <w:pPr>
              <w:ind w:left="180"/>
              <w:spacing w:after="0"/>
              <w:rPr>
                <w:sz w:val="20"/>
                <w:szCs w:val="20"/>
                <w:color w:val="auto"/>
              </w:rPr>
            </w:pPr>
            <w:r>
              <w:rPr>
                <w:rFonts w:ascii="Arial" w:cs="Arial" w:eastAsia="Arial" w:hAnsi="Arial"/>
                <w:sz w:val="20"/>
                <w:szCs w:val="20"/>
                <w:color w:val="auto"/>
              </w:rPr>
              <w:t>Risk Factors</w:t>
            </w:r>
          </w:p>
        </w:tc>
        <w:tc>
          <w:tcPr>
            <w:tcW w:w="920" w:type="dxa"/>
            <w:vAlign w:val="bottom"/>
            <w:tcBorders>
              <w:right w:val="single" w:sz="8" w:color="E6E6E6"/>
            </w:tcBorders>
          </w:tcPr>
          <w:p>
            <w:pPr>
              <w:jc w:val="center"/>
              <w:spacing w:after="0"/>
              <w:rPr>
                <w:sz w:val="20"/>
                <w:szCs w:val="20"/>
                <w:color w:val="auto"/>
              </w:rPr>
            </w:pPr>
            <w:r>
              <w:rPr>
                <w:rFonts w:ascii="Arial" w:cs="Arial" w:eastAsia="Arial" w:hAnsi="Arial"/>
                <w:sz w:val="20"/>
                <w:szCs w:val="20"/>
                <w:color w:val="auto"/>
                <w:w w:val="89"/>
              </w:rPr>
              <w:t>24</w:t>
            </w:r>
          </w:p>
        </w:tc>
        <w:tc>
          <w:tcPr>
            <w:tcW w:w="0" w:type="dxa"/>
            <w:vAlign w:val="bottom"/>
          </w:tcPr>
          <w:p>
            <w:pPr>
              <w:spacing w:after="0"/>
              <w:rPr>
                <w:sz w:val="1"/>
                <w:szCs w:val="1"/>
                <w:color w:val="auto"/>
              </w:rPr>
            </w:pPr>
          </w:p>
        </w:tc>
      </w:tr>
      <w:tr>
        <w:trPr>
          <w:trHeight w:val="422"/>
        </w:trPr>
        <w:tc>
          <w:tcPr>
            <w:tcW w:w="1000" w:type="dxa"/>
            <w:vAlign w:val="bottom"/>
          </w:tcPr>
          <w:p>
            <w:pPr>
              <w:spacing w:after="0"/>
              <w:rPr>
                <w:sz w:val="20"/>
                <w:szCs w:val="20"/>
                <w:color w:val="auto"/>
              </w:rPr>
            </w:pPr>
            <w:r>
              <w:rPr>
                <w:rFonts w:ascii="Arial" w:cs="Arial" w:eastAsia="Arial" w:hAnsi="Arial"/>
                <w:sz w:val="20"/>
                <w:szCs w:val="20"/>
                <w:color w:val="auto"/>
              </w:rPr>
              <w:t>Item 1B.</w:t>
            </w:r>
          </w:p>
        </w:tc>
        <w:tc>
          <w:tcPr>
            <w:tcW w:w="7400" w:type="dxa"/>
            <w:vAlign w:val="bottom"/>
          </w:tcPr>
          <w:p>
            <w:pPr>
              <w:ind w:left="180"/>
              <w:spacing w:after="0"/>
              <w:rPr>
                <w:sz w:val="20"/>
                <w:szCs w:val="20"/>
                <w:color w:val="auto"/>
              </w:rPr>
            </w:pPr>
            <w:r>
              <w:rPr>
                <w:rFonts w:ascii="Arial" w:cs="Arial" w:eastAsia="Arial" w:hAnsi="Arial"/>
                <w:sz w:val="20"/>
                <w:szCs w:val="20"/>
                <w:color w:val="auto"/>
              </w:rPr>
              <w:t>Unresolved Staff Comments</w:t>
            </w:r>
          </w:p>
        </w:tc>
        <w:tc>
          <w:tcPr>
            <w:tcW w:w="920" w:type="dxa"/>
            <w:vAlign w:val="bottom"/>
          </w:tcPr>
          <w:p>
            <w:pPr>
              <w:jc w:val="center"/>
              <w:spacing w:after="0"/>
              <w:rPr>
                <w:sz w:val="20"/>
                <w:szCs w:val="20"/>
                <w:color w:val="auto"/>
              </w:rPr>
            </w:pPr>
            <w:r>
              <w:rPr>
                <w:rFonts w:ascii="Arial" w:cs="Arial" w:eastAsia="Arial" w:hAnsi="Arial"/>
                <w:sz w:val="20"/>
                <w:szCs w:val="20"/>
                <w:color w:val="auto"/>
                <w:w w:val="89"/>
              </w:rPr>
              <w:t>72</w:t>
            </w:r>
          </w:p>
        </w:tc>
        <w:tc>
          <w:tcPr>
            <w:tcW w:w="0" w:type="dxa"/>
            <w:vAlign w:val="bottom"/>
          </w:tcPr>
          <w:p>
            <w:pPr>
              <w:spacing w:after="0"/>
              <w:rPr>
                <w:sz w:val="1"/>
                <w:szCs w:val="1"/>
                <w:color w:val="auto"/>
              </w:rPr>
            </w:pPr>
          </w:p>
        </w:tc>
      </w:tr>
      <w:tr>
        <w:trPr>
          <w:trHeight w:val="448"/>
        </w:trPr>
        <w:tc>
          <w:tcPr>
            <w:tcW w:w="1000" w:type="dxa"/>
            <w:vAlign w:val="bottom"/>
          </w:tcPr>
          <w:p>
            <w:pPr>
              <w:spacing w:after="0"/>
              <w:rPr>
                <w:sz w:val="20"/>
                <w:szCs w:val="20"/>
                <w:color w:val="auto"/>
              </w:rPr>
            </w:pPr>
            <w:r>
              <w:rPr>
                <w:rFonts w:ascii="Arial" w:cs="Arial" w:eastAsia="Arial" w:hAnsi="Arial"/>
                <w:sz w:val="20"/>
                <w:szCs w:val="20"/>
                <w:color w:val="auto"/>
              </w:rPr>
              <w:t>Item 1C.</w:t>
            </w:r>
          </w:p>
        </w:tc>
        <w:tc>
          <w:tcPr>
            <w:tcW w:w="7400" w:type="dxa"/>
            <w:vAlign w:val="bottom"/>
          </w:tcPr>
          <w:p>
            <w:pPr>
              <w:ind w:left="180"/>
              <w:spacing w:after="0"/>
              <w:rPr>
                <w:sz w:val="20"/>
                <w:szCs w:val="20"/>
                <w:color w:val="auto"/>
              </w:rPr>
            </w:pPr>
            <w:r>
              <w:rPr>
                <w:rFonts w:ascii="Arial" w:cs="Arial" w:eastAsia="Arial" w:hAnsi="Arial"/>
                <w:sz w:val="20"/>
                <w:szCs w:val="20"/>
                <w:color w:val="auto"/>
              </w:rPr>
              <w:t>Cybersecurity</w:t>
            </w:r>
          </w:p>
        </w:tc>
        <w:tc>
          <w:tcPr>
            <w:tcW w:w="920" w:type="dxa"/>
            <w:vAlign w:val="bottom"/>
            <w:tcBorders>
              <w:right w:val="single" w:sz="8" w:color="E6E6E6"/>
            </w:tcBorders>
          </w:tcPr>
          <w:p>
            <w:pPr>
              <w:jc w:val="center"/>
              <w:spacing w:after="0"/>
              <w:rPr>
                <w:sz w:val="20"/>
                <w:szCs w:val="20"/>
                <w:color w:val="auto"/>
              </w:rPr>
            </w:pPr>
            <w:r>
              <w:rPr>
                <w:rFonts w:ascii="Arial" w:cs="Arial" w:eastAsia="Arial" w:hAnsi="Arial"/>
                <w:sz w:val="20"/>
                <w:szCs w:val="20"/>
                <w:color w:val="auto"/>
                <w:w w:val="89"/>
              </w:rPr>
              <w:t>72</w:t>
            </w:r>
          </w:p>
        </w:tc>
        <w:tc>
          <w:tcPr>
            <w:tcW w:w="0" w:type="dxa"/>
            <w:vAlign w:val="bottom"/>
          </w:tcPr>
          <w:p>
            <w:pPr>
              <w:spacing w:after="0"/>
              <w:rPr>
                <w:sz w:val="1"/>
                <w:szCs w:val="1"/>
                <w:color w:val="auto"/>
              </w:rPr>
            </w:pPr>
          </w:p>
        </w:tc>
      </w:tr>
      <w:tr>
        <w:trPr>
          <w:trHeight w:val="422"/>
        </w:trPr>
        <w:tc>
          <w:tcPr>
            <w:tcW w:w="1000" w:type="dxa"/>
            <w:vAlign w:val="bottom"/>
          </w:tcPr>
          <w:p>
            <w:pPr>
              <w:spacing w:after="0"/>
              <w:rPr>
                <w:sz w:val="20"/>
                <w:szCs w:val="20"/>
                <w:color w:val="auto"/>
              </w:rPr>
            </w:pPr>
            <w:r>
              <w:rPr>
                <w:rFonts w:ascii="Arial" w:cs="Arial" w:eastAsia="Arial" w:hAnsi="Arial"/>
                <w:sz w:val="20"/>
                <w:szCs w:val="20"/>
                <w:color w:val="auto"/>
              </w:rPr>
              <w:t>Item 2.</w:t>
            </w:r>
          </w:p>
        </w:tc>
        <w:tc>
          <w:tcPr>
            <w:tcW w:w="7400" w:type="dxa"/>
            <w:vAlign w:val="bottom"/>
          </w:tcPr>
          <w:p>
            <w:pPr>
              <w:ind w:left="180"/>
              <w:spacing w:after="0"/>
              <w:rPr>
                <w:sz w:val="20"/>
                <w:szCs w:val="20"/>
                <w:color w:val="auto"/>
              </w:rPr>
            </w:pPr>
            <w:r>
              <w:rPr>
                <w:rFonts w:ascii="Arial" w:cs="Arial" w:eastAsia="Arial" w:hAnsi="Arial"/>
                <w:sz w:val="20"/>
                <w:szCs w:val="20"/>
                <w:color w:val="auto"/>
              </w:rPr>
              <w:t>Properties</w:t>
            </w:r>
          </w:p>
        </w:tc>
        <w:tc>
          <w:tcPr>
            <w:tcW w:w="920" w:type="dxa"/>
            <w:vAlign w:val="bottom"/>
          </w:tcPr>
          <w:p>
            <w:pPr>
              <w:jc w:val="center"/>
              <w:spacing w:after="0"/>
              <w:rPr>
                <w:sz w:val="20"/>
                <w:szCs w:val="20"/>
                <w:color w:val="auto"/>
              </w:rPr>
            </w:pPr>
            <w:r>
              <w:rPr>
                <w:rFonts w:ascii="Arial" w:cs="Arial" w:eastAsia="Arial" w:hAnsi="Arial"/>
                <w:sz w:val="20"/>
                <w:szCs w:val="20"/>
                <w:color w:val="auto"/>
                <w:w w:val="89"/>
              </w:rPr>
              <w:t>73</w:t>
            </w:r>
          </w:p>
        </w:tc>
        <w:tc>
          <w:tcPr>
            <w:tcW w:w="0" w:type="dxa"/>
            <w:vAlign w:val="bottom"/>
          </w:tcPr>
          <w:p>
            <w:pPr>
              <w:spacing w:after="0"/>
              <w:rPr>
                <w:sz w:val="1"/>
                <w:szCs w:val="1"/>
                <w:color w:val="auto"/>
              </w:rPr>
            </w:pPr>
          </w:p>
        </w:tc>
      </w:tr>
      <w:tr>
        <w:trPr>
          <w:trHeight w:val="448"/>
        </w:trPr>
        <w:tc>
          <w:tcPr>
            <w:tcW w:w="1000" w:type="dxa"/>
            <w:vAlign w:val="bottom"/>
          </w:tcPr>
          <w:p>
            <w:pPr>
              <w:spacing w:after="0"/>
              <w:rPr>
                <w:sz w:val="20"/>
                <w:szCs w:val="20"/>
                <w:color w:val="auto"/>
              </w:rPr>
            </w:pPr>
            <w:r>
              <w:rPr>
                <w:rFonts w:ascii="Arial" w:cs="Arial" w:eastAsia="Arial" w:hAnsi="Arial"/>
                <w:sz w:val="20"/>
                <w:szCs w:val="20"/>
                <w:color w:val="auto"/>
              </w:rPr>
              <w:t>Item 3.</w:t>
            </w:r>
          </w:p>
        </w:tc>
        <w:tc>
          <w:tcPr>
            <w:tcW w:w="7400" w:type="dxa"/>
            <w:vAlign w:val="bottom"/>
          </w:tcPr>
          <w:p>
            <w:pPr>
              <w:ind w:left="180"/>
              <w:spacing w:after="0"/>
              <w:rPr>
                <w:sz w:val="20"/>
                <w:szCs w:val="20"/>
                <w:color w:val="auto"/>
              </w:rPr>
            </w:pPr>
            <w:r>
              <w:rPr>
                <w:rFonts w:ascii="Arial" w:cs="Arial" w:eastAsia="Arial" w:hAnsi="Arial"/>
                <w:sz w:val="20"/>
                <w:szCs w:val="20"/>
                <w:color w:val="auto"/>
              </w:rPr>
              <w:t>Legal Proceedings</w:t>
            </w:r>
          </w:p>
        </w:tc>
        <w:tc>
          <w:tcPr>
            <w:tcW w:w="920" w:type="dxa"/>
            <w:vAlign w:val="bottom"/>
            <w:tcBorders>
              <w:right w:val="single" w:sz="8" w:color="E6E6E6"/>
            </w:tcBorders>
          </w:tcPr>
          <w:p>
            <w:pPr>
              <w:jc w:val="center"/>
              <w:spacing w:after="0"/>
              <w:rPr>
                <w:sz w:val="20"/>
                <w:szCs w:val="20"/>
                <w:color w:val="auto"/>
              </w:rPr>
            </w:pPr>
            <w:r>
              <w:rPr>
                <w:rFonts w:ascii="Arial" w:cs="Arial" w:eastAsia="Arial" w:hAnsi="Arial"/>
                <w:sz w:val="20"/>
                <w:szCs w:val="20"/>
                <w:color w:val="auto"/>
                <w:w w:val="89"/>
              </w:rPr>
              <w:t>73</w:t>
            </w:r>
          </w:p>
        </w:tc>
        <w:tc>
          <w:tcPr>
            <w:tcW w:w="0" w:type="dxa"/>
            <w:vAlign w:val="bottom"/>
          </w:tcPr>
          <w:p>
            <w:pPr>
              <w:spacing w:after="0"/>
              <w:rPr>
                <w:sz w:val="1"/>
                <w:szCs w:val="1"/>
                <w:color w:val="auto"/>
              </w:rPr>
            </w:pPr>
          </w:p>
        </w:tc>
      </w:tr>
      <w:tr>
        <w:trPr>
          <w:trHeight w:val="422"/>
        </w:trPr>
        <w:tc>
          <w:tcPr>
            <w:tcW w:w="1000" w:type="dxa"/>
            <w:vAlign w:val="bottom"/>
          </w:tcPr>
          <w:p>
            <w:pPr>
              <w:spacing w:after="0"/>
              <w:rPr>
                <w:sz w:val="20"/>
                <w:szCs w:val="20"/>
                <w:color w:val="auto"/>
              </w:rPr>
            </w:pPr>
            <w:r>
              <w:rPr>
                <w:rFonts w:ascii="Arial" w:cs="Arial" w:eastAsia="Arial" w:hAnsi="Arial"/>
                <w:sz w:val="20"/>
                <w:szCs w:val="20"/>
                <w:color w:val="auto"/>
              </w:rPr>
              <w:t>Item 4.</w:t>
            </w:r>
          </w:p>
        </w:tc>
        <w:tc>
          <w:tcPr>
            <w:tcW w:w="7400" w:type="dxa"/>
            <w:vAlign w:val="bottom"/>
          </w:tcPr>
          <w:p>
            <w:pPr>
              <w:ind w:left="180"/>
              <w:spacing w:after="0"/>
              <w:rPr>
                <w:sz w:val="20"/>
                <w:szCs w:val="20"/>
                <w:color w:val="auto"/>
              </w:rPr>
            </w:pPr>
            <w:r>
              <w:rPr>
                <w:rFonts w:ascii="Arial" w:cs="Arial" w:eastAsia="Arial" w:hAnsi="Arial"/>
                <w:sz w:val="20"/>
                <w:szCs w:val="20"/>
                <w:color w:val="auto"/>
              </w:rPr>
              <w:t>Mine Safety Disclosures</w:t>
            </w:r>
          </w:p>
        </w:tc>
        <w:tc>
          <w:tcPr>
            <w:tcW w:w="920" w:type="dxa"/>
            <w:vAlign w:val="bottom"/>
          </w:tcPr>
          <w:p>
            <w:pPr>
              <w:jc w:val="center"/>
              <w:spacing w:after="0"/>
              <w:rPr>
                <w:sz w:val="20"/>
                <w:szCs w:val="20"/>
                <w:color w:val="auto"/>
              </w:rPr>
            </w:pPr>
            <w:r>
              <w:rPr>
                <w:rFonts w:ascii="Arial" w:cs="Arial" w:eastAsia="Arial" w:hAnsi="Arial"/>
                <w:sz w:val="20"/>
                <w:szCs w:val="20"/>
                <w:color w:val="auto"/>
                <w:w w:val="89"/>
              </w:rPr>
              <w:t>73</w:t>
            </w:r>
          </w:p>
        </w:tc>
        <w:tc>
          <w:tcPr>
            <w:tcW w:w="0" w:type="dxa"/>
            <w:vAlign w:val="bottom"/>
          </w:tcPr>
          <w:p>
            <w:pPr>
              <w:spacing w:after="0"/>
              <w:rPr>
                <w:sz w:val="1"/>
                <w:szCs w:val="1"/>
                <w:color w:val="auto"/>
              </w:rPr>
            </w:pPr>
          </w:p>
        </w:tc>
      </w:tr>
      <w:tr>
        <w:trPr>
          <w:trHeight w:val="298"/>
        </w:trPr>
        <w:tc>
          <w:tcPr>
            <w:tcW w:w="1000" w:type="dxa"/>
            <w:vAlign w:val="bottom"/>
          </w:tcPr>
          <w:p>
            <w:pPr>
              <w:spacing w:after="0"/>
              <w:rPr>
                <w:sz w:val="20"/>
                <w:szCs w:val="20"/>
                <w:color w:val="auto"/>
              </w:rPr>
            </w:pPr>
            <w:r>
              <w:rPr>
                <w:rFonts w:ascii="Arial" w:cs="Arial" w:eastAsia="Arial" w:hAnsi="Arial"/>
                <w:sz w:val="20"/>
                <w:szCs w:val="20"/>
                <w:color w:val="auto"/>
              </w:rPr>
              <w:t>Part II</w:t>
            </w:r>
          </w:p>
        </w:tc>
        <w:tc>
          <w:tcPr>
            <w:tcW w:w="7400" w:type="dxa"/>
            <w:vAlign w:val="bottom"/>
          </w:tcPr>
          <w:p>
            <w:pPr>
              <w:spacing w:after="0"/>
              <w:rPr>
                <w:sz w:val="24"/>
                <w:szCs w:val="24"/>
                <w:color w:val="auto"/>
              </w:rPr>
            </w:pPr>
          </w:p>
        </w:tc>
        <w:tc>
          <w:tcPr>
            <w:tcW w:w="920" w:type="dxa"/>
            <w:vAlign w:val="bottom"/>
            <w:tcBorders>
              <w:right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00" w:type="dxa"/>
            <w:vAlign w:val="bottom"/>
            <w:vMerge w:val="restart"/>
          </w:tcPr>
          <w:p>
            <w:pPr>
              <w:spacing w:after="0"/>
              <w:rPr>
                <w:sz w:val="20"/>
                <w:szCs w:val="20"/>
                <w:color w:val="auto"/>
              </w:rPr>
            </w:pPr>
            <w:r>
              <w:rPr>
                <w:rFonts w:ascii="Arial" w:cs="Arial" w:eastAsia="Arial" w:hAnsi="Arial"/>
                <w:sz w:val="20"/>
                <w:szCs w:val="20"/>
                <w:color w:val="auto"/>
              </w:rPr>
              <w:t>Item 5.</w:t>
            </w:r>
          </w:p>
        </w:tc>
        <w:tc>
          <w:tcPr>
            <w:tcW w:w="7400" w:type="dxa"/>
            <w:vAlign w:val="bottom"/>
          </w:tcPr>
          <w:p>
            <w:pPr>
              <w:ind w:left="180"/>
              <w:spacing w:after="0" w:line="191" w:lineRule="exact"/>
              <w:rPr>
                <w:sz w:val="20"/>
                <w:szCs w:val="20"/>
                <w:color w:val="auto"/>
              </w:rPr>
            </w:pPr>
            <w:r>
              <w:rPr>
                <w:rFonts w:ascii="Arial" w:cs="Arial" w:eastAsia="Arial" w:hAnsi="Arial"/>
                <w:sz w:val="20"/>
                <w:szCs w:val="20"/>
                <w:color w:val="auto"/>
              </w:rPr>
              <w:t>Market for Registrant’s Common Equity, Related Stockholder Matters and Issuer</w:t>
            </w:r>
          </w:p>
        </w:tc>
        <w:tc>
          <w:tcPr>
            <w:tcW w:w="920" w:type="dxa"/>
            <w:vAlign w:val="bottom"/>
            <w:vMerge w:val="restart"/>
          </w:tcPr>
          <w:p>
            <w:pPr>
              <w:jc w:val="center"/>
              <w:spacing w:after="0"/>
              <w:rPr>
                <w:sz w:val="20"/>
                <w:szCs w:val="20"/>
                <w:color w:val="auto"/>
              </w:rPr>
            </w:pPr>
            <w:r>
              <w:rPr>
                <w:rFonts w:ascii="Arial" w:cs="Arial" w:eastAsia="Arial" w:hAnsi="Arial"/>
                <w:sz w:val="20"/>
                <w:szCs w:val="20"/>
                <w:color w:val="auto"/>
                <w:w w:val="89"/>
              </w:rPr>
              <w:t>74</w:t>
            </w:r>
          </w:p>
        </w:tc>
        <w:tc>
          <w:tcPr>
            <w:tcW w:w="0" w:type="dxa"/>
            <w:vAlign w:val="bottom"/>
          </w:tcPr>
          <w:p>
            <w:pPr>
              <w:spacing w:after="0"/>
              <w:rPr>
                <w:sz w:val="1"/>
                <w:szCs w:val="1"/>
                <w:color w:val="auto"/>
              </w:rPr>
            </w:pPr>
          </w:p>
        </w:tc>
      </w:tr>
      <w:tr>
        <w:trPr>
          <w:trHeight w:val="244"/>
        </w:trPr>
        <w:tc>
          <w:tcPr>
            <w:tcW w:w="1000" w:type="dxa"/>
            <w:vAlign w:val="bottom"/>
            <w:vMerge w:val="continue"/>
          </w:tcPr>
          <w:p>
            <w:pPr>
              <w:spacing w:after="0"/>
              <w:rPr>
                <w:sz w:val="21"/>
                <w:szCs w:val="21"/>
                <w:color w:val="auto"/>
              </w:rPr>
            </w:pPr>
          </w:p>
        </w:tc>
        <w:tc>
          <w:tcPr>
            <w:tcW w:w="7400" w:type="dxa"/>
            <w:vAlign w:val="bottom"/>
          </w:tcPr>
          <w:p>
            <w:pPr>
              <w:ind w:left="180"/>
              <w:spacing w:after="0"/>
              <w:rPr>
                <w:sz w:val="20"/>
                <w:szCs w:val="20"/>
                <w:color w:val="auto"/>
              </w:rPr>
            </w:pPr>
            <w:r>
              <w:rPr>
                <w:rFonts w:ascii="Arial" w:cs="Arial" w:eastAsia="Arial" w:hAnsi="Arial"/>
                <w:sz w:val="20"/>
                <w:szCs w:val="20"/>
                <w:color w:val="auto"/>
              </w:rPr>
              <w:t>Purchases of Equity Securities</w:t>
            </w: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5"/>
        </w:trPr>
        <w:tc>
          <w:tcPr>
            <w:tcW w:w="1000" w:type="dxa"/>
            <w:vAlign w:val="bottom"/>
          </w:tcPr>
          <w:p>
            <w:pPr>
              <w:spacing w:after="0"/>
              <w:rPr>
                <w:sz w:val="20"/>
                <w:szCs w:val="20"/>
                <w:color w:val="auto"/>
              </w:rPr>
            </w:pPr>
            <w:r>
              <w:rPr>
                <w:rFonts w:ascii="Arial" w:cs="Arial" w:eastAsia="Arial" w:hAnsi="Arial"/>
                <w:sz w:val="20"/>
                <w:szCs w:val="20"/>
                <w:color w:val="auto"/>
              </w:rPr>
              <w:t>Item 6.</w:t>
            </w:r>
          </w:p>
        </w:tc>
        <w:tc>
          <w:tcPr>
            <w:tcW w:w="7400" w:type="dxa"/>
            <w:vAlign w:val="bottom"/>
          </w:tcPr>
          <w:p>
            <w:pPr>
              <w:ind w:left="180"/>
              <w:spacing w:after="0"/>
              <w:rPr>
                <w:sz w:val="20"/>
                <w:szCs w:val="20"/>
                <w:color w:val="auto"/>
              </w:rPr>
            </w:pPr>
            <w:r>
              <w:rPr>
                <w:rFonts w:ascii="Arial" w:cs="Arial" w:eastAsia="Arial" w:hAnsi="Arial"/>
                <w:sz w:val="20"/>
                <w:szCs w:val="20"/>
                <w:color w:val="auto"/>
              </w:rPr>
              <w:t>[Reserved]</w:t>
            </w:r>
          </w:p>
        </w:tc>
        <w:tc>
          <w:tcPr>
            <w:tcW w:w="920" w:type="dxa"/>
            <w:vAlign w:val="bottom"/>
            <w:tcBorders>
              <w:right w:val="single" w:sz="8" w:color="E6E6E6"/>
            </w:tcBorders>
          </w:tcPr>
          <w:p>
            <w:pPr>
              <w:jc w:val="center"/>
              <w:spacing w:after="0"/>
              <w:rPr>
                <w:sz w:val="20"/>
                <w:szCs w:val="20"/>
                <w:color w:val="auto"/>
              </w:rPr>
            </w:pPr>
            <w:r>
              <w:rPr>
                <w:rFonts w:ascii="Arial" w:cs="Arial" w:eastAsia="Arial" w:hAnsi="Arial"/>
                <w:sz w:val="20"/>
                <w:szCs w:val="20"/>
                <w:color w:val="auto"/>
                <w:w w:val="89"/>
              </w:rPr>
              <w:t>75</w:t>
            </w:r>
          </w:p>
        </w:tc>
        <w:tc>
          <w:tcPr>
            <w:tcW w:w="0" w:type="dxa"/>
            <w:vAlign w:val="bottom"/>
          </w:tcPr>
          <w:p>
            <w:pPr>
              <w:spacing w:after="0"/>
              <w:rPr>
                <w:sz w:val="1"/>
                <w:szCs w:val="1"/>
                <w:color w:val="auto"/>
              </w:rPr>
            </w:pPr>
          </w:p>
        </w:tc>
      </w:tr>
      <w:tr>
        <w:trPr>
          <w:trHeight w:val="191"/>
        </w:trPr>
        <w:tc>
          <w:tcPr>
            <w:tcW w:w="1000" w:type="dxa"/>
            <w:vAlign w:val="bottom"/>
            <w:vMerge w:val="restart"/>
          </w:tcPr>
          <w:p>
            <w:pPr>
              <w:spacing w:after="0"/>
              <w:rPr>
                <w:sz w:val="20"/>
                <w:szCs w:val="20"/>
                <w:color w:val="auto"/>
              </w:rPr>
            </w:pPr>
            <w:r>
              <w:rPr>
                <w:rFonts w:ascii="Arial" w:cs="Arial" w:eastAsia="Arial" w:hAnsi="Arial"/>
                <w:sz w:val="20"/>
                <w:szCs w:val="20"/>
                <w:color w:val="auto"/>
              </w:rPr>
              <w:t>Item 7.</w:t>
            </w:r>
          </w:p>
        </w:tc>
        <w:tc>
          <w:tcPr>
            <w:tcW w:w="7400" w:type="dxa"/>
            <w:vAlign w:val="bottom"/>
          </w:tcPr>
          <w:p>
            <w:pPr>
              <w:ind w:left="180"/>
              <w:spacing w:after="0" w:line="191" w:lineRule="exact"/>
              <w:rPr>
                <w:sz w:val="20"/>
                <w:szCs w:val="20"/>
                <w:color w:val="auto"/>
              </w:rPr>
            </w:pPr>
            <w:r>
              <w:rPr>
                <w:rFonts w:ascii="Arial" w:cs="Arial" w:eastAsia="Arial" w:hAnsi="Arial"/>
                <w:sz w:val="20"/>
                <w:szCs w:val="20"/>
                <w:color w:val="auto"/>
              </w:rPr>
              <w:t>Management’s Discussion and Analysis of Financial Condition and Results of</w:t>
            </w:r>
          </w:p>
        </w:tc>
        <w:tc>
          <w:tcPr>
            <w:tcW w:w="920" w:type="dxa"/>
            <w:vAlign w:val="bottom"/>
            <w:vMerge w:val="restart"/>
          </w:tcPr>
          <w:p>
            <w:pPr>
              <w:jc w:val="center"/>
              <w:spacing w:after="0"/>
              <w:rPr>
                <w:sz w:val="20"/>
                <w:szCs w:val="20"/>
                <w:color w:val="auto"/>
              </w:rPr>
            </w:pPr>
            <w:r>
              <w:rPr>
                <w:rFonts w:ascii="Arial" w:cs="Arial" w:eastAsia="Arial" w:hAnsi="Arial"/>
                <w:sz w:val="20"/>
                <w:szCs w:val="20"/>
                <w:color w:val="auto"/>
                <w:w w:val="89"/>
              </w:rPr>
              <w:t>75</w:t>
            </w:r>
          </w:p>
        </w:tc>
        <w:tc>
          <w:tcPr>
            <w:tcW w:w="0" w:type="dxa"/>
            <w:vAlign w:val="bottom"/>
          </w:tcPr>
          <w:p>
            <w:pPr>
              <w:spacing w:after="0"/>
              <w:rPr>
                <w:sz w:val="1"/>
                <w:szCs w:val="1"/>
                <w:color w:val="auto"/>
              </w:rPr>
            </w:pPr>
          </w:p>
        </w:tc>
      </w:tr>
      <w:tr>
        <w:trPr>
          <w:trHeight w:val="244"/>
        </w:trPr>
        <w:tc>
          <w:tcPr>
            <w:tcW w:w="1000" w:type="dxa"/>
            <w:vAlign w:val="bottom"/>
            <w:vMerge w:val="continue"/>
          </w:tcPr>
          <w:p>
            <w:pPr>
              <w:spacing w:after="0"/>
              <w:rPr>
                <w:sz w:val="21"/>
                <w:szCs w:val="21"/>
                <w:color w:val="auto"/>
              </w:rPr>
            </w:pPr>
          </w:p>
        </w:tc>
        <w:tc>
          <w:tcPr>
            <w:tcW w:w="7400" w:type="dxa"/>
            <w:vAlign w:val="bottom"/>
          </w:tcPr>
          <w:p>
            <w:pPr>
              <w:ind w:left="180"/>
              <w:spacing w:after="0"/>
              <w:rPr>
                <w:sz w:val="20"/>
                <w:szCs w:val="20"/>
                <w:color w:val="auto"/>
              </w:rPr>
            </w:pPr>
            <w:r>
              <w:rPr>
                <w:rFonts w:ascii="Arial" w:cs="Arial" w:eastAsia="Arial" w:hAnsi="Arial"/>
                <w:sz w:val="20"/>
                <w:szCs w:val="20"/>
                <w:color w:val="auto"/>
              </w:rPr>
              <w:t>Operations</w:t>
            </w: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5"/>
        </w:trPr>
        <w:tc>
          <w:tcPr>
            <w:tcW w:w="1000" w:type="dxa"/>
            <w:vAlign w:val="bottom"/>
          </w:tcPr>
          <w:p>
            <w:pPr>
              <w:spacing w:after="0"/>
              <w:rPr>
                <w:sz w:val="20"/>
                <w:szCs w:val="20"/>
                <w:color w:val="auto"/>
              </w:rPr>
            </w:pPr>
            <w:r>
              <w:rPr>
                <w:rFonts w:ascii="Arial" w:cs="Arial" w:eastAsia="Arial" w:hAnsi="Arial"/>
                <w:sz w:val="20"/>
                <w:szCs w:val="20"/>
                <w:color w:val="auto"/>
              </w:rPr>
              <w:t>Item 7A.</w:t>
            </w:r>
          </w:p>
        </w:tc>
        <w:tc>
          <w:tcPr>
            <w:tcW w:w="7400" w:type="dxa"/>
            <w:vAlign w:val="bottom"/>
          </w:tcPr>
          <w:p>
            <w:pPr>
              <w:ind w:left="180"/>
              <w:spacing w:after="0"/>
              <w:rPr>
                <w:sz w:val="20"/>
                <w:szCs w:val="20"/>
                <w:color w:val="auto"/>
              </w:rPr>
            </w:pPr>
            <w:r>
              <w:rPr>
                <w:rFonts w:ascii="Arial" w:cs="Arial" w:eastAsia="Arial" w:hAnsi="Arial"/>
                <w:sz w:val="20"/>
                <w:szCs w:val="20"/>
                <w:color w:val="auto"/>
              </w:rPr>
              <w:t>Quantitative and Qualitative Disclosures about Market Risk</w:t>
            </w:r>
          </w:p>
        </w:tc>
        <w:tc>
          <w:tcPr>
            <w:tcW w:w="920" w:type="dxa"/>
            <w:vAlign w:val="bottom"/>
            <w:tcBorders>
              <w:right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000" w:type="dxa"/>
            <w:vAlign w:val="bottom"/>
          </w:tcPr>
          <w:p>
            <w:pPr>
              <w:spacing w:after="0"/>
              <w:rPr>
                <w:sz w:val="20"/>
                <w:szCs w:val="20"/>
                <w:color w:val="auto"/>
              </w:rPr>
            </w:pPr>
            <w:r>
              <w:rPr>
                <w:rFonts w:ascii="Arial" w:cs="Arial" w:eastAsia="Arial" w:hAnsi="Arial"/>
                <w:sz w:val="20"/>
                <w:szCs w:val="20"/>
                <w:color w:val="auto"/>
              </w:rPr>
              <w:t>Item 8.</w:t>
            </w:r>
          </w:p>
        </w:tc>
        <w:tc>
          <w:tcPr>
            <w:tcW w:w="7400" w:type="dxa"/>
            <w:vAlign w:val="bottom"/>
          </w:tcPr>
          <w:p>
            <w:pPr>
              <w:ind w:left="180"/>
              <w:spacing w:after="0"/>
              <w:rPr>
                <w:sz w:val="20"/>
                <w:szCs w:val="20"/>
                <w:color w:val="auto"/>
              </w:rPr>
            </w:pPr>
            <w:r>
              <w:rPr>
                <w:rFonts w:ascii="Arial" w:cs="Arial" w:eastAsia="Arial" w:hAnsi="Arial"/>
                <w:sz w:val="20"/>
                <w:szCs w:val="20"/>
                <w:color w:val="auto"/>
              </w:rPr>
              <w:t>Financial Statements and Supplementary Data</w:t>
            </w:r>
          </w:p>
        </w:tc>
        <w:tc>
          <w:tcPr>
            <w:tcW w:w="920" w:type="dxa"/>
            <w:vAlign w:val="bottom"/>
          </w:tcPr>
          <w:p>
            <w:pPr>
              <w:jc w:val="center"/>
              <w:spacing w:after="0"/>
              <w:rPr>
                <w:sz w:val="20"/>
                <w:szCs w:val="20"/>
                <w:color w:val="auto"/>
              </w:rPr>
            </w:pPr>
            <w:r>
              <w:rPr>
                <w:rFonts w:ascii="Arial" w:cs="Arial" w:eastAsia="Arial" w:hAnsi="Arial"/>
                <w:sz w:val="20"/>
                <w:szCs w:val="20"/>
                <w:color w:val="auto"/>
                <w:w w:val="89"/>
              </w:rPr>
              <w:t>88</w:t>
            </w:r>
          </w:p>
        </w:tc>
        <w:tc>
          <w:tcPr>
            <w:tcW w:w="0" w:type="dxa"/>
            <w:vAlign w:val="bottom"/>
          </w:tcPr>
          <w:p>
            <w:pPr>
              <w:spacing w:after="0"/>
              <w:rPr>
                <w:sz w:val="1"/>
                <w:szCs w:val="1"/>
                <w:color w:val="auto"/>
              </w:rPr>
            </w:pPr>
          </w:p>
        </w:tc>
      </w:tr>
      <w:tr>
        <w:trPr>
          <w:trHeight w:val="204"/>
        </w:trPr>
        <w:tc>
          <w:tcPr>
            <w:tcW w:w="1000" w:type="dxa"/>
            <w:vAlign w:val="bottom"/>
            <w:vMerge w:val="restart"/>
          </w:tcPr>
          <w:p>
            <w:pPr>
              <w:spacing w:after="0"/>
              <w:rPr>
                <w:sz w:val="20"/>
                <w:szCs w:val="20"/>
                <w:color w:val="auto"/>
              </w:rPr>
            </w:pPr>
            <w:r>
              <w:rPr>
                <w:rFonts w:ascii="Arial" w:cs="Arial" w:eastAsia="Arial" w:hAnsi="Arial"/>
                <w:sz w:val="20"/>
                <w:szCs w:val="20"/>
                <w:color w:val="auto"/>
              </w:rPr>
              <w:t>Item 9.</w:t>
            </w:r>
          </w:p>
        </w:tc>
        <w:tc>
          <w:tcPr>
            <w:tcW w:w="7400" w:type="dxa"/>
            <w:vAlign w:val="bottom"/>
          </w:tcPr>
          <w:p>
            <w:pPr>
              <w:ind w:left="180"/>
              <w:spacing w:after="0" w:line="205" w:lineRule="exact"/>
              <w:rPr>
                <w:sz w:val="20"/>
                <w:szCs w:val="20"/>
                <w:color w:val="auto"/>
              </w:rPr>
            </w:pPr>
            <w:r>
              <w:rPr>
                <w:rFonts w:ascii="Arial" w:cs="Arial" w:eastAsia="Arial" w:hAnsi="Arial"/>
                <w:sz w:val="20"/>
                <w:szCs w:val="20"/>
                <w:color w:val="auto"/>
              </w:rPr>
              <w:t>Changes in and Disagreements with Accountants on Accounting and Financial</w:t>
            </w:r>
          </w:p>
        </w:tc>
        <w:tc>
          <w:tcPr>
            <w:tcW w:w="920" w:type="dxa"/>
            <w:vAlign w:val="bottom"/>
            <w:tcBorders>
              <w:right w:val="single" w:sz="8" w:color="E6E6E6"/>
            </w:tcBorders>
            <w:vMerge w:val="restart"/>
          </w:tcPr>
          <w:p>
            <w:pPr>
              <w:jc w:val="center"/>
              <w:spacing w:after="0"/>
              <w:rPr>
                <w:sz w:val="20"/>
                <w:szCs w:val="20"/>
                <w:color w:val="auto"/>
              </w:rPr>
            </w:pPr>
            <w:r>
              <w:rPr>
                <w:rFonts w:ascii="Arial" w:cs="Arial" w:eastAsia="Arial" w:hAnsi="Arial"/>
                <w:sz w:val="20"/>
                <w:szCs w:val="20"/>
                <w:color w:val="auto"/>
                <w:w w:val="89"/>
              </w:rPr>
              <w:t>88</w:t>
            </w:r>
          </w:p>
        </w:tc>
        <w:tc>
          <w:tcPr>
            <w:tcW w:w="0" w:type="dxa"/>
            <w:vAlign w:val="bottom"/>
          </w:tcPr>
          <w:p>
            <w:pPr>
              <w:spacing w:after="0"/>
              <w:rPr>
                <w:sz w:val="1"/>
                <w:szCs w:val="1"/>
                <w:color w:val="auto"/>
              </w:rPr>
            </w:pPr>
          </w:p>
        </w:tc>
      </w:tr>
      <w:tr>
        <w:trPr>
          <w:trHeight w:val="244"/>
        </w:trPr>
        <w:tc>
          <w:tcPr>
            <w:tcW w:w="1000" w:type="dxa"/>
            <w:vAlign w:val="bottom"/>
            <w:vMerge w:val="continue"/>
          </w:tcPr>
          <w:p>
            <w:pPr>
              <w:spacing w:after="0"/>
              <w:rPr>
                <w:sz w:val="21"/>
                <w:szCs w:val="21"/>
                <w:color w:val="auto"/>
              </w:rPr>
            </w:pPr>
          </w:p>
        </w:tc>
        <w:tc>
          <w:tcPr>
            <w:tcW w:w="7400" w:type="dxa"/>
            <w:vAlign w:val="bottom"/>
          </w:tcPr>
          <w:p>
            <w:pPr>
              <w:ind w:left="180"/>
              <w:spacing w:after="0"/>
              <w:rPr>
                <w:sz w:val="20"/>
                <w:szCs w:val="20"/>
                <w:color w:val="auto"/>
              </w:rPr>
            </w:pPr>
            <w:r>
              <w:rPr>
                <w:rFonts w:ascii="Arial" w:cs="Arial" w:eastAsia="Arial" w:hAnsi="Arial"/>
                <w:sz w:val="20"/>
                <w:szCs w:val="20"/>
                <w:color w:val="auto"/>
              </w:rPr>
              <w:t>Disclosure</w:t>
            </w:r>
          </w:p>
        </w:tc>
        <w:tc>
          <w:tcPr>
            <w:tcW w:w="920" w:type="dxa"/>
            <w:vAlign w:val="bottom"/>
            <w:tcBorders>
              <w:right w:val="single" w:sz="8" w:color="E6E6E6"/>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2"/>
        </w:trPr>
        <w:tc>
          <w:tcPr>
            <w:tcW w:w="1000" w:type="dxa"/>
            <w:vAlign w:val="bottom"/>
          </w:tcPr>
          <w:p>
            <w:pPr>
              <w:spacing w:after="0"/>
              <w:rPr>
                <w:sz w:val="20"/>
                <w:szCs w:val="20"/>
                <w:color w:val="auto"/>
              </w:rPr>
            </w:pPr>
            <w:r>
              <w:rPr>
                <w:rFonts w:ascii="Arial" w:cs="Arial" w:eastAsia="Arial" w:hAnsi="Arial"/>
                <w:sz w:val="20"/>
                <w:szCs w:val="20"/>
                <w:color w:val="auto"/>
              </w:rPr>
              <w:t>Item 9A.</w:t>
            </w:r>
          </w:p>
        </w:tc>
        <w:tc>
          <w:tcPr>
            <w:tcW w:w="7400" w:type="dxa"/>
            <w:vAlign w:val="bottom"/>
          </w:tcPr>
          <w:p>
            <w:pPr>
              <w:ind w:left="180"/>
              <w:spacing w:after="0"/>
              <w:rPr>
                <w:sz w:val="20"/>
                <w:szCs w:val="20"/>
                <w:color w:val="auto"/>
              </w:rPr>
            </w:pPr>
            <w:r>
              <w:rPr>
                <w:rFonts w:ascii="Arial" w:cs="Arial" w:eastAsia="Arial" w:hAnsi="Arial"/>
                <w:sz w:val="20"/>
                <w:szCs w:val="20"/>
                <w:color w:val="auto"/>
              </w:rPr>
              <w:t>Controls and Procedures</w:t>
            </w:r>
          </w:p>
        </w:tc>
        <w:tc>
          <w:tcPr>
            <w:tcW w:w="920" w:type="dxa"/>
            <w:vAlign w:val="bottom"/>
          </w:tcPr>
          <w:p>
            <w:pPr>
              <w:jc w:val="center"/>
              <w:spacing w:after="0"/>
              <w:rPr>
                <w:sz w:val="20"/>
                <w:szCs w:val="20"/>
                <w:color w:val="auto"/>
              </w:rPr>
            </w:pPr>
            <w:r>
              <w:rPr>
                <w:rFonts w:ascii="Arial" w:cs="Arial" w:eastAsia="Arial" w:hAnsi="Arial"/>
                <w:sz w:val="20"/>
                <w:szCs w:val="20"/>
                <w:color w:val="auto"/>
                <w:w w:val="89"/>
              </w:rPr>
              <w:t>88</w:t>
            </w:r>
          </w:p>
        </w:tc>
        <w:tc>
          <w:tcPr>
            <w:tcW w:w="0" w:type="dxa"/>
            <w:vAlign w:val="bottom"/>
          </w:tcPr>
          <w:p>
            <w:pPr>
              <w:spacing w:after="0"/>
              <w:rPr>
                <w:sz w:val="1"/>
                <w:szCs w:val="1"/>
                <w:color w:val="auto"/>
              </w:rPr>
            </w:pPr>
          </w:p>
        </w:tc>
      </w:tr>
      <w:tr>
        <w:trPr>
          <w:trHeight w:val="448"/>
        </w:trPr>
        <w:tc>
          <w:tcPr>
            <w:tcW w:w="1000" w:type="dxa"/>
            <w:vAlign w:val="bottom"/>
          </w:tcPr>
          <w:p>
            <w:pPr>
              <w:spacing w:after="0"/>
              <w:rPr>
                <w:sz w:val="20"/>
                <w:szCs w:val="20"/>
                <w:color w:val="auto"/>
              </w:rPr>
            </w:pPr>
            <w:r>
              <w:rPr>
                <w:rFonts w:ascii="Arial" w:cs="Arial" w:eastAsia="Arial" w:hAnsi="Arial"/>
                <w:sz w:val="20"/>
                <w:szCs w:val="20"/>
                <w:color w:val="auto"/>
              </w:rPr>
              <w:t>Item 9B.</w:t>
            </w:r>
          </w:p>
        </w:tc>
        <w:tc>
          <w:tcPr>
            <w:tcW w:w="7400" w:type="dxa"/>
            <w:vAlign w:val="bottom"/>
          </w:tcPr>
          <w:p>
            <w:pPr>
              <w:ind w:left="180"/>
              <w:spacing w:after="0"/>
              <w:rPr>
                <w:sz w:val="20"/>
                <w:szCs w:val="20"/>
                <w:color w:val="auto"/>
              </w:rPr>
            </w:pPr>
            <w:r>
              <w:rPr>
                <w:rFonts w:ascii="Arial" w:cs="Arial" w:eastAsia="Arial" w:hAnsi="Arial"/>
                <w:sz w:val="20"/>
                <w:szCs w:val="20"/>
                <w:color w:val="auto"/>
              </w:rPr>
              <w:t>Other Information</w:t>
            </w:r>
          </w:p>
        </w:tc>
        <w:tc>
          <w:tcPr>
            <w:tcW w:w="920" w:type="dxa"/>
            <w:vAlign w:val="bottom"/>
            <w:tcBorders>
              <w:right w:val="single" w:sz="8" w:color="E6E6E6"/>
            </w:tcBorders>
          </w:tcPr>
          <w:p>
            <w:pPr>
              <w:jc w:val="center"/>
              <w:spacing w:after="0"/>
              <w:rPr>
                <w:sz w:val="20"/>
                <w:szCs w:val="20"/>
                <w:color w:val="auto"/>
              </w:rPr>
            </w:pPr>
            <w:r>
              <w:rPr>
                <w:rFonts w:ascii="Arial" w:cs="Arial" w:eastAsia="Arial" w:hAnsi="Arial"/>
                <w:sz w:val="20"/>
                <w:szCs w:val="20"/>
                <w:color w:val="auto"/>
                <w:w w:val="89"/>
              </w:rPr>
              <w:t>89</w:t>
            </w:r>
          </w:p>
        </w:tc>
        <w:tc>
          <w:tcPr>
            <w:tcW w:w="0" w:type="dxa"/>
            <w:vAlign w:val="bottom"/>
          </w:tcPr>
          <w:p>
            <w:pPr>
              <w:spacing w:after="0"/>
              <w:rPr>
                <w:sz w:val="1"/>
                <w:szCs w:val="1"/>
                <w:color w:val="auto"/>
              </w:rPr>
            </w:pPr>
          </w:p>
        </w:tc>
      </w:tr>
      <w:tr>
        <w:trPr>
          <w:trHeight w:val="422"/>
        </w:trPr>
        <w:tc>
          <w:tcPr>
            <w:tcW w:w="1000" w:type="dxa"/>
            <w:vAlign w:val="bottom"/>
          </w:tcPr>
          <w:p>
            <w:pPr>
              <w:spacing w:after="0"/>
              <w:rPr>
                <w:sz w:val="20"/>
                <w:szCs w:val="20"/>
                <w:color w:val="auto"/>
              </w:rPr>
            </w:pPr>
            <w:r>
              <w:rPr>
                <w:rFonts w:ascii="Arial" w:cs="Arial" w:eastAsia="Arial" w:hAnsi="Arial"/>
                <w:sz w:val="20"/>
                <w:szCs w:val="20"/>
                <w:color w:val="auto"/>
              </w:rPr>
              <w:t>Item 9C.</w:t>
            </w:r>
          </w:p>
        </w:tc>
        <w:tc>
          <w:tcPr>
            <w:tcW w:w="7400" w:type="dxa"/>
            <w:vAlign w:val="bottom"/>
          </w:tcPr>
          <w:p>
            <w:pPr>
              <w:ind w:left="180"/>
              <w:spacing w:after="0"/>
              <w:rPr>
                <w:sz w:val="20"/>
                <w:szCs w:val="20"/>
                <w:color w:val="auto"/>
              </w:rPr>
            </w:pPr>
            <w:r>
              <w:rPr>
                <w:rFonts w:ascii="Arial" w:cs="Arial" w:eastAsia="Arial" w:hAnsi="Arial"/>
                <w:sz w:val="20"/>
                <w:szCs w:val="20"/>
                <w:color w:val="auto"/>
              </w:rPr>
              <w:t>Disclosures Regarding Foreign Jurisdictions that Prevent Inspections</w:t>
            </w:r>
          </w:p>
        </w:tc>
        <w:tc>
          <w:tcPr>
            <w:tcW w:w="920" w:type="dxa"/>
            <w:vAlign w:val="bottom"/>
          </w:tcPr>
          <w:p>
            <w:pPr>
              <w:jc w:val="center"/>
              <w:spacing w:after="0"/>
              <w:rPr>
                <w:sz w:val="20"/>
                <w:szCs w:val="20"/>
                <w:color w:val="auto"/>
              </w:rPr>
            </w:pPr>
            <w:r>
              <w:rPr>
                <w:rFonts w:ascii="Arial" w:cs="Arial" w:eastAsia="Arial" w:hAnsi="Arial"/>
                <w:sz w:val="20"/>
                <w:szCs w:val="20"/>
                <w:color w:val="auto"/>
                <w:w w:val="89"/>
              </w:rPr>
              <w:t>89</w:t>
            </w:r>
          </w:p>
        </w:tc>
        <w:tc>
          <w:tcPr>
            <w:tcW w:w="0" w:type="dxa"/>
            <w:vAlign w:val="bottom"/>
          </w:tcPr>
          <w:p>
            <w:pPr>
              <w:spacing w:after="0"/>
              <w:rPr>
                <w:sz w:val="1"/>
                <w:szCs w:val="1"/>
                <w:color w:val="auto"/>
              </w:rPr>
            </w:pPr>
          </w:p>
        </w:tc>
      </w:tr>
      <w:tr>
        <w:trPr>
          <w:trHeight w:val="298"/>
        </w:trPr>
        <w:tc>
          <w:tcPr>
            <w:tcW w:w="1000" w:type="dxa"/>
            <w:vAlign w:val="bottom"/>
          </w:tcPr>
          <w:p>
            <w:pPr>
              <w:spacing w:after="0"/>
              <w:rPr>
                <w:sz w:val="20"/>
                <w:szCs w:val="20"/>
                <w:color w:val="auto"/>
              </w:rPr>
            </w:pPr>
            <w:r>
              <w:rPr>
                <w:rFonts w:ascii="Arial" w:cs="Arial" w:eastAsia="Arial" w:hAnsi="Arial"/>
                <w:sz w:val="20"/>
                <w:szCs w:val="20"/>
                <w:color w:val="auto"/>
              </w:rPr>
              <w:t>Part III</w:t>
            </w:r>
          </w:p>
        </w:tc>
        <w:tc>
          <w:tcPr>
            <w:tcW w:w="7400" w:type="dxa"/>
            <w:vAlign w:val="bottom"/>
          </w:tcPr>
          <w:p>
            <w:pPr>
              <w:spacing w:after="0"/>
              <w:rPr>
                <w:sz w:val="24"/>
                <w:szCs w:val="24"/>
                <w:color w:val="auto"/>
              </w:rPr>
            </w:pPr>
          </w:p>
        </w:tc>
        <w:tc>
          <w:tcPr>
            <w:tcW w:w="920" w:type="dxa"/>
            <w:vAlign w:val="bottom"/>
            <w:tcBorders>
              <w:right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000" w:type="dxa"/>
            <w:vAlign w:val="bottom"/>
          </w:tcPr>
          <w:p>
            <w:pPr>
              <w:spacing w:after="0"/>
              <w:rPr>
                <w:sz w:val="20"/>
                <w:szCs w:val="20"/>
                <w:color w:val="auto"/>
              </w:rPr>
            </w:pPr>
            <w:r>
              <w:rPr>
                <w:rFonts w:ascii="Arial" w:cs="Arial" w:eastAsia="Arial" w:hAnsi="Arial"/>
                <w:sz w:val="20"/>
                <w:szCs w:val="20"/>
                <w:color w:val="auto"/>
              </w:rPr>
              <w:t>Item 10.</w:t>
            </w:r>
          </w:p>
        </w:tc>
        <w:tc>
          <w:tcPr>
            <w:tcW w:w="7400" w:type="dxa"/>
            <w:vAlign w:val="bottom"/>
          </w:tcPr>
          <w:p>
            <w:pPr>
              <w:ind w:left="180"/>
              <w:spacing w:after="0"/>
              <w:rPr>
                <w:sz w:val="20"/>
                <w:szCs w:val="20"/>
                <w:color w:val="auto"/>
              </w:rPr>
            </w:pPr>
            <w:r>
              <w:rPr>
                <w:rFonts w:ascii="Arial" w:cs="Arial" w:eastAsia="Arial" w:hAnsi="Arial"/>
                <w:sz w:val="20"/>
                <w:szCs w:val="20"/>
                <w:color w:val="auto"/>
              </w:rPr>
              <w:t>Directors, Executive Officers and Corporate Governance</w:t>
            </w:r>
          </w:p>
        </w:tc>
        <w:tc>
          <w:tcPr>
            <w:tcW w:w="920" w:type="dxa"/>
            <w:vAlign w:val="bottom"/>
          </w:tcPr>
          <w:p>
            <w:pPr>
              <w:jc w:val="center"/>
              <w:spacing w:after="0"/>
              <w:rPr>
                <w:sz w:val="20"/>
                <w:szCs w:val="20"/>
                <w:color w:val="auto"/>
              </w:rPr>
            </w:pPr>
            <w:r>
              <w:rPr>
                <w:rFonts w:ascii="Arial" w:cs="Arial" w:eastAsia="Arial" w:hAnsi="Arial"/>
                <w:sz w:val="20"/>
                <w:szCs w:val="20"/>
                <w:color w:val="auto"/>
                <w:w w:val="89"/>
              </w:rPr>
              <w:t>90</w:t>
            </w:r>
          </w:p>
        </w:tc>
        <w:tc>
          <w:tcPr>
            <w:tcW w:w="0" w:type="dxa"/>
            <w:vAlign w:val="bottom"/>
          </w:tcPr>
          <w:p>
            <w:pPr>
              <w:spacing w:after="0"/>
              <w:rPr>
                <w:sz w:val="1"/>
                <w:szCs w:val="1"/>
                <w:color w:val="auto"/>
              </w:rPr>
            </w:pPr>
          </w:p>
        </w:tc>
      </w:tr>
      <w:tr>
        <w:trPr>
          <w:trHeight w:val="448"/>
        </w:trPr>
        <w:tc>
          <w:tcPr>
            <w:tcW w:w="1000" w:type="dxa"/>
            <w:vAlign w:val="bottom"/>
          </w:tcPr>
          <w:p>
            <w:pPr>
              <w:spacing w:after="0"/>
              <w:rPr>
                <w:sz w:val="20"/>
                <w:szCs w:val="20"/>
                <w:color w:val="auto"/>
              </w:rPr>
            </w:pPr>
            <w:r>
              <w:rPr>
                <w:rFonts w:ascii="Arial" w:cs="Arial" w:eastAsia="Arial" w:hAnsi="Arial"/>
                <w:sz w:val="20"/>
                <w:szCs w:val="20"/>
                <w:color w:val="auto"/>
              </w:rPr>
              <w:t>Item 11.</w:t>
            </w:r>
          </w:p>
        </w:tc>
        <w:tc>
          <w:tcPr>
            <w:tcW w:w="7400" w:type="dxa"/>
            <w:vAlign w:val="bottom"/>
          </w:tcPr>
          <w:p>
            <w:pPr>
              <w:ind w:left="180"/>
              <w:spacing w:after="0"/>
              <w:rPr>
                <w:sz w:val="20"/>
                <w:szCs w:val="20"/>
                <w:color w:val="auto"/>
              </w:rPr>
            </w:pPr>
            <w:r>
              <w:rPr>
                <w:rFonts w:ascii="Arial" w:cs="Arial" w:eastAsia="Arial" w:hAnsi="Arial"/>
                <w:sz w:val="20"/>
                <w:szCs w:val="20"/>
                <w:color w:val="auto"/>
              </w:rPr>
              <w:t>Executive Compensation</w:t>
            </w:r>
          </w:p>
        </w:tc>
        <w:tc>
          <w:tcPr>
            <w:tcW w:w="920" w:type="dxa"/>
            <w:vAlign w:val="bottom"/>
            <w:tcBorders>
              <w:right w:val="single" w:sz="8" w:color="E6E6E6"/>
            </w:tcBorders>
          </w:tcPr>
          <w:p>
            <w:pPr>
              <w:jc w:val="center"/>
              <w:spacing w:after="0"/>
              <w:rPr>
                <w:sz w:val="20"/>
                <w:szCs w:val="20"/>
                <w:color w:val="auto"/>
              </w:rPr>
            </w:pPr>
            <w:r>
              <w:rPr>
                <w:rFonts w:ascii="Arial" w:cs="Arial" w:eastAsia="Arial" w:hAnsi="Arial"/>
                <w:sz w:val="20"/>
                <w:szCs w:val="20"/>
                <w:color w:val="auto"/>
                <w:w w:val="89"/>
              </w:rPr>
              <w:t>90</w:t>
            </w:r>
          </w:p>
        </w:tc>
        <w:tc>
          <w:tcPr>
            <w:tcW w:w="0" w:type="dxa"/>
            <w:vAlign w:val="bottom"/>
          </w:tcPr>
          <w:p>
            <w:pPr>
              <w:spacing w:after="0"/>
              <w:rPr>
                <w:sz w:val="1"/>
                <w:szCs w:val="1"/>
                <w:color w:val="auto"/>
              </w:rPr>
            </w:pPr>
          </w:p>
        </w:tc>
      </w:tr>
      <w:tr>
        <w:trPr>
          <w:trHeight w:val="191"/>
        </w:trPr>
        <w:tc>
          <w:tcPr>
            <w:tcW w:w="1000" w:type="dxa"/>
            <w:vAlign w:val="bottom"/>
            <w:vMerge w:val="restart"/>
          </w:tcPr>
          <w:p>
            <w:pPr>
              <w:spacing w:after="0"/>
              <w:rPr>
                <w:sz w:val="20"/>
                <w:szCs w:val="20"/>
                <w:color w:val="auto"/>
              </w:rPr>
            </w:pPr>
            <w:r>
              <w:rPr>
                <w:rFonts w:ascii="Arial" w:cs="Arial" w:eastAsia="Arial" w:hAnsi="Arial"/>
                <w:sz w:val="20"/>
                <w:szCs w:val="20"/>
                <w:color w:val="auto"/>
              </w:rPr>
              <w:t>Item 12.</w:t>
            </w:r>
          </w:p>
        </w:tc>
        <w:tc>
          <w:tcPr>
            <w:tcW w:w="7400" w:type="dxa"/>
            <w:vAlign w:val="bottom"/>
          </w:tcPr>
          <w:p>
            <w:pPr>
              <w:ind w:left="180"/>
              <w:spacing w:after="0" w:line="191" w:lineRule="exact"/>
              <w:rPr>
                <w:sz w:val="20"/>
                <w:szCs w:val="20"/>
                <w:color w:val="auto"/>
              </w:rPr>
            </w:pPr>
            <w:r>
              <w:rPr>
                <w:rFonts w:ascii="Arial" w:cs="Arial" w:eastAsia="Arial" w:hAnsi="Arial"/>
                <w:sz w:val="20"/>
                <w:szCs w:val="20"/>
                <w:color w:val="auto"/>
              </w:rPr>
              <w:t>Security Ownership of Certain Beneficial Owners and Management and Related</w:t>
            </w:r>
          </w:p>
        </w:tc>
        <w:tc>
          <w:tcPr>
            <w:tcW w:w="920" w:type="dxa"/>
            <w:vAlign w:val="bottom"/>
            <w:vMerge w:val="restart"/>
          </w:tcPr>
          <w:p>
            <w:pPr>
              <w:jc w:val="center"/>
              <w:spacing w:after="0"/>
              <w:rPr>
                <w:sz w:val="20"/>
                <w:szCs w:val="20"/>
                <w:color w:val="auto"/>
              </w:rPr>
            </w:pPr>
            <w:r>
              <w:rPr>
                <w:rFonts w:ascii="Arial" w:cs="Arial" w:eastAsia="Arial" w:hAnsi="Arial"/>
                <w:sz w:val="20"/>
                <w:szCs w:val="20"/>
                <w:color w:val="auto"/>
                <w:w w:val="89"/>
              </w:rPr>
              <w:t>90</w:t>
            </w:r>
          </w:p>
        </w:tc>
        <w:tc>
          <w:tcPr>
            <w:tcW w:w="0" w:type="dxa"/>
            <w:vAlign w:val="bottom"/>
          </w:tcPr>
          <w:p>
            <w:pPr>
              <w:spacing w:after="0"/>
              <w:rPr>
                <w:sz w:val="1"/>
                <w:szCs w:val="1"/>
                <w:color w:val="auto"/>
              </w:rPr>
            </w:pPr>
          </w:p>
        </w:tc>
      </w:tr>
      <w:tr>
        <w:trPr>
          <w:trHeight w:val="244"/>
        </w:trPr>
        <w:tc>
          <w:tcPr>
            <w:tcW w:w="1000" w:type="dxa"/>
            <w:vAlign w:val="bottom"/>
            <w:vMerge w:val="continue"/>
          </w:tcPr>
          <w:p>
            <w:pPr>
              <w:spacing w:after="0"/>
              <w:rPr>
                <w:sz w:val="21"/>
                <w:szCs w:val="21"/>
                <w:color w:val="auto"/>
              </w:rPr>
            </w:pPr>
          </w:p>
        </w:tc>
        <w:tc>
          <w:tcPr>
            <w:tcW w:w="7400" w:type="dxa"/>
            <w:vAlign w:val="bottom"/>
          </w:tcPr>
          <w:p>
            <w:pPr>
              <w:ind w:left="180"/>
              <w:spacing w:after="0"/>
              <w:rPr>
                <w:sz w:val="20"/>
                <w:szCs w:val="20"/>
                <w:color w:val="auto"/>
              </w:rPr>
            </w:pPr>
            <w:r>
              <w:rPr>
                <w:rFonts w:ascii="Arial" w:cs="Arial" w:eastAsia="Arial" w:hAnsi="Arial"/>
                <w:sz w:val="20"/>
                <w:szCs w:val="20"/>
                <w:color w:val="auto"/>
              </w:rPr>
              <w:t>Stockholder Matters</w:t>
            </w: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5"/>
        </w:trPr>
        <w:tc>
          <w:tcPr>
            <w:tcW w:w="1000" w:type="dxa"/>
            <w:vAlign w:val="bottom"/>
          </w:tcPr>
          <w:p>
            <w:pPr>
              <w:spacing w:after="0"/>
              <w:rPr>
                <w:sz w:val="20"/>
                <w:szCs w:val="20"/>
                <w:color w:val="auto"/>
              </w:rPr>
            </w:pPr>
            <w:r>
              <w:rPr>
                <w:rFonts w:ascii="Arial" w:cs="Arial" w:eastAsia="Arial" w:hAnsi="Arial"/>
                <w:sz w:val="20"/>
                <w:szCs w:val="20"/>
                <w:color w:val="auto"/>
              </w:rPr>
              <w:t>Item 13.</w:t>
            </w:r>
          </w:p>
        </w:tc>
        <w:tc>
          <w:tcPr>
            <w:tcW w:w="7400" w:type="dxa"/>
            <w:vAlign w:val="bottom"/>
          </w:tcPr>
          <w:p>
            <w:pPr>
              <w:ind w:left="180"/>
              <w:spacing w:after="0"/>
              <w:rPr>
                <w:sz w:val="20"/>
                <w:szCs w:val="20"/>
                <w:color w:val="auto"/>
              </w:rPr>
            </w:pPr>
            <w:r>
              <w:rPr>
                <w:rFonts w:ascii="Arial" w:cs="Arial" w:eastAsia="Arial" w:hAnsi="Arial"/>
                <w:sz w:val="20"/>
                <w:szCs w:val="20"/>
                <w:color w:val="auto"/>
              </w:rPr>
              <w:t>Certain Relationships and Related Transactions, and Director Independence</w:t>
            </w:r>
          </w:p>
        </w:tc>
        <w:tc>
          <w:tcPr>
            <w:tcW w:w="920" w:type="dxa"/>
            <w:vAlign w:val="bottom"/>
            <w:tcBorders>
              <w:right w:val="single" w:sz="8" w:color="E6E6E6"/>
            </w:tcBorders>
          </w:tcPr>
          <w:p>
            <w:pPr>
              <w:jc w:val="center"/>
              <w:spacing w:after="0"/>
              <w:rPr>
                <w:sz w:val="20"/>
                <w:szCs w:val="20"/>
                <w:color w:val="auto"/>
              </w:rPr>
            </w:pPr>
            <w:r>
              <w:rPr>
                <w:rFonts w:ascii="Arial" w:cs="Arial" w:eastAsia="Arial" w:hAnsi="Arial"/>
                <w:sz w:val="20"/>
                <w:szCs w:val="20"/>
                <w:color w:val="auto"/>
                <w:w w:val="89"/>
              </w:rPr>
              <w:t>90</w:t>
            </w:r>
          </w:p>
        </w:tc>
        <w:tc>
          <w:tcPr>
            <w:tcW w:w="0" w:type="dxa"/>
            <w:vAlign w:val="bottom"/>
          </w:tcPr>
          <w:p>
            <w:pPr>
              <w:spacing w:after="0"/>
              <w:rPr>
                <w:sz w:val="1"/>
                <w:szCs w:val="1"/>
                <w:color w:val="auto"/>
              </w:rPr>
            </w:pPr>
          </w:p>
        </w:tc>
      </w:tr>
      <w:tr>
        <w:trPr>
          <w:trHeight w:val="422"/>
        </w:trPr>
        <w:tc>
          <w:tcPr>
            <w:tcW w:w="1000" w:type="dxa"/>
            <w:vAlign w:val="bottom"/>
          </w:tcPr>
          <w:p>
            <w:pPr>
              <w:spacing w:after="0"/>
              <w:rPr>
                <w:sz w:val="20"/>
                <w:szCs w:val="20"/>
                <w:color w:val="auto"/>
              </w:rPr>
            </w:pPr>
            <w:r>
              <w:rPr>
                <w:rFonts w:ascii="Arial" w:cs="Arial" w:eastAsia="Arial" w:hAnsi="Arial"/>
                <w:sz w:val="20"/>
                <w:szCs w:val="20"/>
                <w:color w:val="auto"/>
              </w:rPr>
              <w:t>Item 14.</w:t>
            </w:r>
          </w:p>
        </w:tc>
        <w:tc>
          <w:tcPr>
            <w:tcW w:w="7400" w:type="dxa"/>
            <w:vAlign w:val="bottom"/>
          </w:tcPr>
          <w:p>
            <w:pPr>
              <w:ind w:left="180"/>
              <w:spacing w:after="0"/>
              <w:rPr>
                <w:sz w:val="20"/>
                <w:szCs w:val="20"/>
                <w:color w:val="auto"/>
              </w:rPr>
            </w:pPr>
            <w:r>
              <w:rPr>
                <w:rFonts w:ascii="Arial" w:cs="Arial" w:eastAsia="Arial" w:hAnsi="Arial"/>
                <w:sz w:val="20"/>
                <w:szCs w:val="20"/>
                <w:color w:val="auto"/>
              </w:rPr>
              <w:t>Principal Accounting Fees and Services</w:t>
            </w:r>
          </w:p>
        </w:tc>
        <w:tc>
          <w:tcPr>
            <w:tcW w:w="920" w:type="dxa"/>
            <w:vAlign w:val="bottom"/>
          </w:tcPr>
          <w:p>
            <w:pPr>
              <w:jc w:val="center"/>
              <w:spacing w:after="0"/>
              <w:rPr>
                <w:sz w:val="20"/>
                <w:szCs w:val="20"/>
                <w:color w:val="auto"/>
              </w:rPr>
            </w:pPr>
            <w:r>
              <w:rPr>
                <w:rFonts w:ascii="Arial" w:cs="Arial" w:eastAsia="Arial" w:hAnsi="Arial"/>
                <w:sz w:val="20"/>
                <w:szCs w:val="20"/>
                <w:color w:val="auto"/>
                <w:w w:val="89"/>
              </w:rPr>
              <w:t>90</w:t>
            </w:r>
          </w:p>
        </w:tc>
        <w:tc>
          <w:tcPr>
            <w:tcW w:w="0" w:type="dxa"/>
            <w:vAlign w:val="bottom"/>
          </w:tcPr>
          <w:p>
            <w:pPr>
              <w:spacing w:after="0"/>
              <w:rPr>
                <w:sz w:val="1"/>
                <w:szCs w:val="1"/>
                <w:color w:val="auto"/>
              </w:rPr>
            </w:pPr>
          </w:p>
        </w:tc>
      </w:tr>
      <w:tr>
        <w:trPr>
          <w:trHeight w:val="298"/>
        </w:trPr>
        <w:tc>
          <w:tcPr>
            <w:tcW w:w="1000" w:type="dxa"/>
            <w:vAlign w:val="bottom"/>
          </w:tcPr>
          <w:p>
            <w:pPr>
              <w:spacing w:after="0"/>
              <w:rPr>
                <w:sz w:val="20"/>
                <w:szCs w:val="20"/>
                <w:color w:val="auto"/>
              </w:rPr>
            </w:pPr>
            <w:r>
              <w:rPr>
                <w:rFonts w:ascii="Arial" w:cs="Arial" w:eastAsia="Arial" w:hAnsi="Arial"/>
                <w:sz w:val="20"/>
                <w:szCs w:val="20"/>
                <w:color w:val="auto"/>
              </w:rPr>
              <w:t>Part IV</w:t>
            </w:r>
          </w:p>
        </w:tc>
        <w:tc>
          <w:tcPr>
            <w:tcW w:w="7400" w:type="dxa"/>
            <w:vAlign w:val="bottom"/>
          </w:tcPr>
          <w:p>
            <w:pPr>
              <w:spacing w:after="0"/>
              <w:rPr>
                <w:sz w:val="24"/>
                <w:szCs w:val="24"/>
                <w:color w:val="auto"/>
              </w:rPr>
            </w:pPr>
          </w:p>
        </w:tc>
        <w:tc>
          <w:tcPr>
            <w:tcW w:w="920" w:type="dxa"/>
            <w:vAlign w:val="bottom"/>
            <w:tcBorders>
              <w:right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000" w:type="dxa"/>
            <w:vAlign w:val="bottom"/>
          </w:tcPr>
          <w:p>
            <w:pPr>
              <w:spacing w:after="0"/>
              <w:rPr>
                <w:sz w:val="20"/>
                <w:szCs w:val="20"/>
                <w:color w:val="auto"/>
              </w:rPr>
            </w:pPr>
            <w:r>
              <w:rPr>
                <w:rFonts w:ascii="Arial" w:cs="Arial" w:eastAsia="Arial" w:hAnsi="Arial"/>
                <w:sz w:val="20"/>
                <w:szCs w:val="20"/>
                <w:color w:val="auto"/>
              </w:rPr>
              <w:t>Item 15.</w:t>
            </w:r>
          </w:p>
        </w:tc>
        <w:tc>
          <w:tcPr>
            <w:tcW w:w="7400" w:type="dxa"/>
            <w:vAlign w:val="bottom"/>
          </w:tcPr>
          <w:p>
            <w:pPr>
              <w:ind w:left="180"/>
              <w:spacing w:after="0"/>
              <w:rPr>
                <w:sz w:val="20"/>
                <w:szCs w:val="20"/>
                <w:color w:val="auto"/>
              </w:rPr>
            </w:pPr>
            <w:r>
              <w:rPr>
                <w:rFonts w:ascii="Arial" w:cs="Arial" w:eastAsia="Arial" w:hAnsi="Arial"/>
                <w:sz w:val="20"/>
                <w:szCs w:val="20"/>
                <w:color w:val="auto"/>
              </w:rPr>
              <w:t>Exhibits, Financial Statement Schedules</w:t>
            </w:r>
          </w:p>
        </w:tc>
        <w:tc>
          <w:tcPr>
            <w:tcW w:w="920" w:type="dxa"/>
            <w:vAlign w:val="bottom"/>
          </w:tcPr>
          <w:p>
            <w:pPr>
              <w:jc w:val="center"/>
              <w:spacing w:after="0"/>
              <w:rPr>
                <w:sz w:val="20"/>
                <w:szCs w:val="20"/>
                <w:color w:val="auto"/>
              </w:rPr>
            </w:pPr>
            <w:r>
              <w:rPr>
                <w:rFonts w:ascii="Arial" w:cs="Arial" w:eastAsia="Arial" w:hAnsi="Arial"/>
                <w:sz w:val="20"/>
                <w:szCs w:val="20"/>
                <w:color w:val="auto"/>
                <w:w w:val="89"/>
              </w:rPr>
              <w:t>91</w:t>
            </w:r>
          </w:p>
        </w:tc>
        <w:tc>
          <w:tcPr>
            <w:tcW w:w="0" w:type="dxa"/>
            <w:vAlign w:val="bottom"/>
          </w:tcPr>
          <w:p>
            <w:pPr>
              <w:spacing w:after="0"/>
              <w:rPr>
                <w:sz w:val="1"/>
                <w:szCs w:val="1"/>
                <w:color w:val="auto"/>
              </w:rPr>
            </w:pPr>
          </w:p>
        </w:tc>
      </w:tr>
      <w:tr>
        <w:trPr>
          <w:trHeight w:val="448"/>
        </w:trPr>
        <w:tc>
          <w:tcPr>
            <w:tcW w:w="1000" w:type="dxa"/>
            <w:vAlign w:val="bottom"/>
          </w:tcPr>
          <w:p>
            <w:pPr>
              <w:spacing w:after="0"/>
              <w:rPr>
                <w:sz w:val="20"/>
                <w:szCs w:val="20"/>
                <w:color w:val="auto"/>
              </w:rPr>
            </w:pPr>
            <w:r>
              <w:rPr>
                <w:rFonts w:ascii="Arial" w:cs="Arial" w:eastAsia="Arial" w:hAnsi="Arial"/>
                <w:sz w:val="20"/>
                <w:szCs w:val="20"/>
                <w:color w:val="auto"/>
              </w:rPr>
              <w:t>Item 16.</w:t>
            </w:r>
          </w:p>
        </w:tc>
        <w:tc>
          <w:tcPr>
            <w:tcW w:w="7400" w:type="dxa"/>
            <w:vAlign w:val="bottom"/>
          </w:tcPr>
          <w:p>
            <w:pPr>
              <w:ind w:left="180"/>
              <w:spacing w:after="0"/>
              <w:rPr>
                <w:sz w:val="20"/>
                <w:szCs w:val="20"/>
                <w:color w:val="auto"/>
              </w:rPr>
            </w:pPr>
            <w:r>
              <w:rPr>
                <w:rFonts w:ascii="Arial" w:cs="Arial" w:eastAsia="Arial" w:hAnsi="Arial"/>
                <w:sz w:val="20"/>
                <w:szCs w:val="20"/>
                <w:color w:val="auto"/>
              </w:rPr>
              <w:t>Form 10-K Summary</w:t>
            </w:r>
          </w:p>
        </w:tc>
        <w:tc>
          <w:tcPr>
            <w:tcW w:w="920" w:type="dxa"/>
            <w:vAlign w:val="bottom"/>
            <w:tcBorders>
              <w:right w:val="single" w:sz="8" w:color="E6E6E6"/>
            </w:tcBorders>
          </w:tcPr>
          <w:p>
            <w:pPr>
              <w:jc w:val="center"/>
              <w:spacing w:after="0"/>
              <w:rPr>
                <w:sz w:val="20"/>
                <w:szCs w:val="20"/>
                <w:color w:val="auto"/>
              </w:rPr>
            </w:pPr>
            <w:r>
              <w:rPr>
                <w:rFonts w:ascii="Arial" w:cs="Arial" w:eastAsia="Arial" w:hAnsi="Arial"/>
                <w:sz w:val="20"/>
                <w:szCs w:val="20"/>
                <w:color w:val="auto"/>
                <w:w w:val="89"/>
              </w:rPr>
              <w:t>95</w:t>
            </w:r>
          </w:p>
        </w:tc>
        <w:tc>
          <w:tcPr>
            <w:tcW w:w="0" w:type="dxa"/>
            <w:vAlign w:val="bottom"/>
          </w:tcPr>
          <w:p>
            <w:pPr>
              <w:spacing w:after="0"/>
              <w:rPr>
                <w:sz w:val="1"/>
                <w:szCs w:val="1"/>
                <w:color w:val="auto"/>
              </w:rPr>
            </w:pPr>
          </w:p>
        </w:tc>
      </w:tr>
      <w:tr>
        <w:trPr>
          <w:trHeight w:val="422"/>
        </w:trPr>
        <w:tc>
          <w:tcPr>
            <w:tcW w:w="1000" w:type="dxa"/>
            <w:vAlign w:val="bottom"/>
          </w:tcPr>
          <w:p>
            <w:pPr>
              <w:spacing w:after="0"/>
              <w:rPr>
                <w:sz w:val="20"/>
                <w:szCs w:val="20"/>
                <w:color w:val="auto"/>
              </w:rPr>
            </w:pPr>
            <w:r>
              <w:rPr>
                <w:rFonts w:ascii="Arial" w:cs="Arial" w:eastAsia="Arial" w:hAnsi="Arial"/>
                <w:sz w:val="20"/>
                <w:szCs w:val="20"/>
                <w:color w:val="auto"/>
              </w:rPr>
              <w:t>Signatures</w:t>
            </w:r>
          </w:p>
        </w:tc>
        <w:tc>
          <w:tcPr>
            <w:tcW w:w="74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0"/>
                <w:szCs w:val="20"/>
                <w:color w:val="auto"/>
                <w:w w:val="89"/>
              </w:rPr>
              <w:t>96</w:t>
            </w:r>
          </w:p>
        </w:tc>
        <w:tc>
          <w:tcPr>
            <w:tcW w:w="0" w:type="dxa"/>
            <w:vAlign w:val="bottom"/>
          </w:tcPr>
          <w:p>
            <w:pPr>
              <w:spacing w:after="0"/>
              <w:rPr>
                <w:sz w:val="1"/>
                <w:szCs w:val="1"/>
                <w:color w:val="auto"/>
              </w:rPr>
            </w:pPr>
          </w:p>
        </w:tc>
      </w:tr>
    </w:tbl>
    <w:p>
      <w:pPr>
        <w:spacing w:after="0"/>
        <w:rPr>
          <w:sz w:val="20"/>
          <w:szCs w:val="20"/>
          <w:color w:val="auto"/>
        </w:rPr>
        <w:sectPr>
          <w:pgSz w:w="11880" w:h="15480" w:orient="portrait"/>
          <w:cols w:equalWidth="0" w:num="1">
            <w:col w:w="9300"/>
          </w:cols>
          <w:pgMar w:left="1320" w:top="1260" w:right="1260" w:bottom="1440" w:gutter="0" w:footer="0" w:header="0"/>
        </w:sectPr>
      </w:pPr>
      <w:r>
        <w:rPr>
          <w:sz w:val="20"/>
          <w:szCs w:val="20"/>
          <w:color w:val="auto"/>
        </w:rPr>
        <w:drawing>
          <wp:anchor simplePos="0" relativeHeight="251657728" behindDoc="1" locked="0" layoutInCell="0" allowOverlap="1">
            <wp:simplePos x="0" y="0"/>
            <wp:positionH relativeFrom="page">
              <wp:posOffset>787400</wp:posOffset>
            </wp:positionH>
            <wp:positionV relativeFrom="page">
              <wp:posOffset>787400</wp:posOffset>
            </wp:positionV>
            <wp:extent cx="5969000" cy="7740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00" cy="7740650"/>
                    </a:xfrm>
                    <a:prstGeom prst="rect">
                      <a:avLst/>
                    </a:prstGeom>
                    <a:noFill/>
                  </pic:spPr>
                </pic:pic>
              </a:graphicData>
            </a:graphic>
          </wp:anchor>
        </w:drawing>
      </w:r>
    </w:p>
    <w:bookmarkStart w:id="10" w:name="page11"/>
    <w:bookmarkEnd w:id="10"/>
    <w:p>
      <w:pPr>
        <w:ind w:left="7"/>
        <w:spacing w:after="0"/>
        <w:rPr>
          <w:sz w:val="20"/>
          <w:szCs w:val="20"/>
          <w:color w:val="auto"/>
        </w:rPr>
      </w:pPr>
      <w:r>
        <w:rPr>
          <w:rFonts w:ascii="Arial" w:cs="Arial" w:eastAsia="Arial" w:hAnsi="Arial"/>
          <w:sz w:val="20"/>
          <w:szCs w:val="20"/>
          <w:b w:val="1"/>
          <w:bCs w:val="1"/>
          <w:color w:val="auto"/>
        </w:rPr>
        <w:t>Item 1. Business</w:t>
      </w:r>
    </w:p>
    <w:p>
      <w:pPr>
        <w:spacing w:after="0" w:line="230"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OVERVIEW</w:t>
      </w:r>
    </w:p>
    <w:p>
      <w:pPr>
        <w:spacing w:after="0" w:line="237" w:lineRule="exact"/>
        <w:rPr>
          <w:sz w:val="20"/>
          <w:szCs w:val="20"/>
          <w:color w:val="auto"/>
        </w:rPr>
      </w:pPr>
    </w:p>
    <w:p>
      <w:pPr>
        <w:jc w:val="both"/>
        <w:ind w:left="7"/>
        <w:spacing w:after="0" w:line="260" w:lineRule="auto"/>
        <w:rPr>
          <w:sz w:val="20"/>
          <w:szCs w:val="20"/>
          <w:color w:val="auto"/>
        </w:rPr>
      </w:pPr>
      <w:r>
        <w:rPr>
          <w:rFonts w:ascii="Arial" w:cs="Arial" w:eastAsia="Arial" w:hAnsi="Arial"/>
          <w:sz w:val="20"/>
          <w:szCs w:val="20"/>
          <w:color w:val="auto"/>
        </w:rPr>
        <w:t>We are a biopharmaceutical company focused on developing and commercializing innovative therapeutics for the treatment of respiratory diseases with significant unmet medical needs.</w:t>
      </w:r>
    </w:p>
    <w:p>
      <w:pPr>
        <w:spacing w:after="0" w:line="61" w:lineRule="exact"/>
        <w:rPr>
          <w:sz w:val="20"/>
          <w:szCs w:val="20"/>
          <w:color w:val="auto"/>
        </w:rPr>
      </w:pPr>
    </w:p>
    <w:p>
      <w:pPr>
        <w:jc w:val="both"/>
        <w:ind w:left="7"/>
        <w:spacing w:after="0" w:line="275" w:lineRule="auto"/>
        <w:rPr>
          <w:sz w:val="20"/>
          <w:szCs w:val="20"/>
          <w:color w:val="auto"/>
        </w:rPr>
      </w:pPr>
      <w:r>
        <w:rPr>
          <w:rFonts w:ascii="Arial" w:cs="Arial" w:eastAsia="Arial" w:hAnsi="Arial"/>
          <w:sz w:val="18"/>
          <w:szCs w:val="18"/>
          <w:color w:val="auto"/>
        </w:rPr>
        <w:t>On June 26, 2024, the U.S. Food and Drug Administration (“FDA”) approved Ohtuvayre (ensifentrine) for the maintenance treatment of chronic obstructive pulmonary disease (“COPD”) in adult patients and we launched Ohtuvayre in the U.S. through an exclusive network of accredited specialty pharmacies in August 2024. Ohtuvayre is the our first commercial product and the first inhaled therapy with a novel mechanism of action available for the maintenance treatment of COPD in more than 20 years.</w:t>
      </w:r>
    </w:p>
    <w:p>
      <w:pPr>
        <w:spacing w:after="0" w:line="51" w:lineRule="exact"/>
        <w:rPr>
          <w:sz w:val="20"/>
          <w:szCs w:val="20"/>
          <w:color w:val="auto"/>
        </w:rPr>
      </w:pPr>
    </w:p>
    <w:p>
      <w:pPr>
        <w:jc w:val="both"/>
        <w:ind w:left="7"/>
        <w:spacing w:after="0" w:line="285" w:lineRule="auto"/>
        <w:rPr>
          <w:sz w:val="20"/>
          <w:szCs w:val="20"/>
          <w:color w:val="auto"/>
        </w:rPr>
      </w:pPr>
      <w:r>
        <w:rPr>
          <w:rFonts w:ascii="Arial" w:cs="Arial" w:eastAsia="Arial" w:hAnsi="Arial"/>
          <w:sz w:val="18"/>
          <w:szCs w:val="18"/>
          <w:color w:val="auto"/>
        </w:rPr>
        <w:t>Ohtuvayre is a first-in-class selective dual inhibitor of the enzymes phosphodiesterase 3 and 4 (“PDE3” and “PDE 4”) that combines bronchodilator and non-steroidal anti-inflammatory effects in one molecule. Ohtuvayre is delivered directly to the lungs through a standard jet nebulizer without the need for high inspiratory flow rates or complex hand-breath coordination.</w:t>
      </w:r>
    </w:p>
    <w:p>
      <w:pPr>
        <w:spacing w:after="0" w:line="42" w:lineRule="exact"/>
        <w:rPr>
          <w:sz w:val="20"/>
          <w:szCs w:val="20"/>
          <w:color w:val="auto"/>
        </w:rPr>
      </w:pPr>
    </w:p>
    <w:p>
      <w:pPr>
        <w:jc w:val="both"/>
        <w:ind w:left="7"/>
        <w:spacing w:after="0" w:line="265" w:lineRule="auto"/>
        <w:rPr>
          <w:sz w:val="20"/>
          <w:szCs w:val="20"/>
          <w:color w:val="auto"/>
        </w:rPr>
      </w:pPr>
      <w:r>
        <w:rPr>
          <w:rFonts w:ascii="Arial" w:cs="Arial" w:eastAsia="Arial" w:hAnsi="Arial"/>
          <w:sz w:val="18"/>
          <w:szCs w:val="18"/>
          <w:color w:val="auto"/>
        </w:rPr>
        <w:t>We are commercializing Ohtuvayre for the maintenance treatment of COPD in the U.S. Outside the U.S., we intend to license Ohtuvayre to companies with expertise and experience in developing and commercializing products in those regions. To that end, we have entered into a strategic collaboration with Nuance Pharma Limited, a Shanghai-based specialty pharmaceutical company (“Nuance Pharma”), to develop and commercialize ensifentrine, including Ohtuvayre, in Greater China. In February 2025, Nuance announced that Ohtuvayre was approved in Macau, the first approval outside of the U.S., for the maintenance treatment of COPD in adult patients. In addition, in September 2024, Nuance completed enrollment in its own pivotal Phase 3 trial evaluating ensifentrine for the maintenance treatment of COPD in China and results are expected in mid-2025.</w:t>
      </w:r>
    </w:p>
    <w:p>
      <w:pPr>
        <w:spacing w:after="0" w:line="59" w:lineRule="exact"/>
        <w:rPr>
          <w:sz w:val="20"/>
          <w:szCs w:val="20"/>
          <w:color w:val="auto"/>
        </w:rPr>
      </w:pPr>
    </w:p>
    <w:p>
      <w:pPr>
        <w:jc w:val="both"/>
        <w:ind w:left="7"/>
        <w:spacing w:after="0" w:line="250" w:lineRule="auto"/>
        <w:rPr>
          <w:sz w:val="20"/>
          <w:szCs w:val="20"/>
          <w:color w:val="auto"/>
        </w:rPr>
      </w:pPr>
      <w:r>
        <w:rPr>
          <w:rFonts w:ascii="Arial" w:cs="Arial" w:eastAsia="Arial" w:hAnsi="Arial"/>
          <w:sz w:val="19"/>
          <w:szCs w:val="19"/>
          <w:color w:val="auto"/>
        </w:rPr>
        <w:t>The approval of Ohtuvayre in the U.S. was based on extensive data including the Phase 3 ENHANCE (“Ensifentrine as a Novel inHAled Nebulized COPD thErapy”) trials, the results of which have been published in the American Journal of Respiratory and Critical Care Medicine (“AJRCCM”). Ohtuvayre met the primary endpoint in both the ENHANCE-1 and ENHANCE-2 trials demonstrating statistically significant and clinically meaningful improvements in measures of lung function. In addition, other endpoint data demonstrated that Ohtuvayre substantially reduced the rate and risk of COPD exacerbations in ENHANCE-1 and ENHANCE-2. Ohtuvayre was well tolerated in both trials.</w:t>
      </w:r>
    </w:p>
    <w:p>
      <w:pPr>
        <w:spacing w:after="0" w:line="73" w:lineRule="exact"/>
        <w:rPr>
          <w:sz w:val="20"/>
          <w:szCs w:val="20"/>
          <w:color w:val="auto"/>
        </w:rPr>
      </w:pPr>
    </w:p>
    <w:p>
      <w:pPr>
        <w:jc w:val="both"/>
        <w:ind w:left="7"/>
        <w:spacing w:after="0" w:line="260" w:lineRule="auto"/>
        <w:rPr>
          <w:sz w:val="20"/>
          <w:szCs w:val="20"/>
          <w:color w:val="auto"/>
        </w:rPr>
      </w:pPr>
      <w:r>
        <w:rPr>
          <w:rFonts w:ascii="Arial" w:cs="Arial" w:eastAsia="Arial" w:hAnsi="Arial"/>
          <w:sz w:val="20"/>
          <w:szCs w:val="20"/>
          <w:color w:val="auto"/>
        </w:rPr>
        <w:t>During 2024, we presented additional analyses of data from the ENHANCE trials at international scientific conferences and the data were published in peer reviewed publications:</w:t>
      </w:r>
    </w:p>
    <w:p>
      <w:pPr>
        <w:spacing w:after="0" w:line="61" w:lineRule="exact"/>
        <w:rPr>
          <w:sz w:val="20"/>
          <w:szCs w:val="20"/>
          <w:color w:val="auto"/>
        </w:rPr>
      </w:pPr>
    </w:p>
    <w:p>
      <w:pPr>
        <w:jc w:val="both"/>
        <w:ind w:left="367" w:hanging="367"/>
        <w:spacing w:after="0" w:line="250" w:lineRule="auto"/>
        <w:tabs>
          <w:tab w:leader="none" w:pos="367" w:val="left"/>
        </w:tabs>
        <w:numPr>
          <w:ilvl w:val="0"/>
          <w:numId w:val="7"/>
        </w:numPr>
        <w:rPr>
          <w:rFonts w:ascii="Arial" w:cs="Arial" w:eastAsia="Arial" w:hAnsi="Arial"/>
          <w:sz w:val="19"/>
          <w:szCs w:val="19"/>
          <w:color w:val="auto"/>
        </w:rPr>
      </w:pPr>
      <w:r>
        <w:rPr>
          <w:rFonts w:ascii="Arial" w:cs="Arial" w:eastAsia="Arial" w:hAnsi="Arial"/>
          <w:sz w:val="19"/>
          <w:szCs w:val="19"/>
          <w:color w:val="auto"/>
        </w:rPr>
        <w:t>In May 2024, we presented eight posters, including two mini oral symposia, highlighting additional pooled analyses of the ENHANCE studies at the American Thoracic Society International Conference (“ATS”) 2024. A pooled analysis demonstrating reductions in the rate and risk of exacerbations with Ohtuvayre was presented as part of the ‘Late Breaking Mini Symposium’ focusing on new breakthroughs. In addition, we hosted an exhibition booth exploring the role of PDE in inflammation and lung function impairment in COPD as well as three innovation hub presentations led by clinical experts. The abstracts were published on the ATS website and in the publication, AJRCCM;</w:t>
      </w:r>
    </w:p>
    <w:p>
      <w:pPr>
        <w:spacing w:after="0" w:line="73" w:lineRule="exact"/>
        <w:rPr>
          <w:rFonts w:ascii="Arial" w:cs="Arial" w:eastAsia="Arial" w:hAnsi="Arial"/>
          <w:sz w:val="19"/>
          <w:szCs w:val="19"/>
          <w:color w:val="auto"/>
        </w:rPr>
      </w:pPr>
    </w:p>
    <w:p>
      <w:pPr>
        <w:jc w:val="both"/>
        <w:ind w:left="367" w:hanging="367"/>
        <w:spacing w:after="0" w:line="275" w:lineRule="auto"/>
        <w:tabs>
          <w:tab w:leader="none" w:pos="367"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September 2024, we gave an oral presentation and presented three posters on additional analyses from the ENHANCE studies at the European Respiratory Society International Congress 2024. The analyses summarized the efficacy and safety of Ohtuvayre in subgroups of patients and a pooled analysis of patient reported outcomes demonstrated its effect on reducing cough and sputum. The abstracts were published in the publication, European Respiratory Journal; and</w:t>
      </w:r>
    </w:p>
    <w:p>
      <w:pPr>
        <w:spacing w:after="0" w:line="50" w:lineRule="exact"/>
        <w:rPr>
          <w:rFonts w:ascii="Arial" w:cs="Arial" w:eastAsia="Arial" w:hAnsi="Arial"/>
          <w:sz w:val="18"/>
          <w:szCs w:val="18"/>
          <w:color w:val="auto"/>
        </w:rPr>
      </w:pPr>
    </w:p>
    <w:p>
      <w:pPr>
        <w:jc w:val="both"/>
        <w:ind w:left="367" w:hanging="367"/>
        <w:spacing w:after="0" w:line="250" w:lineRule="auto"/>
        <w:tabs>
          <w:tab w:leader="none" w:pos="367" w:val="left"/>
        </w:tabs>
        <w:numPr>
          <w:ilvl w:val="0"/>
          <w:numId w:val="7"/>
        </w:numPr>
        <w:rPr>
          <w:rFonts w:ascii="Arial" w:cs="Arial" w:eastAsia="Arial" w:hAnsi="Arial"/>
          <w:sz w:val="19"/>
          <w:szCs w:val="19"/>
          <w:color w:val="auto"/>
        </w:rPr>
      </w:pPr>
      <w:r>
        <w:rPr>
          <w:rFonts w:ascii="Arial" w:cs="Arial" w:eastAsia="Arial" w:hAnsi="Arial"/>
          <w:sz w:val="19"/>
          <w:szCs w:val="19"/>
          <w:color w:val="auto"/>
        </w:rPr>
        <w:t>In October 2024, we gave four oral presentations and presented two posters on analyses from the ENHANCE studies at CHEST Annual Meeting 2024 (“CHEST”). These included subgroup data supporting improvements in lung function, symptoms and quality of life, as well as reductions in the rate of exacerbations, regardless of COPD severity (moderate or severe), smoking status (current or former) and chronic bronchitis (with or without). An analysis of Ohtuvayre’s impact on reducing exacerbation rates and COPD-related healthcare resource utilization was also presented. The analyses were published in the CHEST Annual Meeting on-line supplement.</w:t>
      </w:r>
    </w:p>
    <w:p>
      <w:pPr>
        <w:spacing w:after="0" w:line="64"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Pipeline</w:t>
      </w:r>
    </w:p>
    <w:p>
      <w:pPr>
        <w:spacing w:after="0" w:line="119" w:lineRule="exact"/>
        <w:rPr>
          <w:sz w:val="20"/>
          <w:szCs w:val="20"/>
          <w:color w:val="auto"/>
        </w:rPr>
      </w:pPr>
    </w:p>
    <w:p>
      <w:pPr>
        <w:jc w:val="both"/>
        <w:ind w:left="7"/>
        <w:spacing w:after="0" w:line="245" w:lineRule="auto"/>
        <w:rPr>
          <w:sz w:val="20"/>
          <w:szCs w:val="20"/>
          <w:color w:val="auto"/>
        </w:rPr>
      </w:pPr>
      <w:r>
        <w:rPr>
          <w:rFonts w:ascii="Arial" w:cs="Arial" w:eastAsia="Arial" w:hAnsi="Arial"/>
          <w:sz w:val="20"/>
          <w:szCs w:val="20"/>
          <w:color w:val="auto"/>
        </w:rPr>
        <w:t>In Phase 2 clinical trials, ensifentrine has demonstrated positive results in patients with COPD, asthma and cystic fibrosis (“CF”). Two additional formulations of ensifentrine have been evaluated in Phase 2 trials for the treatment of COPD: dry powder inhaler (“DPI”) and pressurized metered-dose inhaler (“pMDI”).</w:t>
      </w:r>
    </w:p>
    <w:p>
      <w:pPr>
        <w:spacing w:after="0" w:line="75" w:lineRule="exact"/>
        <w:rPr>
          <w:sz w:val="20"/>
          <w:szCs w:val="20"/>
          <w:color w:val="auto"/>
        </w:rPr>
      </w:pPr>
    </w:p>
    <w:p>
      <w:pPr>
        <w:ind w:left="7"/>
        <w:spacing w:after="0"/>
        <w:rPr>
          <w:sz w:val="20"/>
          <w:szCs w:val="20"/>
          <w:color w:val="auto"/>
        </w:rPr>
      </w:pPr>
      <w:r>
        <w:rPr>
          <w:rFonts w:ascii="Arial" w:cs="Arial" w:eastAsia="Arial" w:hAnsi="Arial"/>
          <w:sz w:val="20"/>
          <w:szCs w:val="20"/>
          <w:color w:val="auto"/>
        </w:rPr>
        <w:t>In addition, in the third quarter of 2024, we initiated two Phase 2 clinical trials:</w:t>
      </w:r>
    </w:p>
    <w:p>
      <w:pPr>
        <w:spacing w:after="0" w:line="110" w:lineRule="exact"/>
        <w:rPr>
          <w:sz w:val="20"/>
          <w:szCs w:val="20"/>
          <w:color w:val="auto"/>
        </w:rPr>
      </w:pPr>
    </w:p>
    <w:p>
      <w:pPr>
        <w:ind w:left="367" w:hanging="367"/>
        <w:spacing w:after="0" w:line="260" w:lineRule="auto"/>
        <w:tabs>
          <w:tab w:leader="none" w:pos="367" w:val="left"/>
        </w:tabs>
        <w:numPr>
          <w:ilvl w:val="0"/>
          <w:numId w:val="8"/>
        </w:numPr>
        <w:rPr>
          <w:rFonts w:ascii="Arial" w:cs="Arial" w:eastAsia="Arial" w:hAnsi="Arial"/>
          <w:sz w:val="20"/>
          <w:szCs w:val="20"/>
          <w:color w:val="auto"/>
        </w:rPr>
      </w:pPr>
      <w:r>
        <w:rPr>
          <w:rFonts w:ascii="Arial" w:cs="Arial" w:eastAsia="Arial" w:hAnsi="Arial"/>
          <w:sz w:val="20"/>
          <w:szCs w:val="20"/>
          <w:color w:val="auto"/>
        </w:rPr>
        <w:t>dose-ranging trial with a glycopyrrolate, a Long-Acting Muscarinic Antagonist (“LAMA”), supporting a fixed-dose combination program with ensifentrine for the maintenance treatment of COPD via delivery in a nebulizer, and</w:t>
      </w:r>
    </w:p>
    <w:p>
      <w:pPr>
        <w:sectPr>
          <w:pgSz w:w="11880" w:h="15480" w:orient="portrait"/>
          <w:cols w:equalWidth="0" w:num="1">
            <w:col w:w="10247"/>
          </w:cols>
          <w:pgMar w:left="813" w:top="85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6"/>
        <w:spacing w:after="0"/>
        <w:rPr>
          <w:sz w:val="20"/>
          <w:szCs w:val="20"/>
          <w:color w:val="auto"/>
        </w:rPr>
      </w:pPr>
      <w:r>
        <w:rPr>
          <w:rFonts w:ascii="Arial" w:cs="Arial" w:eastAsia="Arial" w:hAnsi="Arial"/>
          <w:sz w:val="17"/>
          <w:szCs w:val="17"/>
          <w:color w:val="auto"/>
        </w:rPr>
        <w:t>1</w:t>
      </w:r>
    </w:p>
    <w:p>
      <w:pPr>
        <w:sectPr>
          <w:pgSz w:w="11880" w:h="15480" w:orient="portrait"/>
          <w:cols w:equalWidth="0" w:num="1">
            <w:col w:w="10247"/>
          </w:cols>
          <w:pgMar w:left="813" w:top="850" w:right="820" w:bottom="0" w:gutter="0" w:footer="0" w:header="0"/>
          <w:type w:val="continuous"/>
        </w:sectPr>
      </w:pPr>
    </w:p>
    <w:bookmarkStart w:id="11" w:name="page12"/>
    <w:bookmarkEnd w:id="11"/>
    <w:p>
      <w:pPr>
        <w:ind w:left="367" w:hanging="367"/>
        <w:spacing w:after="0" w:line="260" w:lineRule="auto"/>
        <w:tabs>
          <w:tab w:leader="none" w:pos="367" w:val="left"/>
        </w:tabs>
        <w:numPr>
          <w:ilvl w:val="0"/>
          <w:numId w:val="9"/>
        </w:numPr>
        <w:rPr>
          <w:rFonts w:ascii="Arial" w:cs="Arial" w:eastAsia="Arial" w:hAnsi="Arial"/>
          <w:sz w:val="20"/>
          <w:szCs w:val="20"/>
          <w:color w:val="auto"/>
        </w:rPr>
      </w:pPr>
      <w:r>
        <w:rPr>
          <w:rFonts w:ascii="Arial" w:cs="Arial" w:eastAsia="Arial" w:hAnsi="Arial"/>
          <w:sz w:val="20"/>
          <w:szCs w:val="20"/>
          <w:color w:val="auto"/>
        </w:rPr>
        <w:t>trial assessing the efficacy and safety of nebulized ensifentrine in patients with non-cystic fibrosis bronchiectasis (“bronchiectasis”).</w:t>
      </w:r>
    </w:p>
    <w:p>
      <w:pPr>
        <w:spacing w:after="0" w:line="52"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Overview of COPD and current treatments</w:t>
      </w:r>
    </w:p>
    <w:p>
      <w:pPr>
        <w:spacing w:after="0" w:line="119" w:lineRule="exact"/>
        <w:rPr>
          <w:sz w:val="20"/>
          <w:szCs w:val="20"/>
          <w:color w:val="auto"/>
        </w:rPr>
      </w:pPr>
    </w:p>
    <w:p>
      <w:pPr>
        <w:jc w:val="both"/>
        <w:ind w:left="7"/>
        <w:spacing w:after="0" w:line="275" w:lineRule="auto"/>
        <w:rPr>
          <w:sz w:val="20"/>
          <w:szCs w:val="20"/>
          <w:color w:val="auto"/>
        </w:rPr>
      </w:pPr>
      <w:r>
        <w:rPr>
          <w:rFonts w:ascii="Arial" w:cs="Arial" w:eastAsia="Arial" w:hAnsi="Arial"/>
          <w:sz w:val="18"/>
          <w:szCs w:val="18"/>
          <w:color w:val="auto"/>
        </w:rPr>
        <w:t>COPD is a common, progressive, life-threatening respiratory disease without a cure. It causes loss of lung function, leading to debilitating breathlessness, hospitalizations, and death. COPD has a major impact on everyday life. Patients struggle with basic activities such as getting out of bed, showering, eating, and walking. Worldwide, COPD affects approximately 392 million people and is the third leading cause of death, according to the Global Initiative for Chronic Obstructive Lung Disease.</w:t>
      </w:r>
    </w:p>
    <w:p>
      <w:pPr>
        <w:spacing w:after="0" w:line="51" w:lineRule="exact"/>
        <w:rPr>
          <w:sz w:val="20"/>
          <w:szCs w:val="20"/>
          <w:color w:val="auto"/>
        </w:rPr>
      </w:pPr>
    </w:p>
    <w:p>
      <w:pPr>
        <w:jc w:val="both"/>
        <w:ind w:left="7"/>
        <w:spacing w:after="0" w:line="287" w:lineRule="auto"/>
        <w:rPr>
          <w:sz w:val="20"/>
          <w:szCs w:val="20"/>
          <w:color w:val="auto"/>
        </w:rPr>
      </w:pPr>
      <w:r>
        <w:rPr>
          <w:rFonts w:ascii="Arial" w:cs="Arial" w:eastAsia="Arial" w:hAnsi="Arial"/>
          <w:sz w:val="19"/>
          <w:szCs w:val="19"/>
          <w:color w:val="auto"/>
        </w:rPr>
        <w:t>The goal of COPD pharmacological therapy is to improve patients’ quality of life by reducing symptoms, decreasing the quantity and severity of exacerbations (often an escalation of symptoms) and to improve patients’ ability to function.</w:t>
      </w:r>
    </w:p>
    <w:p>
      <w:pPr>
        <w:spacing w:after="0" w:line="37" w:lineRule="exact"/>
        <w:rPr>
          <w:sz w:val="20"/>
          <w:szCs w:val="20"/>
          <w:color w:val="auto"/>
        </w:rPr>
      </w:pPr>
    </w:p>
    <w:p>
      <w:pPr>
        <w:jc w:val="both"/>
        <w:ind w:left="7"/>
        <w:spacing w:after="0" w:line="237" w:lineRule="auto"/>
        <w:rPr>
          <w:sz w:val="20"/>
          <w:szCs w:val="20"/>
          <w:color w:val="auto"/>
        </w:rPr>
      </w:pPr>
      <w:r>
        <w:rPr>
          <w:rFonts w:ascii="Arial" w:cs="Arial" w:eastAsia="Arial" w:hAnsi="Arial"/>
          <w:sz w:val="20"/>
          <w:szCs w:val="20"/>
          <w:color w:val="auto"/>
        </w:rPr>
        <w:t>For approximately 40 years, the treatment of COPD has been dominated by three classes of inhaled therapies approved for use by the FDA and the European Commission based on the European Medicines Agency’s (“EMA”) opinion: anti-muscarinics, beta-agonists and inhaled corticosteroids (“ICSs”). COPD patients are frequently treated with bronchodilators, including LAMAs and long-acting beta-agonists (“LABAs”), to relieve airway constriction and make it easier to breathe. In addition, patients at risk for exacerbations may be prescribed ICSs to prevent them.</w:t>
      </w:r>
    </w:p>
    <w:p>
      <w:pPr>
        <w:spacing w:after="0" w:line="65" w:lineRule="exact"/>
        <w:rPr>
          <w:sz w:val="20"/>
          <w:szCs w:val="20"/>
          <w:color w:val="auto"/>
        </w:rPr>
      </w:pPr>
    </w:p>
    <w:p>
      <w:pPr>
        <w:jc w:val="both"/>
        <w:ind w:left="7"/>
        <w:spacing w:after="0" w:line="230" w:lineRule="auto"/>
        <w:rPr>
          <w:sz w:val="20"/>
          <w:szCs w:val="20"/>
          <w:color w:val="auto"/>
        </w:rPr>
      </w:pPr>
      <w:r>
        <w:rPr>
          <w:rFonts w:ascii="Arial" w:cs="Arial" w:eastAsia="Arial" w:hAnsi="Arial"/>
          <w:sz w:val="20"/>
          <w:szCs w:val="20"/>
          <w:color w:val="auto"/>
        </w:rPr>
        <w:t>Certain COPD patients are treated with the oral PDE4 inhibitor, roflumilast (Daliresp</w:t>
      </w:r>
      <w:r>
        <w:rPr>
          <w:rFonts w:ascii="Arial" w:cs="Arial" w:eastAsia="Arial" w:hAnsi="Arial"/>
          <w:sz w:val="25"/>
          <w:szCs w:val="25"/>
          <w:color w:val="auto"/>
          <w:vertAlign w:val="superscript"/>
        </w:rPr>
        <w:t>®</w:t>
      </w:r>
      <w:r>
        <w:rPr>
          <w:rFonts w:ascii="Arial" w:cs="Arial" w:eastAsia="Arial" w:hAnsi="Arial"/>
          <w:sz w:val="20"/>
          <w:szCs w:val="20"/>
          <w:color w:val="auto"/>
        </w:rPr>
        <w:t>), which has demonstrated a reduction in exacerbation risk in patients with severe chronic bronchitis. However, oral PDE4 therapy results in systemic exposure, which has been associated with unfavorable gastrointestinal side-effects such as nausea, emesis, diarrhea, abdominal pain, loss of appetite and weight loss.</w:t>
      </w:r>
    </w:p>
    <w:p>
      <w:pPr>
        <w:spacing w:after="0" w:line="81" w:lineRule="exact"/>
        <w:rPr>
          <w:sz w:val="20"/>
          <w:szCs w:val="20"/>
          <w:color w:val="auto"/>
        </w:rPr>
      </w:pPr>
    </w:p>
    <w:p>
      <w:pPr>
        <w:jc w:val="both"/>
        <w:ind w:left="7"/>
        <w:spacing w:after="0" w:line="235" w:lineRule="auto"/>
        <w:rPr>
          <w:sz w:val="20"/>
          <w:szCs w:val="20"/>
          <w:color w:val="auto"/>
        </w:rPr>
      </w:pPr>
      <w:r>
        <w:rPr>
          <w:rFonts w:ascii="Arial" w:cs="Arial" w:eastAsia="Arial" w:hAnsi="Arial"/>
          <w:sz w:val="20"/>
          <w:szCs w:val="20"/>
          <w:color w:val="auto"/>
        </w:rPr>
        <w:t>Approximately 8.6 million COPD patients in the U.S. receive LAMA, LABA, or ICS treatments alone or in combination regardless of COPD severity. Despite these medications and the earlier use of dual (LAMA / LABA) and triple (LAMA / LABA / ICS) therapies, many patients continue to suffer debilitating symptoms. According to a December 2022 study by Phreesia, 49% of patients continue to have symptoms more than 24 days a month. This burden leaves a significant opportunity for new inhaled therapies that offer additional benefit added to the three main classes of treatment. New treatment options are urgently needed to help improve lung function and symptoms, reduce exacerbations and improve overall quality of life in these patients.</w:t>
      </w:r>
    </w:p>
    <w:p>
      <w:pPr>
        <w:spacing w:after="0" w:line="79"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Ensifentrine</w:t>
      </w:r>
    </w:p>
    <w:p>
      <w:pPr>
        <w:spacing w:after="0" w:line="114" w:lineRule="exact"/>
        <w:rPr>
          <w:sz w:val="20"/>
          <w:szCs w:val="20"/>
          <w:color w:val="auto"/>
        </w:rPr>
      </w:pPr>
    </w:p>
    <w:p>
      <w:pPr>
        <w:jc w:val="both"/>
        <w:ind w:left="7"/>
        <w:spacing w:after="0" w:line="265" w:lineRule="auto"/>
        <w:rPr>
          <w:sz w:val="20"/>
          <w:szCs w:val="20"/>
          <w:color w:val="auto"/>
        </w:rPr>
      </w:pPr>
      <w:r>
        <w:rPr>
          <w:rFonts w:ascii="Arial" w:cs="Arial" w:eastAsia="Arial" w:hAnsi="Arial"/>
          <w:sz w:val="18"/>
          <w:szCs w:val="18"/>
          <w:color w:val="auto"/>
        </w:rPr>
        <w:t>Ensifentrine is a first-in-class, inhaled, small molecule and selective, dual PDE3 and PDE4 inhibitor. This dual inhibition enables it to act as a bronchodilator and a non-steroidal anti-inflammatory agent in a single compound. Importantly, ensifentrine’s therapeutic profile differentiates it from existing classes of bronchodilator and anti-inflammatory treatments. We are not aware of any other single compound in clinical development in the U.S. or Europe or approved by the FDA nor the European Commission for the treatment of respiratory diseases that acts both as a bronchodilator and anti-inflammatory agent. Ensifentrine is the first novel inhaled mechanism approved for the maintenance treatment of COPD in over 20 years and the only bronchodilator option that can be added to existing classes of inhaled therapies including LAMA, LABA and ICS.</w:t>
      </w:r>
    </w:p>
    <w:p>
      <w:pPr>
        <w:spacing w:after="0" w:line="55"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Safety profile</w:t>
      </w:r>
    </w:p>
    <w:p>
      <w:pPr>
        <w:spacing w:after="0" w:line="114" w:lineRule="exact"/>
        <w:rPr>
          <w:sz w:val="20"/>
          <w:szCs w:val="20"/>
          <w:color w:val="auto"/>
        </w:rPr>
      </w:pPr>
    </w:p>
    <w:p>
      <w:pPr>
        <w:jc w:val="both"/>
        <w:ind w:left="7"/>
        <w:spacing w:after="0" w:line="250" w:lineRule="auto"/>
        <w:rPr>
          <w:sz w:val="20"/>
          <w:szCs w:val="20"/>
          <w:color w:val="auto"/>
        </w:rPr>
      </w:pPr>
      <w:r>
        <w:rPr>
          <w:rFonts w:ascii="Arial" w:cs="Arial" w:eastAsia="Arial" w:hAnsi="Arial"/>
          <w:sz w:val="19"/>
          <w:szCs w:val="19"/>
          <w:color w:val="auto"/>
        </w:rPr>
        <w:t>Ensifentrine has been well tolerated in clinical trials involving approximately 3,000 subjects to date. Additionally, ensifentrine did not prolong the QT interval or impact other cardiac conduction parameters in a thorough QT study in healthy volunteers. It is delivered directly to the lungs by inhalation to maximize pulmonary exposure to ensifentrine while minimizing systemic exposure. This feature minimizes any systemic side-effects such as the gastrointestinal disturbance associated with oral PDE4 inhibitors. In addition, in non-clinical trials ensifentrine has demonstrated high selectivity for PDE3 and PDE4 over other enzymes and receptors, which is believed to minimize off-target effects.</w:t>
      </w:r>
    </w:p>
    <w:p>
      <w:pPr>
        <w:spacing w:after="0" w:line="70"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Differentiated profile</w:t>
      </w:r>
    </w:p>
    <w:p>
      <w:pPr>
        <w:spacing w:after="0" w:line="114" w:lineRule="exact"/>
        <w:rPr>
          <w:sz w:val="20"/>
          <w:szCs w:val="20"/>
          <w:color w:val="auto"/>
        </w:rPr>
      </w:pPr>
    </w:p>
    <w:p>
      <w:pPr>
        <w:jc w:val="both"/>
        <w:ind w:left="7"/>
        <w:spacing w:after="0" w:line="234" w:lineRule="auto"/>
        <w:rPr>
          <w:sz w:val="20"/>
          <w:szCs w:val="20"/>
          <w:color w:val="auto"/>
        </w:rPr>
      </w:pPr>
      <w:r>
        <w:rPr>
          <w:rFonts w:ascii="Arial" w:cs="Arial" w:eastAsia="Arial" w:hAnsi="Arial"/>
          <w:sz w:val="20"/>
          <w:szCs w:val="20"/>
          <w:color w:val="auto"/>
        </w:rPr>
        <w:t>By selectively inhibiting PDE3 and PDE4, ensifentrine impacts three key mechanisms in respiratory disease: bronchodilation, inflammation and mucociliary clearance. Ensifentrine is designed to increase the levels of cellular cAMP and cGMP in smooth muscle cells and inflammatory cells, resulting in bronchodilator and anti-inflammatory effects. Ensifentrine has also been shown to stimulate the cystic fibrosis transmembrane conductance regulator (“CFTR”), which is an ion channel in the epithelial cells lining the airways. Mutations in the CFTR protein result in poorly or non-functioning ion channels, which cause CF. CFTR dysfunction is also potentially important in COPD. CFTR stimulation leads to improved electrolyte balance in the lung and thinning of the mucus, which facilitates mucociliary clearance and leads to improved lung function and potentially a reduction in lung infections.</w:t>
      </w:r>
    </w:p>
    <w:p>
      <w:pPr>
        <w:spacing w:after="0" w:line="85" w:lineRule="exact"/>
        <w:rPr>
          <w:sz w:val="20"/>
          <w:szCs w:val="20"/>
          <w:color w:val="auto"/>
        </w:rPr>
      </w:pPr>
    </w:p>
    <w:p>
      <w:pPr>
        <w:jc w:val="both"/>
        <w:ind w:left="7"/>
        <w:spacing w:after="0" w:line="316" w:lineRule="auto"/>
        <w:rPr>
          <w:sz w:val="20"/>
          <w:szCs w:val="20"/>
          <w:color w:val="auto"/>
        </w:rPr>
      </w:pPr>
      <w:r>
        <w:rPr>
          <w:rFonts w:ascii="Arial" w:cs="Arial" w:eastAsia="Arial" w:hAnsi="Arial"/>
          <w:sz w:val="18"/>
          <w:szCs w:val="18"/>
          <w:color w:val="auto"/>
        </w:rPr>
        <w:t>Dual inhibition of PDE3 and PDE4 has shown enhanced or synergistic effects compared with inhibition of either PDE alone on contraction of airway smooth muscle and suppression of inflammatory mediator release in several preclinical studies. We</w:t>
      </w:r>
    </w:p>
    <w:p>
      <w:pPr>
        <w:sectPr>
          <w:pgSz w:w="11880" w:h="15480" w:orient="portrait"/>
          <w:cols w:equalWidth="0" w:num="1">
            <w:col w:w="10247"/>
          </w:cols>
          <w:pgMar w:left="813" w:top="8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6"/>
        <w:spacing w:after="0"/>
        <w:rPr>
          <w:sz w:val="20"/>
          <w:szCs w:val="20"/>
          <w:color w:val="auto"/>
        </w:rPr>
      </w:pPr>
      <w:r>
        <w:rPr>
          <w:rFonts w:ascii="Arial" w:cs="Arial" w:eastAsia="Arial" w:hAnsi="Arial"/>
          <w:sz w:val="17"/>
          <w:szCs w:val="17"/>
          <w:color w:val="auto"/>
        </w:rPr>
        <w:t>2</w:t>
      </w:r>
    </w:p>
    <w:p>
      <w:pPr>
        <w:sectPr>
          <w:pgSz w:w="11880" w:h="15480" w:orient="portrait"/>
          <w:cols w:equalWidth="0" w:num="1">
            <w:col w:w="10247"/>
          </w:cols>
          <w:pgMar w:left="813" w:top="858" w:right="820" w:bottom="0" w:gutter="0" w:footer="0" w:header="0"/>
          <w:type w:val="continuous"/>
        </w:sectPr>
      </w:pPr>
    </w:p>
    <w:bookmarkStart w:id="12" w:name="page13"/>
    <w:bookmarkEnd w:id="12"/>
    <w:p>
      <w:pPr>
        <w:jc w:val="both"/>
        <w:ind w:left="7"/>
        <w:spacing w:after="0" w:line="260" w:lineRule="auto"/>
        <w:rPr>
          <w:sz w:val="20"/>
          <w:szCs w:val="20"/>
          <w:color w:val="auto"/>
        </w:rPr>
      </w:pPr>
      <w:r>
        <w:rPr>
          <w:rFonts w:ascii="Arial" w:cs="Arial" w:eastAsia="Arial" w:hAnsi="Arial"/>
          <w:sz w:val="20"/>
          <w:szCs w:val="20"/>
          <w:color w:val="auto"/>
        </w:rPr>
        <w:t>believe these enhanced effects may increase the utility of ensifentrine in the treatment of respiratory diseases including COPD, bronchiectasis, asthma and 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260985</wp:posOffset>
            </wp:positionV>
            <wp:extent cx="6943725" cy="3674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3725" cy="367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Clinical development update</w:t>
      </w:r>
    </w:p>
    <w:p>
      <w:pPr>
        <w:spacing w:after="0" w:line="115"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Phase 3 ENHANCE program</w:t>
      </w:r>
    </w:p>
    <w:p>
      <w:pPr>
        <w:spacing w:after="0" w:line="114" w:lineRule="exact"/>
        <w:rPr>
          <w:sz w:val="20"/>
          <w:szCs w:val="20"/>
          <w:color w:val="auto"/>
        </w:rPr>
      </w:pPr>
    </w:p>
    <w:p>
      <w:pPr>
        <w:jc w:val="both"/>
        <w:ind w:left="7"/>
        <w:spacing w:after="0" w:line="260" w:lineRule="auto"/>
        <w:rPr>
          <w:sz w:val="20"/>
          <w:szCs w:val="20"/>
          <w:color w:val="auto"/>
        </w:rPr>
      </w:pPr>
      <w:r>
        <w:rPr>
          <w:rFonts w:ascii="Arial" w:cs="Arial" w:eastAsia="Arial" w:hAnsi="Arial"/>
          <w:sz w:val="20"/>
          <w:szCs w:val="20"/>
          <w:color w:val="auto"/>
        </w:rPr>
        <w:t>The U.S. approval of Ohtuvayre was based on extensive data including the Phase 3 ENHANCE trials, the results of which were published in the American Journal of Respiratory and Critical Care Medicine.</w:t>
      </w:r>
    </w:p>
    <w:p>
      <w:pPr>
        <w:spacing w:after="0" w:line="61" w:lineRule="exact"/>
        <w:rPr>
          <w:sz w:val="20"/>
          <w:szCs w:val="20"/>
          <w:color w:val="auto"/>
        </w:rPr>
      </w:pPr>
    </w:p>
    <w:p>
      <w:pPr>
        <w:jc w:val="both"/>
        <w:ind w:left="7"/>
        <w:spacing w:after="0" w:line="236" w:lineRule="auto"/>
        <w:rPr>
          <w:sz w:val="20"/>
          <w:szCs w:val="20"/>
          <w:color w:val="auto"/>
        </w:rPr>
      </w:pPr>
      <w:r>
        <w:rPr>
          <w:rFonts w:ascii="Arial" w:cs="Arial" w:eastAsia="Arial" w:hAnsi="Arial"/>
          <w:sz w:val="20"/>
          <w:szCs w:val="20"/>
          <w:color w:val="auto"/>
        </w:rPr>
        <w:t>We reported positive top-line results from ENHANCE-2 and ENHANCE-1 in August and December 2022, respectively. Ohtuvayre successfully met the primary endpoints in both trials, demonstrating statistically significant and clinically meaningful improvements in measures of lung function in moderate to severe COPD patients. Improvements in symptoms and quality of life measures were shown in both trials, which reached statistical significance in ENHANCE-1. Other endpoint data showed Ohtuvayre substantially reduced the rate and risk of moderate to severe COPD exacerbations and was well tolerated in both trials.</w:t>
      </w:r>
    </w:p>
    <w:p>
      <w:pPr>
        <w:spacing w:after="0" w:line="82" w:lineRule="exact"/>
        <w:rPr>
          <w:sz w:val="20"/>
          <w:szCs w:val="20"/>
          <w:color w:val="auto"/>
        </w:rPr>
      </w:pPr>
    </w:p>
    <w:p>
      <w:pPr>
        <w:jc w:val="both"/>
        <w:ind w:left="7"/>
        <w:spacing w:after="0" w:line="239" w:lineRule="auto"/>
        <w:rPr>
          <w:sz w:val="20"/>
          <w:szCs w:val="20"/>
          <w:color w:val="auto"/>
        </w:rPr>
      </w:pPr>
      <w:r>
        <w:rPr>
          <w:rFonts w:ascii="Arial" w:cs="Arial" w:eastAsia="Arial" w:hAnsi="Arial"/>
          <w:sz w:val="20"/>
          <w:szCs w:val="20"/>
          <w:color w:val="auto"/>
        </w:rPr>
        <w:t>The ENHANCE trials were designed to evaluate Ohtuvayre as monotherapy and added onto a single bronchodilator. Each trial enrolled approximately 800 subjects, for a total of approximately 1,600 subjects, at sites primarily in the U.S. and Europe. The two trials provided replicate evidence of efficacy and safety data over 24 weeks and ENHANCE-1 also evaluated longer-term safety in approximately 400 subjects over 48 weeks.</w:t>
      </w:r>
    </w:p>
    <w:p>
      <w:pPr>
        <w:spacing w:after="0" w:line="83" w:lineRule="exact"/>
        <w:rPr>
          <w:sz w:val="20"/>
          <w:szCs w:val="20"/>
          <w:color w:val="auto"/>
        </w:rPr>
      </w:pPr>
    </w:p>
    <w:p>
      <w:pPr>
        <w:ind w:left="7"/>
        <w:spacing w:after="0"/>
        <w:rPr>
          <w:sz w:val="20"/>
          <w:szCs w:val="20"/>
          <w:color w:val="auto"/>
        </w:rPr>
      </w:pPr>
      <w:r>
        <w:rPr>
          <w:rFonts w:ascii="Arial" w:cs="Arial" w:eastAsia="Arial" w:hAnsi="Arial"/>
          <w:sz w:val="20"/>
          <w:szCs w:val="20"/>
          <w:color w:val="auto"/>
        </w:rPr>
        <w:t>Subject demographics and disease characteristics were well balanced between treatment groups in both trials.</w:t>
      </w:r>
    </w:p>
    <w:p>
      <w:pPr>
        <w:spacing w:after="0" w:line="130" w:lineRule="exact"/>
        <w:rPr>
          <w:sz w:val="20"/>
          <w:szCs w:val="20"/>
          <w:color w:val="auto"/>
        </w:rPr>
      </w:pPr>
    </w:p>
    <w:p>
      <w:pPr>
        <w:ind w:left="367" w:hanging="367"/>
        <w:spacing w:after="0" w:line="260" w:lineRule="auto"/>
        <w:tabs>
          <w:tab w:leader="none" w:pos="367"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 ENHANCE-1 approximately 69% of subjects received background COPD therapy, either a LAMA or a LABA. Additionally, approximately 20% of all subjects received ICS with concomitant LAMA or LABA.</w:t>
      </w:r>
    </w:p>
    <w:p>
      <w:pPr>
        <w:spacing w:after="0" w:line="61" w:lineRule="exact"/>
        <w:rPr>
          <w:rFonts w:ascii="Arial" w:cs="Arial" w:eastAsia="Arial" w:hAnsi="Arial"/>
          <w:sz w:val="20"/>
          <w:szCs w:val="20"/>
          <w:color w:val="auto"/>
        </w:rPr>
      </w:pPr>
    </w:p>
    <w:p>
      <w:pPr>
        <w:ind w:left="367" w:hanging="367"/>
        <w:spacing w:after="0" w:line="260" w:lineRule="auto"/>
        <w:tabs>
          <w:tab w:leader="none" w:pos="367"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 ENHANCE-2 approximately 55% of subjects received background COPD therapy, either a LAMA or a LABA. Additionally, approximately 15% of all subjects received ICS with concomitant LAMA or LABA.</w:t>
      </w:r>
    </w:p>
    <w:p>
      <w:pPr>
        <w:spacing w:after="0" w:line="61" w:lineRule="exact"/>
        <w:rPr>
          <w:sz w:val="20"/>
          <w:szCs w:val="20"/>
          <w:color w:val="auto"/>
        </w:rPr>
      </w:pPr>
    </w:p>
    <w:p>
      <w:pPr>
        <w:jc w:val="both"/>
        <w:ind w:left="367" w:hanging="359"/>
        <w:spacing w:after="0" w:line="264" w:lineRule="auto"/>
        <w:rPr>
          <w:sz w:val="20"/>
          <w:szCs w:val="20"/>
          <w:color w:val="auto"/>
        </w:rPr>
      </w:pPr>
      <w:r>
        <w:rPr>
          <w:rFonts w:ascii="Arial" w:cs="Arial" w:eastAsia="Arial" w:hAnsi="Arial"/>
          <w:sz w:val="19"/>
          <w:szCs w:val="19"/>
          <w:color w:val="auto"/>
        </w:rPr>
        <w:t>We believe Ohtuvayre can change the treatment paradigm for COPD. The totality of data from clinical trials, in particular the top-line results from the ENHANCE program, including improvements in measures of lung function, symptoms, quality of life measures, and exacerbation reductions, coupled with the consistent safety results, support our belief.</w:t>
      </w:r>
    </w:p>
    <w:p>
      <w:pPr>
        <w:sectPr>
          <w:pgSz w:w="11880" w:h="15480" w:orient="portrait"/>
          <w:cols w:equalWidth="0" w:num="1">
            <w:col w:w="10247"/>
          </w:cols>
          <w:pgMar w:left="813" w:top="8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6"/>
        <w:spacing w:after="0"/>
        <w:rPr>
          <w:sz w:val="20"/>
          <w:szCs w:val="20"/>
          <w:color w:val="auto"/>
        </w:rPr>
      </w:pPr>
      <w:r>
        <w:rPr>
          <w:rFonts w:ascii="Arial" w:cs="Arial" w:eastAsia="Arial" w:hAnsi="Arial"/>
          <w:sz w:val="17"/>
          <w:szCs w:val="17"/>
          <w:color w:val="auto"/>
        </w:rPr>
        <w:t>3</w:t>
      </w:r>
    </w:p>
    <w:p>
      <w:pPr>
        <w:sectPr>
          <w:pgSz w:w="11880" w:h="15480" w:orient="portrait"/>
          <w:cols w:equalWidth="0" w:num="1">
            <w:col w:w="10247"/>
          </w:cols>
          <w:pgMar w:left="813" w:top="858" w:right="820" w:bottom="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516255</wp:posOffset>
            </wp:positionH>
            <wp:positionV relativeFrom="page">
              <wp:posOffset>584200</wp:posOffset>
            </wp:positionV>
            <wp:extent cx="6852285" cy="3694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852285"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Formulations</w:t>
      </w:r>
    </w:p>
    <w:p>
      <w:pPr>
        <w:spacing w:after="0" w:line="11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We have developed formulations of ensifentrine for the three most widely used inhalation devices: nebulizer, DPI and pMDI. The nebulized formulation of ensifentrine is designed for use in a standard jet nebulizer, not a proprietary device. Delivery of COPD medications by nebulizer is important because such medications can be used by adults of almost any age and dexterity and regardless of peak inspiratory flow, offering advantages to patients who struggle to operate handheld inhaler devices or have low peak inspiratory flow. DPI and pMDI handheld inhaler formats are relatively portable and convenient and are also important delivery mechanisms.</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While we continue to focus on development of the nebulized formulation of ensifentrine, we believe the development of pMDI and DPI formulations of ensifentrine provides additional lifecycle opportunities including new potential indications, formulation combinations and collaborations. In February 2021, we reported positive results from the second, multiple dose part of a Phase 2 trial with pMDI ensifentrine in patients with moderate to severe COPD. Ensifentrine delivered by pMDI met all of the primary and secondary lung function endpoints. The improvement in lung function was dose-ordered and statistically significant at peak and over the 12-hour dosing interval compared with placebo, and supports twice-daily dosing of ensifentrine via pMDI for the treatment of COPD. Data from the single dose part of the study were reported in March 2020.</w:t>
      </w:r>
    </w:p>
    <w:p>
      <w:pPr>
        <w:spacing w:after="0" w:line="5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have successfully demonstrated proof of concept in Phase 2 COPD trials with all three formulations. In addition, the data from Phase 2 trials were consistent across the three formulations. All three dosage forms have demonstrated statistically significant and clinically meaningful improvements in lung function and duration of action, supporting twice-daily dosing and a safety profile similar to placebo.</w:t>
      </w:r>
    </w:p>
    <w:p>
      <w:pPr>
        <w:sectPr>
          <w:pgSz w:w="11880" w:h="15480" w:orient="portrait"/>
          <w:cols w:equalWidth="0" w:num="1">
            <w:col w:w="10240"/>
          </w:cols>
          <w:pgMar w:left="820" w:top="144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880" w:h="15480" w:orient="portrait"/>
          <w:cols w:equalWidth="0" w:num="1">
            <w:col w:w="10240"/>
          </w:cols>
          <w:pgMar w:left="820" w:top="1440" w:right="820" w:bottom="0" w:gutter="0" w:footer="0" w:header="0"/>
          <w:type w:val="continuous"/>
        </w:sectPr>
      </w:pPr>
    </w:p>
    <w:bookmarkStart w:id="14" w:name="page15"/>
    <w:bookmarkEnd w:id="14"/>
    <w:p>
      <w:pPr>
        <w:spacing w:after="0"/>
        <w:rPr>
          <w:sz w:val="20"/>
          <w:szCs w:val="20"/>
          <w:color w:val="auto"/>
        </w:rPr>
      </w:pPr>
      <w:r>
        <w:rPr>
          <w:rFonts w:ascii="Arial" w:cs="Arial" w:eastAsia="Arial" w:hAnsi="Arial"/>
          <w:sz w:val="20"/>
          <w:szCs w:val="20"/>
          <w:b w:val="1"/>
          <w:bCs w:val="1"/>
          <w:i w:val="1"/>
          <w:iCs w:val="1"/>
          <w:color w:val="auto"/>
        </w:rPr>
        <w:t>Pipeline</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our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6852285" cy="3704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2285"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Clinical Development Activities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Ensifentrine / Long-Acting Muscarinic Antagonist fixed-dose combination</w:t>
      </w:r>
    </w:p>
    <w:p>
      <w:pPr>
        <w:spacing w:after="0" w:line="11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Fixed-dose combination therapies such as LABA / LAMA, LABA / ICS and LABA / LAMA / ICS are commonly used in the treatment of COPD and, based on our market research, an unmet need exists for a nebulized fixed-dose combination therapy. We believe the combination of ensifentrine with a LAMA could provide COPD patients with the first nebulized fixed-dosed combination with the potential to provide bronchodilation through a dual mechanism and also non-steroidal anti-inflammatory effects via PDE inhibition.</w:t>
      </w:r>
    </w:p>
    <w:p>
      <w:pPr>
        <w:spacing w:after="0" w:line="8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are developing a fixed-dose combination formulation with ensifentrine and glycopyrrolate, a LAMA, for the maintenance treatment of patients with COPD via delivery in a nebulizer. We have filed patent applications in multiple jurisdictions including the U.S.</w:t>
      </w:r>
    </w:p>
    <w:p>
      <w:pPr>
        <w:spacing w:after="0" w:line="7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In November 2024, we completed enrollment in a Phase 2 dose-ranging trial with glycopyrrolate, a LAMA, supporting a fixed-dose combination program for the maintenance treatment of COPD via a nebulizer. The glycopyrrolate dose-ranging trial has successfully completed and we plan to initiate a Phase 2b trial with a fixed dose combination of ensifentrine and glycopyrrolate in the second half of 2025.</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Non-cystic fibrosis bronchiectasis</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Bronchiectasis is a chronic lung disease characterized by persistent cough, excess sputum production and frequent respiratory infections with more severe patients suffering exacerbations. The condition affects up to 500,000 adults in the U.S. and no therapies are specifically approved to treat it. Physicians currently use bronchodilators, antibiotics, steroids, mucus thinners and surgery.</w:t>
      </w:r>
    </w:p>
    <w:p>
      <w:pPr>
        <w:spacing w:after="0" w:line="8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Based on the clinical results of ensifentrine observed in patients with COPD, including improvements in lung function and symptoms of cough and sputum, we believe that ensifentrine could potentially be an effective treatment for bronchiectasis. In the third quarter of 2024, we began enrollment in a Phase 2 clinical trial to assess the efficacy and safety of nebulized ensifentrine in patients with bronchiectasis.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Potential additional indications for ensifentrine</w:t>
      </w:r>
    </w:p>
    <w:p>
      <w:pPr>
        <w:sectPr>
          <w:pgSz w:w="11880" w:h="15480" w:orient="portrait"/>
          <w:cols w:equalWidth="0" w:num="1">
            <w:col w:w="10240"/>
          </w:cols>
          <w:pgMar w:left="820" w:top="84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880" w:h="15480" w:orient="portrait"/>
          <w:cols w:equalWidth="0" w:num="1">
            <w:col w:w="10240"/>
          </w:cols>
          <w:pgMar w:left="820" w:top="848" w:right="820" w:bottom="0"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b w:val="1"/>
          <w:bCs w:val="1"/>
          <w:i w:val="1"/>
          <w:iCs w:val="1"/>
          <w:color w:val="auto"/>
        </w:rPr>
        <w:t>Cystic fibrosis and asthma</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addition to COPD and bronchiectasis, we believe ensifentrine has potential applications in other respiratory diseases including CF and asthma providing pipeline expansion opportunities and the potential for collaborations outside the U.S.</w:t>
      </w:r>
    </w:p>
    <w:p>
      <w:pPr>
        <w:spacing w:after="0" w:line="3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CF is a progressive, fatal genetic disease without a cure and a median age of survival of 61 years. The condition is characterized by thick, sticky mucus that damages many of the body’s organs. It causes repeat and persistent lung infections that result in frequent exacerbations and hospitalizations. Other symptoms include malnutrition, constipation and diarrhea, and some adults develop diabetes, arthritis and liver problems.</w:t>
      </w:r>
    </w:p>
    <w:p>
      <w:pPr>
        <w:spacing w:after="0" w:line="8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CF is the most common fatal inherited disease in the U.S. and Europe. Approximately 40,000 people in the U.S. and an estimated 105,000 people worldwide have been diagnosed with CF across more than 90 countries and approximately 1,000 new cases are diagnosed each year, according to the Cystic Fibrosis Foundation. The U.S. and European regulatory authorities consider CF to be a rare, or orphan, disease and provide incentives to encourage development of effective new treatments. CF patients endure multiple daily medications, frequent exacerbations and hospitalizations. Ultimately, selected patients have lung transplants.</w:t>
      </w:r>
    </w:p>
    <w:p>
      <w:pPr>
        <w:spacing w:after="0" w:line="8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In a Phase 2a clinical trial, a single dose of nebulized ensifentrine demonstrated an improvement in lung function in patients with CF. In addition, in preclinical studies, ensifentrine activated the cystic fibrosis transmembrane conductance regulator (“CFTR”), which is beneficial in reducing mucous viscosity and improving mucociliary clearance. We believe these data support the continued development of ensifentrine as a potential therapy for CF.</w:t>
      </w:r>
    </w:p>
    <w:p>
      <w:pPr>
        <w:spacing w:after="0" w:line="8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Asthma is a common chronic inflammatory lung condition that causes sporadic breathing difficulties. The disease causes narrowing and swelling of the airways leading to symptoms including difficulty breathing, wheezing, coughing and tightness in the chest. Exposure to triggers such as allergens or irritants can lead to asthma attacks.</w:t>
      </w:r>
    </w:p>
    <w:p>
      <w:pPr>
        <w:spacing w:after="0" w:line="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Asthma attacks vary in severity and frequency. More than 260 million people worldwide suffer from asthma and it is the most common chronic disease among children, according to estimates from the World Health Organization. Approximately 60% of adult asthmatics in the U.S. have uncontrolled asthma despite regularly taking medication. Although there is no cure, symptoms may be prevented by avoiding triggers and through established maintenance therapies including bronchodilators, ICS, anti-IgE agents and leukotriene inhibitors.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Ensifentrine has shown potential in a Phase 2a clinical trial in asthma. The data from this trial, published in October 2019 in the journal </w:t>
      </w:r>
      <w:r>
        <w:rPr>
          <w:rFonts w:ascii="Arial" w:cs="Arial" w:eastAsia="Arial" w:hAnsi="Arial"/>
          <w:sz w:val="18"/>
          <w:szCs w:val="18"/>
          <w:b w:val="1"/>
          <w:bCs w:val="1"/>
          <w:i w:val="1"/>
          <w:iCs w:val="1"/>
          <w:color w:val="auto"/>
        </w:rPr>
        <w:t>Pulmonary Pharmacology &amp; Therapeutic</w:t>
      </w:r>
      <w:r>
        <w:rPr>
          <w:rFonts w:ascii="Arial" w:cs="Arial" w:eastAsia="Arial" w:hAnsi="Arial"/>
          <w:sz w:val="18"/>
          <w:szCs w:val="18"/>
          <w:color w:val="auto"/>
        </w:rPr>
        <w:t>s, demonstrated that ensifentrine produced dose-dependent improvements in lung function that were comparable to current rescue medication, high dose nebulized albuterol. Importantly, ensifentrine was well tolerated and patients experienced fewer systemic effects than those receiving albuterol.</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team</w:t>
      </w:r>
    </w:p>
    <w:p>
      <w:pPr>
        <w:spacing w:after="0" w:line="11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Our expert team has decades of experience in developing and commercializing respiratory therapeutics including the following COPD therapeutics: Advair</w:t>
      </w:r>
      <w:r>
        <w:rPr>
          <w:rFonts w:ascii="Arial" w:cs="Arial" w:eastAsia="Arial" w:hAnsi="Arial"/>
          <w:sz w:val="25"/>
          <w:szCs w:val="25"/>
          <w:color w:val="auto"/>
          <w:vertAlign w:val="superscript"/>
        </w:rPr>
        <w:t>®</w:t>
      </w:r>
      <w:r>
        <w:rPr>
          <w:rFonts w:ascii="Arial" w:cs="Arial" w:eastAsia="Arial" w:hAnsi="Arial"/>
          <w:sz w:val="20"/>
          <w:szCs w:val="20"/>
          <w:color w:val="auto"/>
        </w:rPr>
        <w:t>; Anoro Ellipta</w:t>
      </w:r>
      <w:r>
        <w:rPr>
          <w:rFonts w:ascii="Arial" w:cs="Arial" w:eastAsia="Arial" w:hAnsi="Arial"/>
          <w:sz w:val="25"/>
          <w:szCs w:val="25"/>
          <w:color w:val="auto"/>
          <w:vertAlign w:val="superscript"/>
        </w:rPr>
        <w:t>®</w:t>
      </w:r>
      <w:r>
        <w:rPr>
          <w:rFonts w:ascii="Arial" w:cs="Arial" w:eastAsia="Arial" w:hAnsi="Arial"/>
          <w:sz w:val="20"/>
          <w:szCs w:val="20"/>
          <w:color w:val="auto"/>
        </w:rPr>
        <w:t>; Breo</w:t>
      </w:r>
      <w:r>
        <w:rPr>
          <w:rFonts w:ascii="Arial" w:cs="Arial" w:eastAsia="Arial" w:hAnsi="Arial"/>
          <w:sz w:val="25"/>
          <w:szCs w:val="25"/>
          <w:color w:val="auto"/>
          <w:vertAlign w:val="superscript"/>
        </w:rPr>
        <w:t>®</w:t>
      </w:r>
      <w:r>
        <w:rPr>
          <w:rFonts w:ascii="Arial" w:cs="Arial" w:eastAsia="Arial" w:hAnsi="Arial"/>
          <w:sz w:val="20"/>
          <w:szCs w:val="20"/>
          <w:color w:val="auto"/>
        </w:rPr>
        <w:t>; Flovent</w:t>
      </w:r>
      <w:r>
        <w:rPr>
          <w:rFonts w:ascii="Arial" w:cs="Arial" w:eastAsia="Arial" w:hAnsi="Arial"/>
          <w:sz w:val="25"/>
          <w:szCs w:val="25"/>
          <w:color w:val="auto"/>
          <w:vertAlign w:val="superscript"/>
        </w:rPr>
        <w:t>®</w:t>
      </w:r>
      <w:r>
        <w:rPr>
          <w:rFonts w:ascii="Arial" w:cs="Arial" w:eastAsia="Arial" w:hAnsi="Arial"/>
          <w:sz w:val="20"/>
          <w:szCs w:val="20"/>
          <w:color w:val="auto"/>
        </w:rPr>
        <w:t>; Flutiform</w:t>
      </w:r>
      <w:r>
        <w:rPr>
          <w:rFonts w:ascii="Arial" w:cs="Arial" w:eastAsia="Arial" w:hAnsi="Arial"/>
          <w:sz w:val="25"/>
          <w:szCs w:val="25"/>
          <w:color w:val="auto"/>
          <w:vertAlign w:val="superscript"/>
        </w:rPr>
        <w:t>®</w:t>
      </w:r>
      <w:r>
        <w:rPr>
          <w:rFonts w:ascii="Arial" w:cs="Arial" w:eastAsia="Arial" w:hAnsi="Arial"/>
          <w:sz w:val="20"/>
          <w:szCs w:val="20"/>
          <w:color w:val="auto"/>
        </w:rPr>
        <w:t>; Incruse Ellipta</w:t>
      </w:r>
      <w:r>
        <w:rPr>
          <w:rFonts w:ascii="Arial" w:cs="Arial" w:eastAsia="Arial" w:hAnsi="Arial"/>
          <w:sz w:val="25"/>
          <w:szCs w:val="25"/>
          <w:color w:val="auto"/>
          <w:vertAlign w:val="superscript"/>
        </w:rPr>
        <w:t>®</w:t>
      </w:r>
      <w:r>
        <w:rPr>
          <w:rFonts w:ascii="Arial" w:cs="Arial" w:eastAsia="Arial" w:hAnsi="Arial"/>
          <w:sz w:val="20"/>
          <w:szCs w:val="20"/>
          <w:color w:val="auto"/>
        </w:rPr>
        <w:t>; Serevent</w:t>
      </w:r>
      <w:r>
        <w:rPr>
          <w:rFonts w:ascii="Arial" w:cs="Arial" w:eastAsia="Arial" w:hAnsi="Arial"/>
          <w:sz w:val="25"/>
          <w:szCs w:val="25"/>
          <w:color w:val="auto"/>
          <w:vertAlign w:val="superscript"/>
        </w:rPr>
        <w:t>®</w:t>
      </w:r>
      <w:r>
        <w:rPr>
          <w:rFonts w:ascii="Arial" w:cs="Arial" w:eastAsia="Arial" w:hAnsi="Arial"/>
          <w:sz w:val="20"/>
          <w:szCs w:val="20"/>
          <w:color w:val="auto"/>
        </w:rPr>
        <w:t>; Symbicort</w:t>
      </w:r>
      <w:r>
        <w:rPr>
          <w:rFonts w:ascii="Arial" w:cs="Arial" w:eastAsia="Arial" w:hAnsi="Arial"/>
          <w:sz w:val="25"/>
          <w:szCs w:val="25"/>
          <w:color w:val="auto"/>
          <w:vertAlign w:val="superscript"/>
        </w:rPr>
        <w:t>®</w:t>
      </w:r>
      <w:r>
        <w:rPr>
          <w:rFonts w:ascii="Arial" w:cs="Arial" w:eastAsia="Arial" w:hAnsi="Arial"/>
          <w:sz w:val="20"/>
          <w:szCs w:val="20"/>
          <w:color w:val="auto"/>
        </w:rPr>
        <w:t>; Tudorza Pressair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Ventolin</w:t>
      </w:r>
      <w:r>
        <w:rPr>
          <w:rFonts w:ascii="Arial" w:cs="Arial" w:eastAsia="Arial" w:hAnsi="Arial"/>
          <w:sz w:val="25"/>
          <w:szCs w:val="25"/>
          <w:color w:val="auto"/>
          <w:vertAlign w:val="superscript"/>
        </w:rPr>
        <w:t>®</w:t>
      </w:r>
      <w:r>
        <w:rPr>
          <w:rFonts w:ascii="Arial" w:cs="Arial" w:eastAsia="Arial" w:hAnsi="Arial"/>
          <w:sz w:val="20"/>
          <w:szCs w:val="20"/>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w:t>
      </w:r>
    </w:p>
    <w:p>
      <w:pPr>
        <w:spacing w:after="0" w:line="23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do not have manufacturing facilities and rely on, and expect to continue to rely on, third-party contract manufacturing organizations (“CMOs”) for the supply of current good manufacturing practices (“cGMP”) compliant clinical trial materials of ensifentrine, and any future product candidates, as well as for commercial quantities of ensifentrine and any future product candidates, if approved.</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While we may contract with other CMOs in the future, we currently have one CMO for the manufacture of ensifentrine drug substance and one CMO for each formulation of ensifentrine.</w:t>
      </w:r>
    </w:p>
    <w:p>
      <w:pPr>
        <w:spacing w:after="0" w:line="6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All of our current CMOs have commercial scale manufacturing capabilities. We believe that the ensifentrine drug substance and drug product manufacturing processes can be transferred to other CMOs to produce clinical and commercial supplies in the ordinary course of business.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COMMERCIALIZATION</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Following approval of Ohtuvayre on June 26, 2024, we fully staffed our sales and field reimbursement teams with approximately 120 employees. In August 2024, Ohtuvayre was available through an exclusive network of accredited specialty pharmacies. Our personal and non-personal promotion is focused on promoting Ohtuvayre to the highest prescribing healthcare providers (“HCPs”) that treat large numbers of COPD patients. Our field representatives call on approximately 14,500 HCPs</w:t>
      </w:r>
    </w:p>
    <w:p>
      <w:pPr>
        <w:sectPr>
          <w:pgSz w:w="11880" w:h="15480" w:orient="portrait"/>
          <w:cols w:equalWidth="0" w:num="1">
            <w:col w:w="10240"/>
          </w:cols>
          <w:pgMar w:left="820" w:top="85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880" w:h="15480" w:orient="portrait"/>
          <w:cols w:equalWidth="0" w:num="1">
            <w:col w:w="10240"/>
          </w:cols>
          <w:pgMar w:left="820" w:top="854" w:right="820" w:bottom="0" w:gutter="0" w:footer="0" w:header="0"/>
          <w:type w:val="continuous"/>
        </w:sectPr>
      </w:pPr>
    </w:p>
    <w:bookmarkStart w:id="16" w:name="page17"/>
    <w:bookmarkEnd w:id="16"/>
    <w:p>
      <w:pPr>
        <w:jc w:val="both"/>
        <w:spacing w:after="0" w:line="239" w:lineRule="auto"/>
        <w:rPr>
          <w:sz w:val="20"/>
          <w:szCs w:val="20"/>
          <w:color w:val="auto"/>
        </w:rPr>
      </w:pPr>
      <w:r>
        <w:rPr>
          <w:rFonts w:ascii="Arial" w:cs="Arial" w:eastAsia="Arial" w:hAnsi="Arial"/>
          <w:sz w:val="20"/>
          <w:szCs w:val="20"/>
          <w:color w:val="auto"/>
        </w:rPr>
        <w:t>comprised of pulmonologists, internal medicine, primary care, nurse practitioners and physician assistants. In addition to those promotional efforts, we launched speaker education programs and, at the end of 2024, had completed approximately 120 of these programs. Our teams have also supported the launch of Ohtuvayre through attendance at key national and regional pulmonary meetings.</w:t>
      </w:r>
    </w:p>
    <w:p>
      <w:pPr>
        <w:spacing w:after="0" w:line="8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In November, the 2025 GOLD report added Ohtuvayre to the COPD treatment algorithm. Typically updated each year, this report provide a framework for physicians to diagnose, assess and manage treatment of COPD. Ohtuvayre’s inclusion in GOLD further supports our belief that Ohtuvayre can change the treatment paradigm for COPD.</w:t>
      </w:r>
    </w:p>
    <w:p>
      <w:pPr>
        <w:spacing w:after="0" w:line="5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Following the end of the fourth quarter, our permanent, product-specific J-code for Ohtuvayre became effective from January 1, 2025.</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Looking ahead, we will continue to focus on engaging with the highest prescribing HCPs through in-person or digital promotion and progress our patient engagement plans to support and accelerate the launch of Ohtuvayre.</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United States</w:t>
      </w:r>
    </w:p>
    <w:p>
      <w:pPr>
        <w:spacing w:after="0" w:line="11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In the U.S., we are commercializing nebulized ensifentrine ourselves. Current maintenance COPD treatments in the U.S. generate over $10 billion in sales. In the U.S., approximately 8.6 million patients receive chronic maintenance treatment for COPD. These patients receive LAMAs, LABAs, and ICS products alone or in combination across all COPD severities. Despite the use of these therapies, approximately 50% of patients report having symptoms for more than 24 days a month. This burden is significant and highlights the need for new and novel mechanisms of actions to treat COPD patients. These patients need therapies that can help improve their lung function and symptoms. In addition to the number of patients that remain symptomatic, COPD places a tremendous burden on the U.S. healthcare system with approximately $50 billion in direct and indirect costs.</w:t>
      </w:r>
    </w:p>
    <w:p>
      <w:pPr>
        <w:spacing w:after="0" w:line="85"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Based on our market research, conducted with U.S. healthcare providers and payers, we believe Ohtuvayre will be widely adopted with use as an add on therapy across all symptomatic patients regardless of COPD severity and treatment. Most of Ohtuvayre’s use is expected as an add on therapy to current patients who are on LAMA, LABA / ICS, LAMA / LABA, or triple therapy. This is due to the urgent unmet need for new therapies to help improve lung function, symptoms and quality of life in these patients. Our market research also suggests the majority of Ohtuvayre usage would be initially commenced by pulmonologists. Due to this focused prescriber base, we believe our field sales force of approximately 120 representatives will be able to reach the potential opportunity.</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International</w:t>
      </w:r>
    </w:p>
    <w:p>
      <w:pPr>
        <w:spacing w:after="0" w:line="11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COPD affects approximately 392 million people worldwide with many patients remaining undiagnosed. Our strategy outside of the U.S. including Asia, Europe and Latin America, is to establish partnerships with leading companies that can support the further development and commercialization of ensifentrine in those regions.</w:t>
      </w:r>
    </w:p>
    <w:p>
      <w:pPr>
        <w:spacing w:after="0" w:line="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In June 2021, we executed on this strategy by entering into a strategic collaboration with Nuance Pharma, a Shanghai-based specialty pharmaceutical company, with a potential value of up to $219.0 million to develop and commercialize ensifentrine in Greater China. Under the terms of the agreement, we granted Nuance Pharma the exclusive rights to develop and commercialize ensifentrine in Greater China. In return, we received an aggregate $40.0 million upfront payment consisting of $25.0 million in cash and an equity interest valued at $15.0 million, as of June 9, 2021, in Nuance Biotech, the parent company of Nuance Pharma. We are eligible to receive further milestone payments of up to $179.0 million that are triggered upon achievement of certain clinical, regulatory and commercial milestones as well as tiered double-digit royalties on net sales in Greater China.</w:t>
      </w:r>
    </w:p>
    <w:p>
      <w:pPr>
        <w:spacing w:after="0" w:line="8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Nuance Pharma is responsible for all costs related to clinical development and commercialization in Greater China. A joint steering committee has been established to ensure ensifentrine’s clinical development in the region aligns with our global development and commercialization strategy. In February 2025, Nuance Pharma announced that Ohtuvayre was approved in Macau, the first approval outside of the U.S., for the maintenance treatment of COPD in adult patients. In addition, in September 2024, Nuance Pharma completed enrollment in its own pivotal Phase 3 trial evaluating ensifentrine for the maintenance treatment of COPD in mainland China. Results from this trial are expected in 2025.</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pharmaceutical industry is characterized by rapidly advancing technologies, intense competition and a strong emphasis on proprietary drugs. We face potential competition from many different sources, including major pharmaceutical, specialty pharmaceutical and biotechnology companies, academic institutions, governmental agencies and public and private research institutions. Ohtuvayre is competing with existing treatments and new treatments that may become available in the future.</w:t>
      </w:r>
    </w:p>
    <w:p>
      <w:pPr>
        <w:sectPr>
          <w:pgSz w:w="11880" w:h="15480" w:orient="portrait"/>
          <w:cols w:equalWidth="0" w:num="1">
            <w:col w:w="10240"/>
          </w:cols>
          <w:pgMar w:left="820" w:top="8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880" w:h="15480" w:orient="portrait"/>
          <w:cols w:equalWidth="0" w:num="1">
            <w:col w:w="10240"/>
          </w:cols>
          <w:pgMar w:left="820" w:top="858" w:right="820" w:bottom="0" w:gutter="0" w:footer="0" w:header="0"/>
          <w:type w:val="continuous"/>
        </w:sectPr>
      </w:pPr>
    </w:p>
    <w:bookmarkStart w:id="17" w:name="page18"/>
    <w:bookmarkEnd w:id="17"/>
    <w:p>
      <w:pPr>
        <w:jc w:val="both"/>
        <w:spacing w:after="0" w:line="265" w:lineRule="auto"/>
        <w:rPr>
          <w:sz w:val="20"/>
          <w:szCs w:val="20"/>
          <w:color w:val="auto"/>
        </w:rPr>
      </w:pPr>
      <w:r>
        <w:rPr>
          <w:rFonts w:ascii="Arial" w:cs="Arial" w:eastAsia="Arial" w:hAnsi="Arial"/>
          <w:sz w:val="18"/>
          <w:szCs w:val="18"/>
          <w:color w:val="auto"/>
        </w:rPr>
        <w:t>Ohtuvayre is a unique, first-in-class therapeutic candidate with both bronchodilator and non-steroidal anti-inflammatory properties in a single molecule. As far as we are aware, no other dual PDE3 and PDE4 inhibitor is on the market nor in clinical development in the U.S. or Europe. Based on initial launch data, Ohtuvayre is used across the patient spectrum regardless of severity. Our market research as well as early clinical use by HCPs, suggests that Ohtuvayre will be used as an add on therapy in symptomatic patients across all existing classes of therapies (LAMA, LABA, ICS). Some HCPs have indicated that as they become comfortable prescribing Ohtuvayre they would consider using it earlier in the treatment paradigm. This potentially includes use as a monotherapy as well as before ICS based on ensifentrine’s clinical profile.</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Consequently, we believe Ohtuvayre’s unique profile will enable it to compete with all approved COPD therapies including nebulized and handheld inhaler formulations, DPI and pMDI. Furthermore, because Ohtuvayre’s mechanism of action is complementary to available therapies, we believe it will be used in addition to these treatments.</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Within the currently approved nebulizer products for the maintenance treatment of COPD, we consider ensifentrine’s potential competitors in the U.S. market to be LABAs (Brovana</w:t>
      </w:r>
      <w:r>
        <w:rPr>
          <w:rFonts w:ascii="Arial" w:cs="Arial" w:eastAsia="Arial" w:hAnsi="Arial"/>
          <w:sz w:val="24"/>
          <w:szCs w:val="24"/>
          <w:color w:val="auto"/>
          <w:vertAlign w:val="superscript"/>
        </w:rPr>
        <w:t>®</w:t>
      </w:r>
      <w:r>
        <w:rPr>
          <w:rFonts w:ascii="Arial" w:cs="Arial" w:eastAsia="Arial" w:hAnsi="Arial"/>
          <w:sz w:val="19"/>
          <w:szCs w:val="19"/>
          <w:color w:val="auto"/>
        </w:rPr>
        <w:t xml:space="preserve"> and Perforomist</w:t>
      </w:r>
      <w:r>
        <w:rPr>
          <w:rFonts w:ascii="Arial" w:cs="Arial" w:eastAsia="Arial" w:hAnsi="Arial"/>
          <w:sz w:val="24"/>
          <w:szCs w:val="24"/>
          <w:color w:val="auto"/>
          <w:vertAlign w:val="superscript"/>
        </w:rPr>
        <w:t>®</w:t>
      </w:r>
      <w:r>
        <w:rPr>
          <w:rFonts w:ascii="Arial" w:cs="Arial" w:eastAsia="Arial" w:hAnsi="Arial"/>
          <w:sz w:val="19"/>
          <w:szCs w:val="19"/>
          <w:color w:val="auto"/>
        </w:rPr>
        <w:t>) and LAMAs (Yupelri</w:t>
      </w:r>
      <w:r>
        <w:rPr>
          <w:rFonts w:ascii="Arial" w:cs="Arial" w:eastAsia="Arial" w:hAnsi="Arial"/>
          <w:sz w:val="24"/>
          <w:szCs w:val="24"/>
          <w:color w:val="auto"/>
          <w:vertAlign w:val="superscript"/>
        </w:rPr>
        <w:t>®</w:t>
      </w:r>
      <w:r>
        <w:rPr>
          <w:rFonts w:ascii="Arial" w:cs="Arial" w:eastAsia="Arial" w:hAnsi="Arial"/>
          <w:sz w:val="19"/>
          <w:szCs w:val="19"/>
          <w:color w:val="auto"/>
        </w:rPr>
        <w:t>).</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In the DPI/pMDI maintenance treatment of COPD market, ensifentrine’s current closest potential competitors are Symbicort</w:t>
      </w:r>
      <w:r>
        <w:rPr>
          <w:rFonts w:ascii="Arial" w:cs="Arial" w:eastAsia="Arial" w:hAnsi="Arial"/>
          <w:sz w:val="23"/>
          <w:szCs w:val="23"/>
          <w:color w:val="auto"/>
          <w:vertAlign w:val="superscript"/>
        </w:rPr>
        <w:t>®</w:t>
      </w:r>
      <w:r>
        <w:rPr>
          <w:rFonts w:ascii="Arial" w:cs="Arial" w:eastAsia="Arial" w:hAnsi="Arial"/>
          <w:sz w:val="18"/>
          <w:szCs w:val="18"/>
          <w:color w:val="auto"/>
        </w:rPr>
        <w:t>, a combination of a long-acting beta2-agonist bronchodilator and ICS marketed by AstraZeneca plc, Spiriva</w:t>
      </w:r>
      <w:r>
        <w:rPr>
          <w:rFonts w:ascii="Arial" w:cs="Arial" w:eastAsia="Arial" w:hAnsi="Arial"/>
          <w:sz w:val="23"/>
          <w:szCs w:val="23"/>
          <w:color w:val="auto"/>
          <w:vertAlign w:val="superscript"/>
        </w:rPr>
        <w:t>®</w:t>
      </w:r>
      <w:r>
        <w:rPr>
          <w:rFonts w:ascii="Arial" w:cs="Arial" w:eastAsia="Arial" w:hAnsi="Arial"/>
          <w:sz w:val="18"/>
          <w:szCs w:val="18"/>
          <w:color w:val="auto"/>
        </w:rPr>
        <w:t>, a long-acting anti-muscarinic bronchodilator marketed by Boehringer Ingelheim GmbH, Advair</w:t>
      </w:r>
      <w:r>
        <w:rPr>
          <w:rFonts w:ascii="Arial" w:cs="Arial" w:eastAsia="Arial" w:hAnsi="Arial"/>
          <w:sz w:val="23"/>
          <w:szCs w:val="23"/>
          <w:color w:val="auto"/>
          <w:vertAlign w:val="superscript"/>
        </w:rPr>
        <w:t>®</w:t>
      </w:r>
      <w:r>
        <w:rPr>
          <w:rFonts w:ascii="Arial" w:cs="Arial" w:eastAsia="Arial" w:hAnsi="Arial"/>
          <w:sz w:val="18"/>
          <w:szCs w:val="18"/>
          <w:color w:val="auto"/>
        </w:rPr>
        <w:t>, a combination of a long-acting beta2-agonist bronchodilator and ICS marketed by GlaxoSmithKline plc, Breo</w:t>
      </w:r>
      <w:r>
        <w:rPr>
          <w:rFonts w:ascii="Arial" w:cs="Arial" w:eastAsia="Arial" w:hAnsi="Arial"/>
          <w:sz w:val="23"/>
          <w:szCs w:val="23"/>
          <w:color w:val="auto"/>
          <w:vertAlign w:val="superscript"/>
        </w:rPr>
        <w:t>®</w:t>
      </w:r>
      <w:r>
        <w:rPr>
          <w:rFonts w:ascii="Arial" w:cs="Arial" w:eastAsia="Arial" w:hAnsi="Arial"/>
          <w:sz w:val="18"/>
          <w:szCs w:val="18"/>
          <w:color w:val="auto"/>
        </w:rPr>
        <w:t>, a combination of a long-acting beta2-agonist bronchodilator and ICS marketed by GlaxoSmithKline, and Anoro</w:t>
      </w:r>
      <w:r>
        <w:rPr>
          <w:rFonts w:ascii="Arial" w:cs="Arial" w:eastAsia="Arial" w:hAnsi="Arial"/>
          <w:sz w:val="23"/>
          <w:szCs w:val="23"/>
          <w:color w:val="auto"/>
          <w:vertAlign w:val="superscript"/>
        </w:rPr>
        <w:t>®</w:t>
      </w:r>
      <w:r>
        <w:rPr>
          <w:rFonts w:ascii="Arial" w:cs="Arial" w:eastAsia="Arial" w:hAnsi="Arial"/>
          <w:sz w:val="18"/>
          <w:szCs w:val="18"/>
          <w:color w:val="auto"/>
        </w:rPr>
        <w:t>, a combination of a long-acting beta2-agonist bronchodilator and long-acting anti-muscarinic bronchodilator marketed by GlaxoSmithKline. A triple-combination therapy of a LAMA, a LABA and ICS, developed by GlaxoSmithKline, Trelegy Ellipta</w:t>
      </w:r>
      <w:r>
        <w:rPr>
          <w:rFonts w:ascii="Arial" w:cs="Arial" w:eastAsia="Arial" w:hAnsi="Arial"/>
          <w:sz w:val="23"/>
          <w:szCs w:val="23"/>
          <w:color w:val="auto"/>
          <w:vertAlign w:val="superscript"/>
        </w:rPr>
        <w:t>®</w:t>
      </w:r>
      <w:r>
        <w:rPr>
          <w:rFonts w:ascii="Arial" w:cs="Arial" w:eastAsia="Arial" w:hAnsi="Arial"/>
          <w:sz w:val="18"/>
          <w:szCs w:val="18"/>
          <w:color w:val="auto"/>
        </w:rPr>
        <w:t>, has been approved in the U.S. and the European Union and AstraZeneca also has a triple-therapy combination product (LAMA / LABA / ICS), Breztri Aerosphere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was approved in the U.S. in July 2020, in the European Union in December 2020 and in China in December 2019. In addition, Chiesi’s triple-therapy combination product, Trimbow</w:t>
      </w:r>
      <w:r>
        <w:rPr>
          <w:rFonts w:ascii="Arial" w:cs="Arial" w:eastAsia="Arial" w:hAnsi="Arial"/>
          <w:sz w:val="23"/>
          <w:szCs w:val="23"/>
          <w:color w:val="auto"/>
          <w:vertAlign w:val="superscript"/>
        </w:rPr>
        <w:t>®</w:t>
      </w:r>
      <w:r>
        <w:rPr>
          <w:rFonts w:ascii="Arial" w:cs="Arial" w:eastAsia="Arial" w:hAnsi="Arial"/>
          <w:sz w:val="18"/>
          <w:szCs w:val="18"/>
          <w:color w:val="auto"/>
        </w:rPr>
        <w:t>, was approved in the European Union in 2017 and is in Phase 3 trials in the US.</w:t>
      </w:r>
    </w:p>
    <w:p>
      <w:pPr>
        <w:spacing w:after="0" w:line="10" w:lineRule="exact"/>
        <w:rPr>
          <w:sz w:val="20"/>
          <w:szCs w:val="20"/>
          <w:color w:val="auto"/>
        </w:rPr>
      </w:pPr>
    </w:p>
    <w:p>
      <w:pPr>
        <w:jc w:val="both"/>
        <w:spacing w:after="0" w:line="219" w:lineRule="auto"/>
        <w:rPr>
          <w:sz w:val="20"/>
          <w:szCs w:val="20"/>
          <w:color w:val="auto"/>
        </w:rPr>
      </w:pPr>
      <w:r>
        <w:rPr>
          <w:rFonts w:ascii="Arial" w:cs="Arial" w:eastAsia="Arial" w:hAnsi="Arial"/>
          <w:sz w:val="20"/>
          <w:szCs w:val="20"/>
          <w:color w:val="auto"/>
        </w:rPr>
        <w:t>In September 2024, the first injectable biologic, Sanofi’s anti-IL4, Dupixent</w:t>
      </w:r>
      <w:r>
        <w:rPr>
          <w:rFonts w:ascii="Arial" w:cs="Arial" w:eastAsia="Arial" w:hAnsi="Arial"/>
          <w:sz w:val="25"/>
          <w:szCs w:val="25"/>
          <w:color w:val="auto"/>
          <w:vertAlign w:val="superscript"/>
        </w:rPr>
        <w:t>®</w:t>
      </w:r>
      <w:r>
        <w:rPr>
          <w:rFonts w:ascii="Arial" w:cs="Arial" w:eastAsia="Arial" w:hAnsi="Arial"/>
          <w:sz w:val="20"/>
          <w:szCs w:val="20"/>
          <w:color w:val="auto"/>
        </w:rPr>
        <w:t>, was approved in the U.S. for a subset of approximately 300,000 COPD patients with an eosinophilic phenotype. Other injectable biologics in Phase 3 trials for the prevention of COPD exacerbations include AstraZeneca’s anti-IL33, tozorakimab, GlaxoSmithKline’s anti-IL5, Nucala</w:t>
      </w:r>
      <w:r>
        <w:rPr>
          <w:rFonts w:ascii="Arial" w:cs="Arial" w:eastAsia="Arial" w:hAnsi="Arial"/>
          <w:sz w:val="25"/>
          <w:szCs w:val="25"/>
          <w:color w:val="auto"/>
          <w:vertAlign w:val="superscript"/>
        </w:rPr>
        <w:t>®</w:t>
      </w:r>
      <w:r>
        <w:rPr>
          <w:rFonts w:ascii="Arial" w:cs="Arial" w:eastAsia="Arial" w:hAnsi="Arial"/>
          <w:sz w:val="20"/>
          <w:szCs w:val="20"/>
          <w:color w:val="auto"/>
        </w:rPr>
        <w:t>, and Chiesi’s PDE4 inhibitor, tanimilast. We are also aware of several anti-inflammatories and bronchodilators that are in Phase 2 clinical trials for the treatment of COPD.</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U.S. and in jurisdictions outside of the U.S. related to our proprietary technology, inventions, improvements, platforms and our product candidates that are important to the development and implementation of our business.</w:t>
      </w:r>
    </w:p>
    <w:p>
      <w:pPr>
        <w:spacing w:after="0" w:line="5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As of December 31, 2024, our patent portfolio included twelve issued U.S. patents, sixteen pending U.S. patent applications (including three U.S. provisional patent applications), ninety-seven issued foreign patents and eighty-three pending foreign applications (including eight international PCT applications). These patents and patent applications include claims directed to certain respirable formulations comprising ensifentrine, a crystalline form of ensifentrine, combinations of ensifentrine with certain respiratory drugs, certain salts and other solid forms of ensifentrine, and ensifentrine for use in certain treatments of particular respiratory disorders, with expected expiry dates up to 2045.</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have registered “Verona Pharma” and its associated logo as trademarks in the U.S. and certain other key jurisdictions including the EU and UK. We have also registered “Ohtuvayre” and “Verona Pathway Plus”, including their respective logos, in the EU and UK and have made applications to register in the U.S. and certain other key jurisdictions.</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U.S. are granted a term of 20 years from the earliest effective non</w:t>
      </w:r>
      <w:r>
        <w:rPr>
          <w:rFonts w:ascii="Arial" w:cs="Arial" w:eastAsia="Arial" w:hAnsi="Arial"/>
          <w:sz w:val="18"/>
          <w:szCs w:val="18"/>
          <w:b w:val="1"/>
          <w:bCs w:val="1"/>
          <w:color w:val="auto"/>
        </w:rPr>
        <w:t>-</w:t>
      </w:r>
      <w:r>
        <w:rPr>
          <w:rFonts w:ascii="Arial" w:cs="Arial" w:eastAsia="Arial" w:hAnsi="Arial"/>
          <w:sz w:val="18"/>
          <w:szCs w:val="18"/>
          <w:color w:val="auto"/>
        </w:rPr>
        <w:t>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product-by-product basis, from country to country and depends upon many factors, including the type of patent, the scope of its coverage, the availability of regulatory</w:t>
      </w:r>
      <w:r>
        <w:rPr>
          <w:rFonts w:ascii="Arial" w:cs="Arial" w:eastAsia="Arial" w:hAnsi="Arial"/>
          <w:sz w:val="18"/>
          <w:szCs w:val="18"/>
          <w:b w:val="1"/>
          <w:bCs w:val="1"/>
          <w:color w:val="auto"/>
        </w:rPr>
        <w:t>-</w:t>
      </w:r>
      <w:r>
        <w:rPr>
          <w:rFonts w:ascii="Arial" w:cs="Arial" w:eastAsia="Arial" w:hAnsi="Arial"/>
          <w:sz w:val="18"/>
          <w:szCs w:val="18"/>
          <w:color w:val="auto"/>
        </w:rPr>
        <w:t>related extensions, the availability of legal remedies in a particular country and the validity and enforceability of the patent.</w:t>
      </w:r>
    </w:p>
    <w:p>
      <w:pPr>
        <w:sectPr>
          <w:pgSz w:w="11880" w:h="15480" w:orient="portrait"/>
          <w:cols w:equalWidth="0" w:num="1">
            <w:col w:w="10240"/>
          </w:cols>
          <w:pgMar w:left="820" w:top="8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880" w:h="15480" w:orient="portrait"/>
          <w:cols w:equalWidth="0" w:num="1">
            <w:col w:w="10240"/>
          </w:cols>
          <w:pgMar w:left="820" w:top="858" w:right="820" w:bottom="0" w:gutter="0" w:footer="0" w:header="0"/>
          <w:type w:val="continuous"/>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As an example of patent protection afforded to drug products, in the U.S., once a new drug application (or “NDA”) is approved for product, that product becomes a “reference listed drug” in the FDA’s publication, “Approved Drug Products with Therapeutic Equivalence Evaluations,” commonly known as the Orange Book. In seeking approval for an NDA, applicants are required to list with the FDA patents whose claims cover the applicant’s product. Upon approval of an NDA, each of the patents listed in the application for the product is then published in the Orange Book. Currently, there are three patents listed in the Orange Book for our product Ohtuvayre. Additional pending patent applications related to Ohtuvayre may result in granted patents that are eligible for Orange Book listing. The reference listed drug (and the patents listed in the Orange Book for such drug) may be cited by potential competitors in support of approval of an abbreviated new drug application (or “ANDA”) for a generic version of the reference listed drug. Any applicant who files an ANDA seeking approval of a generic equivalent version of a reference listed drug listed in the Orange Book must certify to the FDA that (1) no patent information on the drug or method of use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If the applicant does not challenge the listed patents or does not indicate that it is not seeking approval of a patented method of use, the ANDA will not be approved until all of the listed patents claiming the referenced listed drug have expired, or, if permissible, are carved out.</w:t>
      </w:r>
    </w:p>
    <w:p>
      <w:pPr>
        <w:spacing w:after="0" w:line="67"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Furthermore, one of our U.S. patents for Ohtuvayre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59"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Furthermore, we rely upon trade secrets and know</w:t>
      </w:r>
      <w:r>
        <w:rPr>
          <w:rFonts w:ascii="Arial" w:cs="Arial" w:eastAsia="Arial" w:hAnsi="Arial"/>
          <w:sz w:val="20"/>
          <w:szCs w:val="20"/>
          <w:b w:val="1"/>
          <w:bCs w:val="1"/>
          <w:color w:val="auto"/>
        </w:rPr>
        <w:t>-</w:t>
      </w:r>
      <w:r>
        <w:rPr>
          <w:rFonts w:ascii="Arial" w:cs="Arial" w:eastAsia="Arial" w:hAnsi="Arial"/>
          <w:sz w:val="20"/>
          <w:szCs w:val="20"/>
          <w:color w:val="auto"/>
        </w:rPr>
        <w:t>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w:t>
      </w:r>
      <w:r>
        <w:rPr>
          <w:rFonts w:ascii="Arial" w:cs="Arial" w:eastAsia="Arial" w:hAnsi="Arial"/>
          <w:sz w:val="20"/>
          <w:szCs w:val="20"/>
          <w:b w:val="1"/>
          <w:bCs w:val="1"/>
          <w:color w:val="auto"/>
        </w:rPr>
        <w:t>-</w:t>
      </w:r>
      <w:r>
        <w:rPr>
          <w:rFonts w:ascii="Arial" w:cs="Arial" w:eastAsia="Arial" w:hAnsi="Arial"/>
          <w:sz w:val="20"/>
          <w:szCs w:val="20"/>
          <w:color w:val="auto"/>
        </w:rPr>
        <w:t>how and inventions.</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Our commercial success will also depend in part on not infringing upon the proprietary rights of third parties. It is uncertain whether the issuance of any third</w:t>
      </w:r>
      <w:r>
        <w:rPr>
          <w:rFonts w:ascii="Arial" w:cs="Arial" w:eastAsia="Arial" w:hAnsi="Arial"/>
          <w:sz w:val="18"/>
          <w:szCs w:val="18"/>
          <w:b w:val="1"/>
          <w:bCs w:val="1"/>
          <w:color w:val="auto"/>
        </w:rPr>
        <w:t>-</w:t>
      </w:r>
      <w:r>
        <w:rPr>
          <w:rFonts w:ascii="Arial" w:cs="Arial" w:eastAsia="Arial" w:hAnsi="Arial"/>
          <w:sz w:val="18"/>
          <w:szCs w:val="18"/>
          <w:color w:val="auto"/>
        </w:rPr>
        <w:t>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our future drugs may have an adverse impact on us. If third parties have prepared and filed patent applications prior to March 16, 2013 in the U.S. that also claim technology to which we have rights, we may have to participate in interference proceedings in the USPTO, to determine priority of invention. For more information, please see “Item 1A. Risk Factors - Risks Related to Intellectual Property and Information Technology.”</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License agreement with Ligand (formerly Vernalis)</w:t>
      </w:r>
    </w:p>
    <w:p>
      <w:pPr>
        <w:spacing w:after="0" w:line="11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February 2005, Rhinopharma Limited (“Rhinopharma”) entered into an assignment and license agreement with Ligand UK Development Limited (formerly Vernalis Development Limited) (“Ligand”), which since October 2018 has been a wholly owned subsidiary of Ligand Pharmaceuticals, Inc. In 2006, we acquired Rhinopharma and all its rights and liabilities under the assignment and license agreement. On March 24, 2022, we entered into an agreement with Ligand to amend the assignment and license agreement. We refer to the assignment and license agreement and the amendment agreement together as the Ligand Agreement. Pursuant to the Ligand Agreement, Ligand has assigned to us all its rights to certain patents and patent applications relating to ensifentrine and related compounds, or the Ligand Patents. We cannot further assign the Ligand Patents to a third party without Ligand’s prior consent. Ligand also granted to us an exclusive, worldwide, royalty-bearing license under certain Ligand know-how to develop, manufacture and commercialize products, or the Licensed Products, based on PDE inhibitors developed using Ligand Patents, Ligand know-how and the physical stock of certain compounds, including ensifentrine, which we refer to as the Program IP, in the treatment of human or animal allergic or inflammatory disorders. Pursuant to the Ligand Agreement, we must maintain the Ligand Patents and use commercially reasonable and diligent efforts to develop and commercialize the Licensed Products.</w:t>
      </w:r>
    </w:p>
    <w:p>
      <w:pPr>
        <w:sectPr>
          <w:pgSz w:w="11880" w:h="15480" w:orient="portrait"/>
          <w:cols w:equalWidth="0" w:num="1">
            <w:col w:w="10240"/>
          </w:cols>
          <w:pgMar w:left="820" w:top="8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880" w:h="15480" w:orient="portrait"/>
          <w:cols w:equalWidth="0" w:num="1">
            <w:col w:w="10240"/>
          </w:cols>
          <w:pgMar w:left="820" w:top="858" w:right="820" w:bottom="0" w:gutter="0" w:footer="0" w:header="0"/>
          <w:type w:val="continuous"/>
        </w:sectPr>
      </w:pPr>
    </w:p>
    <w:bookmarkStart w:id="19" w:name="page20"/>
    <w:bookmarkEnd w:id="19"/>
    <w:p>
      <w:pPr>
        <w:jc w:val="both"/>
        <w:ind w:left="7"/>
        <w:spacing w:after="0" w:line="267" w:lineRule="auto"/>
        <w:rPr>
          <w:sz w:val="20"/>
          <w:szCs w:val="20"/>
          <w:color w:val="auto"/>
        </w:rPr>
      </w:pPr>
      <w:r>
        <w:rPr>
          <w:rFonts w:ascii="Arial" w:cs="Arial" w:eastAsia="Arial" w:hAnsi="Arial"/>
          <w:sz w:val="18"/>
          <w:szCs w:val="18"/>
          <w:color w:val="auto"/>
        </w:rPr>
        <w:t>In March 2022, we entered into an Amendment Agreement (the “Amendment”) with Ligand whereby the Ligand Agreement was amended to clarify certain ambiguous terms in the Ligand Agreement. Pursuant to the Amendment we agreed to pay to Ligand (i) $2.0 million within five business days of the date of the Amendment and (ii) $15.0 million upon the first commercial sale of ensifentrine by us or a sub-licensee, which amount is payable in cash or, at the our discretion, by the issuance of Company equity of equivalent value, as determined based on the volume-weighted average price of the our American Depositary Shares on the Nasdaq Global Market over the ten (10) trading days including and prior to such milestone event.</w:t>
      </w:r>
    </w:p>
    <w:p>
      <w:pPr>
        <w:spacing w:after="0" w:line="57" w:lineRule="exact"/>
        <w:rPr>
          <w:sz w:val="20"/>
          <w:szCs w:val="20"/>
          <w:color w:val="auto"/>
        </w:rPr>
      </w:pPr>
    </w:p>
    <w:p>
      <w:pPr>
        <w:jc w:val="both"/>
        <w:ind w:left="7"/>
        <w:spacing w:after="0" w:line="260" w:lineRule="auto"/>
        <w:rPr>
          <w:sz w:val="20"/>
          <w:szCs w:val="20"/>
          <w:color w:val="auto"/>
        </w:rPr>
      </w:pPr>
      <w:r>
        <w:rPr>
          <w:rFonts w:ascii="Arial" w:cs="Arial" w:eastAsia="Arial" w:hAnsi="Arial"/>
          <w:sz w:val="20"/>
          <w:szCs w:val="20"/>
          <w:color w:val="auto"/>
        </w:rPr>
        <w:t>We paid the $2.0 million to Ligand in March 2022 and accounted for the $2.0 million payment at execution as selling, general and administrative expense as the payment related to a contract modification.</w:t>
      </w:r>
    </w:p>
    <w:p>
      <w:pPr>
        <w:spacing w:after="0" w:line="61" w:lineRule="exact"/>
        <w:rPr>
          <w:sz w:val="20"/>
          <w:szCs w:val="20"/>
          <w:color w:val="auto"/>
        </w:rPr>
      </w:pPr>
    </w:p>
    <w:p>
      <w:pPr>
        <w:jc w:val="both"/>
        <w:ind w:left="7"/>
        <w:spacing w:after="0" w:line="245" w:lineRule="auto"/>
        <w:rPr>
          <w:sz w:val="20"/>
          <w:szCs w:val="20"/>
          <w:color w:val="auto"/>
        </w:rPr>
      </w:pPr>
      <w:r>
        <w:rPr>
          <w:rFonts w:ascii="Arial" w:cs="Arial" w:eastAsia="Arial" w:hAnsi="Arial"/>
          <w:sz w:val="20"/>
          <w:szCs w:val="20"/>
          <w:color w:val="auto"/>
        </w:rPr>
        <w:t>Due to the FDA approval of Ohtuvayre, we paid Ligand $15.0 million related to a milestone payment for first commercial sale of ensifentrine and accounted for the payment as selling, general and administrative expense as the payment related to the resolution of the 2021 dispute with Ligand.</w:t>
      </w:r>
    </w:p>
    <w:p>
      <w:pPr>
        <w:spacing w:after="0" w:line="75" w:lineRule="exact"/>
        <w:rPr>
          <w:sz w:val="20"/>
          <w:szCs w:val="20"/>
          <w:color w:val="auto"/>
        </w:rPr>
      </w:pPr>
    </w:p>
    <w:p>
      <w:pPr>
        <w:jc w:val="both"/>
        <w:ind w:left="7"/>
        <w:spacing w:after="0" w:line="260" w:lineRule="auto"/>
        <w:rPr>
          <w:sz w:val="20"/>
          <w:szCs w:val="20"/>
          <w:color w:val="auto"/>
        </w:rPr>
      </w:pPr>
      <w:r>
        <w:rPr>
          <w:rFonts w:ascii="Arial" w:cs="Arial" w:eastAsia="Arial" w:hAnsi="Arial"/>
          <w:sz w:val="20"/>
          <w:szCs w:val="20"/>
          <w:color w:val="auto"/>
        </w:rPr>
        <w:t>We also paid Ligand $6.3 million in 2024 related to a milestone payment for the first regulatory approval of ensifentrine which was accounted for in research and development costs.</w:t>
      </w:r>
    </w:p>
    <w:p>
      <w:pPr>
        <w:spacing w:after="0" w:line="61" w:lineRule="exact"/>
        <w:rPr>
          <w:sz w:val="20"/>
          <w:szCs w:val="20"/>
          <w:color w:val="auto"/>
        </w:rPr>
      </w:pPr>
    </w:p>
    <w:p>
      <w:pPr>
        <w:jc w:val="both"/>
        <w:ind w:left="7"/>
        <w:spacing w:after="0" w:line="247" w:lineRule="auto"/>
        <w:rPr>
          <w:sz w:val="20"/>
          <w:szCs w:val="20"/>
          <w:color w:val="auto"/>
        </w:rPr>
      </w:pPr>
      <w:r>
        <w:rPr>
          <w:rFonts w:ascii="Arial" w:cs="Arial" w:eastAsia="Arial" w:hAnsi="Arial"/>
          <w:sz w:val="19"/>
          <w:szCs w:val="19"/>
          <w:color w:val="auto"/>
        </w:rPr>
        <w:t>The Ligand Agreement expires on March 24, 2042, unless terminated earlier by either party in accordance with its terms. Either party may terminate the Ligand Agreement for bankruptcy or insolvency of the other party, or for an uncured material breach of the other party, conditional upon the party seeking to terminate obtaining a final judgment of the English High Court declaring that the other party is in material breach of its obligations under the Ligand Agreement. We may terminate the Ligand Agreement upon 90 days' prior written notice. Ligand may terminate the Ligand Agreement if we notify Ligand of our intention to abandon any Ligand Patents or allow any Ligand Patents to lapse. Upon termination of the Ligand Agreement, we must cease use of any Program IP and assign the Ligand Patents and any improvements thereto back to Ligand, provided however, that any of our sublicensees shall have the right to enter into a direct license agreement with Ligand for the portion of the Program IP that was sub-licensed by such sub-licensee.</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GOVERNMENT REGULATION</w:t>
      </w:r>
    </w:p>
    <w:p>
      <w:pPr>
        <w:spacing w:after="0" w:line="237" w:lineRule="exact"/>
        <w:rPr>
          <w:sz w:val="20"/>
          <w:szCs w:val="20"/>
          <w:color w:val="auto"/>
        </w:rPr>
      </w:pPr>
    </w:p>
    <w:p>
      <w:pPr>
        <w:jc w:val="both"/>
        <w:ind w:left="7"/>
        <w:spacing w:after="0" w:line="236" w:lineRule="auto"/>
        <w:rPr>
          <w:sz w:val="20"/>
          <w:szCs w:val="20"/>
          <w:color w:val="auto"/>
        </w:rPr>
      </w:pPr>
      <w:r>
        <w:rPr>
          <w:rFonts w:ascii="Arial" w:cs="Arial" w:eastAsia="Arial" w:hAnsi="Arial"/>
          <w:sz w:val="20"/>
          <w:szCs w:val="20"/>
          <w:color w:val="auto"/>
        </w:rPr>
        <w:t>The FDA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and foreign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78"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FDA drug approval process</w:t>
      </w:r>
    </w:p>
    <w:p>
      <w:pPr>
        <w:spacing w:after="0" w:line="114" w:lineRule="exact"/>
        <w:rPr>
          <w:sz w:val="20"/>
          <w:szCs w:val="20"/>
          <w:color w:val="auto"/>
        </w:rPr>
      </w:pPr>
    </w:p>
    <w:p>
      <w:pPr>
        <w:jc w:val="both"/>
        <w:ind w:left="7"/>
        <w:spacing w:after="0" w:line="263" w:lineRule="auto"/>
        <w:rPr>
          <w:sz w:val="20"/>
          <w:szCs w:val="20"/>
          <w:color w:val="auto"/>
        </w:rPr>
      </w:pPr>
      <w:r>
        <w:rPr>
          <w:rFonts w:ascii="Arial" w:cs="Arial" w:eastAsia="Arial" w:hAnsi="Arial"/>
          <w:sz w:val="18"/>
          <w:szCs w:val="18"/>
          <w:color w:val="auto"/>
        </w:rPr>
        <w:t>In the U.S., the FDA regulates drugs under the Federal Food, Drug, and Cosmetic Act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file an application for review or non-approval of a pending new drug applications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64" w:lineRule="exact"/>
        <w:rPr>
          <w:sz w:val="20"/>
          <w:szCs w:val="20"/>
          <w:color w:val="auto"/>
        </w:rPr>
      </w:pPr>
    </w:p>
    <w:p>
      <w:pPr>
        <w:ind w:left="7"/>
        <w:spacing w:after="0"/>
        <w:rPr>
          <w:sz w:val="20"/>
          <w:szCs w:val="20"/>
          <w:color w:val="auto"/>
        </w:rPr>
      </w:pPr>
      <w:r>
        <w:rPr>
          <w:rFonts w:ascii="Arial" w:cs="Arial" w:eastAsia="Arial" w:hAnsi="Arial"/>
          <w:sz w:val="19"/>
          <w:szCs w:val="19"/>
          <w:color w:val="auto"/>
        </w:rPr>
        <w:t>The process required by the FDA before a drug may be marketed in the United States generally involves the following:</w:t>
      </w:r>
    </w:p>
    <w:p>
      <w:pPr>
        <w:spacing w:after="0" w:line="121" w:lineRule="exact"/>
        <w:rPr>
          <w:sz w:val="20"/>
          <w:szCs w:val="20"/>
          <w:color w:val="auto"/>
        </w:rPr>
      </w:pPr>
    </w:p>
    <w:p>
      <w:pPr>
        <w:ind w:left="367" w:hanging="367"/>
        <w:spacing w:after="0" w:line="260" w:lineRule="auto"/>
        <w:tabs>
          <w:tab w:leader="none" w:pos="367" w:val="left"/>
        </w:tabs>
        <w:numPr>
          <w:ilvl w:val="0"/>
          <w:numId w:val="11"/>
        </w:numPr>
        <w:rPr>
          <w:rFonts w:ascii="Arial" w:cs="Arial" w:eastAsia="Arial" w:hAnsi="Arial"/>
          <w:sz w:val="20"/>
          <w:szCs w:val="20"/>
          <w:color w:val="auto"/>
        </w:rPr>
      </w:pPr>
      <w:r>
        <w:rPr>
          <w:rFonts w:ascii="Arial" w:cs="Arial" w:eastAsia="Arial" w:hAnsi="Arial"/>
          <w:sz w:val="20"/>
          <w:szCs w:val="20"/>
          <w:color w:val="auto"/>
        </w:rPr>
        <w:t>Completion of non-clinical laboratory tests, animal studies, certain of which must be conducted and formulation studies in compliance with the FDA's good laboratory practice (“GLP”) regulations;</w:t>
      </w:r>
    </w:p>
    <w:p>
      <w:pPr>
        <w:spacing w:after="0" w:line="61" w:lineRule="exact"/>
        <w:rPr>
          <w:rFonts w:ascii="Arial" w:cs="Arial" w:eastAsia="Arial" w:hAnsi="Arial"/>
          <w:sz w:val="20"/>
          <w:szCs w:val="20"/>
          <w:color w:val="auto"/>
        </w:rPr>
      </w:pPr>
    </w:p>
    <w:p>
      <w:pPr>
        <w:ind w:left="367" w:hanging="367"/>
        <w:spacing w:after="0"/>
        <w:tabs>
          <w:tab w:leader="none" w:pos="367" w:val="left"/>
        </w:tabs>
        <w:numPr>
          <w:ilvl w:val="0"/>
          <w:numId w:val="11"/>
        </w:numPr>
        <w:rPr>
          <w:rFonts w:ascii="Arial" w:cs="Arial" w:eastAsia="Arial" w:hAnsi="Arial"/>
          <w:sz w:val="19"/>
          <w:szCs w:val="19"/>
          <w:color w:val="auto"/>
        </w:rPr>
      </w:pPr>
      <w:r>
        <w:rPr>
          <w:rFonts w:ascii="Arial" w:cs="Arial" w:eastAsia="Arial" w:hAnsi="Arial"/>
          <w:sz w:val="19"/>
          <w:szCs w:val="19"/>
          <w:color w:val="auto"/>
        </w:rPr>
        <w:t>Submission to the FDA of an IND, which must become effective before human clinical trials may begin in the U.S.;</w:t>
      </w:r>
    </w:p>
    <w:p>
      <w:pPr>
        <w:spacing w:after="0" w:line="121" w:lineRule="exact"/>
        <w:rPr>
          <w:rFonts w:ascii="Arial" w:cs="Arial" w:eastAsia="Arial" w:hAnsi="Arial"/>
          <w:sz w:val="19"/>
          <w:szCs w:val="19"/>
          <w:color w:val="auto"/>
        </w:rPr>
      </w:pPr>
    </w:p>
    <w:p>
      <w:pPr>
        <w:ind w:left="367" w:hanging="367"/>
        <w:spacing w:after="0" w:line="260" w:lineRule="auto"/>
        <w:tabs>
          <w:tab w:leader="none" w:pos="367" w:val="left"/>
        </w:tabs>
        <w:numPr>
          <w:ilvl w:val="0"/>
          <w:numId w:val="11"/>
        </w:numPr>
        <w:rPr>
          <w:rFonts w:ascii="Arial" w:cs="Arial" w:eastAsia="Arial" w:hAnsi="Arial"/>
          <w:sz w:val="20"/>
          <w:szCs w:val="20"/>
          <w:color w:val="auto"/>
        </w:rPr>
      </w:pPr>
      <w:r>
        <w:rPr>
          <w:rFonts w:ascii="Arial" w:cs="Arial" w:eastAsia="Arial" w:hAnsi="Arial"/>
          <w:sz w:val="20"/>
          <w:szCs w:val="20"/>
          <w:color w:val="auto"/>
        </w:rPr>
        <w:t>Approval by an independent institutional review board (“IRB”) or ethics committee at each clinical site before each trial may be initiated;</w:t>
      </w:r>
    </w:p>
    <w:p>
      <w:pPr>
        <w:spacing w:after="0" w:line="61" w:lineRule="exact"/>
        <w:rPr>
          <w:rFonts w:ascii="Arial" w:cs="Arial" w:eastAsia="Arial" w:hAnsi="Arial"/>
          <w:sz w:val="20"/>
          <w:szCs w:val="20"/>
          <w:color w:val="auto"/>
        </w:rPr>
      </w:pPr>
    </w:p>
    <w:p>
      <w:pPr>
        <w:ind w:left="367" w:hanging="367"/>
        <w:spacing w:after="0" w:line="260" w:lineRule="auto"/>
        <w:tabs>
          <w:tab w:leader="none" w:pos="367" w:val="left"/>
        </w:tabs>
        <w:numPr>
          <w:ilvl w:val="0"/>
          <w:numId w:val="11"/>
        </w:numPr>
        <w:rPr>
          <w:rFonts w:ascii="Arial" w:cs="Arial" w:eastAsia="Arial" w:hAnsi="Arial"/>
          <w:sz w:val="20"/>
          <w:szCs w:val="20"/>
          <w:color w:val="auto"/>
        </w:rPr>
      </w:pPr>
      <w:r>
        <w:rPr>
          <w:rFonts w:ascii="Arial" w:cs="Arial" w:eastAsia="Arial" w:hAnsi="Arial"/>
          <w:sz w:val="20"/>
          <w:szCs w:val="20"/>
          <w:color w:val="auto"/>
        </w:rPr>
        <w:t>Performance of adequate and well-controlled human clinical trials in accordance with good clinical practice (“GCP”) requirements to establish the safety and efficacy of the proposed drug product for each indication;</w:t>
      </w:r>
    </w:p>
    <w:p>
      <w:pPr>
        <w:spacing w:after="0" w:line="61" w:lineRule="exact"/>
        <w:rPr>
          <w:rFonts w:ascii="Arial" w:cs="Arial" w:eastAsia="Arial" w:hAnsi="Arial"/>
          <w:sz w:val="20"/>
          <w:szCs w:val="20"/>
          <w:color w:val="auto"/>
        </w:rPr>
      </w:pPr>
    </w:p>
    <w:p>
      <w:pPr>
        <w:ind w:left="367" w:hanging="367"/>
        <w:spacing w:after="0"/>
        <w:tabs>
          <w:tab w:leader="none" w:pos="367" w:val="left"/>
        </w:tabs>
        <w:numPr>
          <w:ilvl w:val="0"/>
          <w:numId w:val="11"/>
        </w:numPr>
        <w:rPr>
          <w:rFonts w:ascii="Arial" w:cs="Arial" w:eastAsia="Arial" w:hAnsi="Arial"/>
          <w:sz w:val="20"/>
          <w:szCs w:val="20"/>
          <w:color w:val="auto"/>
        </w:rPr>
      </w:pPr>
      <w:r>
        <w:rPr>
          <w:rFonts w:ascii="Arial" w:cs="Arial" w:eastAsia="Arial" w:hAnsi="Arial"/>
          <w:sz w:val="20"/>
          <w:szCs w:val="20"/>
          <w:color w:val="auto"/>
        </w:rPr>
        <w:t>Submission to the FDA of an NDA after completion of all pivotal trials;</w:t>
      </w:r>
    </w:p>
    <w:p>
      <w:pPr>
        <w:spacing w:after="0" w:line="109" w:lineRule="exact"/>
        <w:rPr>
          <w:rFonts w:ascii="Arial" w:cs="Arial" w:eastAsia="Arial" w:hAnsi="Arial"/>
          <w:sz w:val="20"/>
          <w:szCs w:val="20"/>
          <w:color w:val="auto"/>
        </w:rPr>
      </w:pPr>
    </w:p>
    <w:p>
      <w:pPr>
        <w:ind w:left="367" w:hanging="367"/>
        <w:spacing w:after="0"/>
        <w:tabs>
          <w:tab w:leader="none" w:pos="367" w:val="left"/>
        </w:tabs>
        <w:numPr>
          <w:ilvl w:val="0"/>
          <w:numId w:val="11"/>
        </w:numPr>
        <w:rPr>
          <w:rFonts w:ascii="Arial" w:cs="Arial" w:eastAsia="Arial" w:hAnsi="Arial"/>
          <w:sz w:val="20"/>
          <w:szCs w:val="20"/>
          <w:color w:val="auto"/>
        </w:rPr>
      </w:pPr>
      <w:r>
        <w:rPr>
          <w:rFonts w:ascii="Arial" w:cs="Arial" w:eastAsia="Arial" w:hAnsi="Arial"/>
          <w:sz w:val="20"/>
          <w:szCs w:val="20"/>
          <w:color w:val="auto"/>
        </w:rPr>
        <w:t>Completion of an FDA advisory committee review, if required by the FDA;</w:t>
      </w:r>
    </w:p>
    <w:p>
      <w:pPr>
        <w:sectPr>
          <w:pgSz w:w="11880" w:h="15480" w:orient="portrait"/>
          <w:cols w:equalWidth="0" w:num="1">
            <w:col w:w="10247"/>
          </w:cols>
          <w:pgMar w:left="813" w:top="8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10247"/>
          </w:cols>
          <w:pgMar w:left="813" w:top="858" w:right="820" w:bottom="0" w:gutter="0" w:footer="0" w:header="0"/>
          <w:type w:val="continuous"/>
        </w:sectPr>
      </w:pPr>
    </w:p>
    <w:bookmarkStart w:id="20" w:name="page21"/>
    <w:bookmarkEnd w:id="20"/>
    <w:p>
      <w:pPr>
        <w:jc w:val="both"/>
        <w:ind w:left="367" w:hanging="367"/>
        <w:spacing w:after="0" w:line="239" w:lineRule="auto"/>
        <w:tabs>
          <w:tab w:leader="none" w:pos="367" w:val="left"/>
        </w:tabs>
        <w:numPr>
          <w:ilvl w:val="0"/>
          <w:numId w:val="12"/>
        </w:numPr>
        <w:rPr>
          <w:rFonts w:ascii="Arial" w:cs="Arial" w:eastAsia="Arial" w:hAnsi="Arial"/>
          <w:sz w:val="20"/>
          <w:szCs w:val="20"/>
          <w:color w:val="auto"/>
        </w:rPr>
      </w:pPr>
      <w:r>
        <w:rPr>
          <w:rFonts w:ascii="Arial" w:cs="Arial" w:eastAsia="Arial" w:hAnsi="Arial"/>
          <w:sz w:val="20"/>
          <w:szCs w:val="20"/>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identity, strength, quality and purity, and potential inspection of selected clinical investigation sites to assess compliance with GCP; and</w:t>
      </w:r>
    </w:p>
    <w:p>
      <w:pPr>
        <w:spacing w:after="0" w:line="83" w:lineRule="exact"/>
        <w:rPr>
          <w:rFonts w:ascii="Arial" w:cs="Arial" w:eastAsia="Arial" w:hAnsi="Arial"/>
          <w:sz w:val="20"/>
          <w:szCs w:val="20"/>
          <w:color w:val="auto"/>
        </w:rPr>
      </w:pPr>
    </w:p>
    <w:p>
      <w:pPr>
        <w:ind w:left="367" w:hanging="367"/>
        <w:spacing w:after="0" w:line="260" w:lineRule="auto"/>
        <w:tabs>
          <w:tab w:leader="none" w:pos="367" w:val="left"/>
        </w:tabs>
        <w:numPr>
          <w:ilvl w:val="0"/>
          <w:numId w:val="12"/>
        </w:numPr>
        <w:rPr>
          <w:rFonts w:ascii="Arial" w:cs="Arial" w:eastAsia="Arial" w:hAnsi="Arial"/>
          <w:sz w:val="20"/>
          <w:szCs w:val="20"/>
          <w:color w:val="auto"/>
        </w:rPr>
      </w:pPr>
      <w:r>
        <w:rPr>
          <w:rFonts w:ascii="Arial" w:cs="Arial" w:eastAsia="Arial" w:hAnsi="Arial"/>
          <w:sz w:val="20"/>
          <w:szCs w:val="20"/>
          <w:color w:val="auto"/>
        </w:rPr>
        <w:t>FDA review and approval of the NDA and U.S. Prescribing Information to permit commercial marketing of the product for particular indications for use in the U.S.</w:t>
      </w:r>
    </w:p>
    <w:p>
      <w:pPr>
        <w:spacing w:after="0" w:line="57"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Non-clinical Studies</w:t>
      </w:r>
    </w:p>
    <w:p>
      <w:pPr>
        <w:spacing w:after="0" w:line="114" w:lineRule="exact"/>
        <w:rPr>
          <w:sz w:val="20"/>
          <w:szCs w:val="20"/>
          <w:color w:val="auto"/>
        </w:rPr>
      </w:pPr>
    </w:p>
    <w:p>
      <w:pPr>
        <w:jc w:val="both"/>
        <w:ind w:left="7"/>
        <w:spacing w:after="0" w:line="263" w:lineRule="auto"/>
        <w:rPr>
          <w:sz w:val="20"/>
          <w:szCs w:val="20"/>
          <w:color w:val="auto"/>
        </w:rPr>
      </w:pPr>
      <w:r>
        <w:rPr>
          <w:rFonts w:ascii="Arial" w:cs="Arial" w:eastAsia="Arial" w:hAnsi="Arial"/>
          <w:sz w:val="18"/>
          <w:szCs w:val="18"/>
          <w:color w:val="auto"/>
        </w:rPr>
        <w:t>Non-clinical studies include laboratory evaluation of product chemistry, toxicity and formulation, as well as animal studies to assess potential safety and efficacy. An IND sponsor must submit the results of the non-clinical tests, together with manufacturing information, analytical data and any available clinical data or literature, among other things, to the FDA as part of an IND. An IND is a request for allowance from the FDA to ship in interstate commerce and administer an investigational drug product to humans.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60"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Clinical Trials</w:t>
      </w:r>
    </w:p>
    <w:p>
      <w:pPr>
        <w:spacing w:after="0" w:line="114" w:lineRule="exact"/>
        <w:rPr>
          <w:sz w:val="20"/>
          <w:szCs w:val="20"/>
          <w:color w:val="auto"/>
        </w:rPr>
      </w:pPr>
    </w:p>
    <w:p>
      <w:pPr>
        <w:jc w:val="both"/>
        <w:ind w:left="7"/>
        <w:spacing w:after="0" w:line="245" w:lineRule="auto"/>
        <w:rPr>
          <w:sz w:val="20"/>
          <w:szCs w:val="20"/>
          <w:color w:val="auto"/>
        </w:rPr>
      </w:pPr>
      <w:r>
        <w:rPr>
          <w:rFonts w:ascii="Arial" w:cs="Arial" w:eastAsia="Arial" w:hAnsi="Arial"/>
          <w:sz w:val="19"/>
          <w:szCs w:val="19"/>
          <w:color w:val="auto"/>
        </w:rPr>
        <w:t>Clinical trials involve the administration of the investigational drug to human subjects under the supervision of qualified investigators in accordance with GCP requirements, which among other things, include the requirement that all research subjects or a legal representative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81" w:lineRule="exact"/>
        <w:rPr>
          <w:sz w:val="20"/>
          <w:szCs w:val="20"/>
          <w:color w:val="auto"/>
        </w:rPr>
      </w:pPr>
    </w:p>
    <w:p>
      <w:pPr>
        <w:jc w:val="both"/>
        <w:ind w:left="7"/>
        <w:spacing w:after="0" w:line="247" w:lineRule="auto"/>
        <w:rPr>
          <w:sz w:val="20"/>
          <w:szCs w:val="20"/>
          <w:color w:val="auto"/>
        </w:rPr>
      </w:pPr>
      <w:r>
        <w:rPr>
          <w:rFonts w:ascii="Arial" w:cs="Arial" w:eastAsia="Arial" w:hAnsi="Arial"/>
          <w:sz w:val="19"/>
          <w:szCs w:val="19"/>
          <w:color w:val="auto"/>
        </w:rPr>
        <w:t>In addition, an IRB at each institution participating in the clinical trial must review and approve the plan for any clinical trial before it commences at that institution.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reviews the data and recommends whether or not a study may move forward at designated checkpoints. It may halt the clinical trial if it determines that there is an unacceptable safety risk or on other grounds, such as no demonstration of efficacy. Information about certain clinical trials must be submitted within specific timeframes to the National Institutes of Health, or NIH, for public dissemination on their www.clinicaltrials.gov website.</w:t>
      </w:r>
    </w:p>
    <w:p>
      <w:pPr>
        <w:spacing w:after="0" w:line="75" w:lineRule="exact"/>
        <w:rPr>
          <w:sz w:val="20"/>
          <w:szCs w:val="20"/>
          <w:color w:val="auto"/>
        </w:rPr>
      </w:pPr>
    </w:p>
    <w:p>
      <w:pPr>
        <w:ind w:left="7"/>
        <w:spacing w:after="0"/>
        <w:rPr>
          <w:sz w:val="20"/>
          <w:szCs w:val="20"/>
          <w:color w:val="auto"/>
        </w:rPr>
      </w:pPr>
      <w:r>
        <w:rPr>
          <w:rFonts w:ascii="Arial" w:cs="Arial" w:eastAsia="Arial" w:hAnsi="Arial"/>
          <w:sz w:val="20"/>
          <w:szCs w:val="20"/>
          <w:color w:val="auto"/>
        </w:rPr>
        <w:t>Human clinical trials are typically conducted in three phases, which may overlap or be combined:</w:t>
      </w:r>
    </w:p>
    <w:p>
      <w:pPr>
        <w:spacing w:after="0" w:line="110" w:lineRule="exact"/>
        <w:rPr>
          <w:sz w:val="20"/>
          <w:szCs w:val="20"/>
          <w:color w:val="auto"/>
        </w:rPr>
      </w:pPr>
    </w:p>
    <w:p>
      <w:pPr>
        <w:jc w:val="both"/>
        <w:ind w:left="367" w:hanging="367"/>
        <w:spacing w:after="0" w:line="245" w:lineRule="auto"/>
        <w:tabs>
          <w:tab w:leader="none" w:pos="367" w:val="left"/>
        </w:tabs>
        <w:numPr>
          <w:ilvl w:val="0"/>
          <w:numId w:val="13"/>
        </w:numPr>
        <w:rPr>
          <w:rFonts w:ascii="Arial" w:cs="Arial" w:eastAsia="Arial" w:hAnsi="Arial"/>
          <w:sz w:val="20"/>
          <w:szCs w:val="20"/>
          <w:color w:val="auto"/>
        </w:rPr>
      </w:pPr>
      <w:r>
        <w:rPr>
          <w:rFonts w:ascii="Arial" w:cs="Arial" w:eastAsia="Arial" w:hAnsi="Arial"/>
          <w:sz w:val="20"/>
          <w:szCs w:val="20"/>
          <w:color w:val="auto"/>
        </w:rPr>
        <w:t>Phase 1: The drug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75" w:lineRule="exact"/>
        <w:rPr>
          <w:rFonts w:ascii="Arial" w:cs="Arial" w:eastAsia="Arial" w:hAnsi="Arial"/>
          <w:sz w:val="20"/>
          <w:szCs w:val="20"/>
          <w:color w:val="auto"/>
        </w:rPr>
      </w:pPr>
    </w:p>
    <w:p>
      <w:pPr>
        <w:jc w:val="both"/>
        <w:ind w:left="367" w:hanging="367"/>
        <w:spacing w:after="0" w:line="245" w:lineRule="auto"/>
        <w:tabs>
          <w:tab w:leader="none" w:pos="367" w:val="left"/>
        </w:tabs>
        <w:numPr>
          <w:ilvl w:val="0"/>
          <w:numId w:val="13"/>
        </w:numPr>
        <w:rPr>
          <w:rFonts w:ascii="Arial" w:cs="Arial" w:eastAsia="Arial" w:hAnsi="Arial"/>
          <w:sz w:val="20"/>
          <w:szCs w:val="20"/>
          <w:color w:val="auto"/>
        </w:rPr>
      </w:pPr>
      <w:r>
        <w:rPr>
          <w:rFonts w:ascii="Arial" w:cs="Arial" w:eastAsia="Arial" w:hAnsi="Arial"/>
          <w:sz w:val="20"/>
          <w:szCs w:val="20"/>
          <w:color w:val="auto"/>
        </w:rPr>
        <w:t>Phase 2: The drug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75" w:lineRule="exact"/>
        <w:rPr>
          <w:rFonts w:ascii="Arial" w:cs="Arial" w:eastAsia="Arial" w:hAnsi="Arial"/>
          <w:sz w:val="20"/>
          <w:szCs w:val="20"/>
          <w:color w:val="auto"/>
        </w:rPr>
      </w:pPr>
    </w:p>
    <w:p>
      <w:pPr>
        <w:jc w:val="both"/>
        <w:ind w:left="367" w:hanging="367"/>
        <w:spacing w:after="0" w:line="239" w:lineRule="auto"/>
        <w:tabs>
          <w:tab w:leader="none" w:pos="367" w:val="left"/>
        </w:tabs>
        <w:numPr>
          <w:ilvl w:val="0"/>
          <w:numId w:val="13"/>
        </w:numPr>
        <w:rPr>
          <w:rFonts w:ascii="Arial" w:cs="Arial" w:eastAsia="Arial" w:hAnsi="Arial"/>
          <w:sz w:val="20"/>
          <w:szCs w:val="20"/>
          <w:color w:val="auto"/>
        </w:rPr>
      </w:pPr>
      <w:r>
        <w:rPr>
          <w:rFonts w:ascii="Arial" w:cs="Arial" w:eastAsia="Arial" w:hAnsi="Arial"/>
          <w:sz w:val="20"/>
          <w:szCs w:val="20"/>
          <w:color w:val="auto"/>
        </w:rPr>
        <w:t>Phase 3: The drug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83" w:lineRule="exact"/>
        <w:rPr>
          <w:sz w:val="20"/>
          <w:szCs w:val="20"/>
          <w:color w:val="auto"/>
        </w:rPr>
      </w:pPr>
    </w:p>
    <w:p>
      <w:pPr>
        <w:jc w:val="both"/>
        <w:ind w:left="7"/>
        <w:spacing w:after="0" w:line="264" w:lineRule="auto"/>
        <w:rPr>
          <w:sz w:val="20"/>
          <w:szCs w:val="20"/>
          <w:color w:val="auto"/>
        </w:rPr>
      </w:pPr>
      <w:r>
        <w:rPr>
          <w:rFonts w:ascii="Arial" w:cs="Arial" w:eastAsia="Arial" w:hAnsi="Arial"/>
          <w:sz w:val="19"/>
          <w:szCs w:val="19"/>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ectPr>
          <w:pgSz w:w="11880" w:h="15480" w:orient="portrait"/>
          <w:cols w:equalWidth="0" w:num="1">
            <w:col w:w="10247"/>
          </w:cols>
          <w:pgMar w:left="813" w:top="8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0247"/>
          </w:cols>
          <w:pgMar w:left="813" w:top="858" w:right="820" w:bottom="0" w:gutter="0" w:footer="0" w:header="0"/>
          <w:type w:val="continuous"/>
        </w:sectPr>
      </w:pPr>
    </w:p>
    <w:bookmarkStart w:id="21" w:name="page22"/>
    <w:bookmarkEnd w:id="21"/>
    <w:p>
      <w:pPr>
        <w:jc w:val="both"/>
        <w:spacing w:after="0" w:line="275"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w:t>
      </w:r>
    </w:p>
    <w:p>
      <w:pPr>
        <w:spacing w:after="0" w:line="5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Marketing Approval</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In addition, the Pediatric Research Equity Act (PREA), requires a sponsor to conduct pediatric clinical trials for most drugs, for a new active ingredient, new indication, new dosage form, new dosing regimen or new route of administration. Under PREA, original NDAs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7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w:t>
      </w:r>
    </w:p>
    <w:p>
      <w:pPr>
        <w:spacing w:after="0" w:line="83"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 Under the Prescription Drug User Fee Act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it the application is submitted.</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5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a resubmitted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ectPr>
          <w:pgSz w:w="11880" w:h="15480" w:orient="portrait"/>
          <w:cols w:equalWidth="0" w:num="1">
            <w:col w:w="10240"/>
          </w:cols>
          <w:pgMar w:left="820" w:top="8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240"/>
          </w:cols>
          <w:pgMar w:left="820" w:top="858" w:right="820" w:bottom="0" w:gutter="0" w:footer="0" w:header="0"/>
          <w:type w:val="continuous"/>
        </w:sectPr>
      </w:pPr>
    </w:p>
    <w:bookmarkStart w:id="22" w:name="page23"/>
    <w:bookmarkEnd w:id="22"/>
    <w:p>
      <w:pPr>
        <w:jc w:val="both"/>
        <w:spacing w:after="0" w:line="246" w:lineRule="auto"/>
        <w:rPr>
          <w:sz w:val="20"/>
          <w:szCs w:val="20"/>
          <w:color w:val="auto"/>
        </w:rPr>
      </w:pPr>
      <w:r>
        <w:rPr>
          <w:rFonts w:ascii="Arial" w:cs="Arial" w:eastAsia="Arial" w:hAnsi="Arial"/>
          <w:sz w:val="19"/>
          <w:szCs w:val="19"/>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Expedited Development and Review Programs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FDA offers a number of expedited development and review programs for qualifying product candidates. For example, the fast track program is intended to expedite or facilitate the process for reviewing products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5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Any marketing application for a drug submitted to the FDA for approval, including a product candidate with a fast track designation and/or breakthrough therapy designation, may be eligible for other types of FDA programs to expedite the FDA review and approval process, such as priority review. An NDA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 molecular entity NDAs, priority review designation means the FDA’s goal is to take action on the marketing application within six months of the 60-day filing date (as compared to ten months under standard review).</w:t>
      </w:r>
    </w:p>
    <w:p>
      <w:pPr>
        <w:spacing w:after="0" w:line="7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Additionally, depending on the design of the applicable clinical studies,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and may require that such confirmatory studies be underway prior to granting accelerated approval. Products receiving accelerated approval may be subject to expedited withdrawal procedures if the sponsor fails to conduct the required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6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Orphan drug designation and exclusivity</w:t>
      </w:r>
    </w:p>
    <w:p>
      <w:pPr>
        <w:spacing w:after="0" w:line="11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defined as a disease or condition with a patient population of fewer than 200,000 individuals in the United States, or a patient</w:t>
      </w:r>
    </w:p>
    <w:p>
      <w:pPr>
        <w:sectPr>
          <w:pgSz w:w="11880" w:h="15480" w:orient="portrait"/>
          <w:cols w:equalWidth="0" w:num="1">
            <w:col w:w="10240"/>
          </w:cols>
          <w:pgMar w:left="820" w:top="8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240"/>
          </w:cols>
          <w:pgMar w:left="820" w:top="858" w:right="820" w:bottom="0" w:gutter="0" w:footer="0" w:header="0"/>
          <w:type w:val="continuous"/>
        </w:sectPr>
      </w:pPr>
    </w:p>
    <w:bookmarkStart w:id="23" w:name="page24"/>
    <w:bookmarkEnd w:id="23"/>
    <w:p>
      <w:pPr>
        <w:jc w:val="both"/>
        <w:ind w:left="7"/>
        <w:spacing w:after="0" w:line="275" w:lineRule="auto"/>
        <w:rPr>
          <w:sz w:val="20"/>
          <w:szCs w:val="20"/>
          <w:color w:val="auto"/>
        </w:rPr>
      </w:pPr>
      <w:r>
        <w:rPr>
          <w:rFonts w:ascii="Arial" w:cs="Arial" w:eastAsia="Arial" w:hAnsi="Arial"/>
          <w:sz w:val="18"/>
          <w:szCs w:val="18"/>
          <w:color w:val="auto"/>
        </w:rPr>
        <w:t>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an NDA. After the FDA grants orphan drug designation, the generic identity of the therapeutic agent and its potential orphan use are disclosed publicly by the FDA.</w:t>
      </w:r>
    </w:p>
    <w:p>
      <w:pPr>
        <w:spacing w:after="0" w:line="51" w:lineRule="exact"/>
        <w:rPr>
          <w:sz w:val="20"/>
          <w:szCs w:val="20"/>
          <w:color w:val="auto"/>
        </w:rPr>
      </w:pPr>
    </w:p>
    <w:p>
      <w:pPr>
        <w:jc w:val="both"/>
        <w:ind w:left="7"/>
        <w:spacing w:after="0" w:line="262" w:lineRule="auto"/>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or condition for which it has such designation, the product is entitled to orphan product exclusivity, which means that the FDA may not approve any other applications, including a full NDA, to market the same drug for the same disease or condition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65" w:lineRule="exact"/>
        <w:rPr>
          <w:sz w:val="20"/>
          <w:szCs w:val="20"/>
          <w:color w:val="auto"/>
        </w:rPr>
      </w:pPr>
    </w:p>
    <w:p>
      <w:pPr>
        <w:jc w:val="both"/>
        <w:ind w:left="7"/>
        <w:spacing w:after="0" w:line="236" w:lineRule="auto"/>
        <w:rPr>
          <w:sz w:val="20"/>
          <w:szCs w:val="20"/>
          <w:color w:val="auto"/>
        </w:rPr>
      </w:pPr>
      <w:r>
        <w:rPr>
          <w:rFonts w:ascii="Arial" w:cs="Arial" w:eastAsia="Arial" w:hAnsi="Arial"/>
          <w:sz w:val="20"/>
          <w:szCs w:val="20"/>
          <w:color w:val="auto"/>
        </w:rPr>
        <w:t>A designated orphan drug many not receive orphan drug exclusivity if it is approved for a use that is broader than the disease or condition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78"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Post-Approval Requirements</w:t>
      </w:r>
    </w:p>
    <w:p>
      <w:pPr>
        <w:spacing w:after="0" w:line="114" w:lineRule="exact"/>
        <w:rPr>
          <w:sz w:val="20"/>
          <w:szCs w:val="20"/>
          <w:color w:val="auto"/>
        </w:rPr>
      </w:pPr>
    </w:p>
    <w:p>
      <w:pPr>
        <w:jc w:val="both"/>
        <w:ind w:left="7"/>
        <w:spacing w:after="0" w:line="250" w:lineRule="auto"/>
        <w:rPr>
          <w:sz w:val="20"/>
          <w:szCs w:val="20"/>
          <w:color w:val="auto"/>
        </w:rPr>
      </w:pPr>
      <w:r>
        <w:rPr>
          <w:rFonts w:ascii="Arial" w:cs="Arial" w:eastAsia="Arial" w:hAnsi="Arial"/>
          <w:sz w:val="19"/>
          <w:szCs w:val="19"/>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under which NDA applicants must pay a substantial “program fee” for each prescription drug product approved in an NDA.</w:t>
      </w:r>
    </w:p>
    <w:p>
      <w:pPr>
        <w:spacing w:after="0" w:line="73" w:lineRule="exact"/>
        <w:rPr>
          <w:sz w:val="20"/>
          <w:szCs w:val="20"/>
          <w:color w:val="auto"/>
        </w:rPr>
      </w:pPr>
    </w:p>
    <w:p>
      <w:pPr>
        <w:jc w:val="both"/>
        <w:ind w:left="7"/>
        <w:spacing w:after="0" w:line="265"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59" w:lineRule="exact"/>
        <w:rPr>
          <w:sz w:val="20"/>
          <w:szCs w:val="20"/>
          <w:color w:val="auto"/>
        </w:rPr>
      </w:pPr>
    </w:p>
    <w:p>
      <w:pPr>
        <w:jc w:val="both"/>
        <w:ind w:left="7"/>
        <w:spacing w:after="0" w:line="250" w:lineRule="auto"/>
        <w:rPr>
          <w:sz w:val="20"/>
          <w:szCs w:val="20"/>
          <w:color w:val="auto"/>
        </w:rPr>
      </w:pPr>
      <w:r>
        <w:rPr>
          <w:rFonts w:ascii="Arial" w:cs="Arial" w:eastAsia="Arial" w:hAnsi="Arial"/>
          <w:sz w:val="19"/>
          <w:szCs w:val="19"/>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3" w:lineRule="exact"/>
        <w:rPr>
          <w:sz w:val="20"/>
          <w:szCs w:val="20"/>
          <w:color w:val="auto"/>
        </w:rPr>
      </w:pPr>
    </w:p>
    <w:p>
      <w:pPr>
        <w:ind w:left="367" w:hanging="367"/>
        <w:spacing w:after="0" w:line="260" w:lineRule="auto"/>
        <w:tabs>
          <w:tab w:leader="none" w:pos="367"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Restrictions on the marketing or manufacturing of the product, complete withdrawal of the product from the market or product recalls;</w:t>
      </w:r>
    </w:p>
    <w:p>
      <w:pPr>
        <w:spacing w:after="0" w:line="61" w:lineRule="exact"/>
        <w:rPr>
          <w:rFonts w:ascii="Arial" w:cs="Arial" w:eastAsia="Arial" w:hAnsi="Arial"/>
          <w:sz w:val="20"/>
          <w:szCs w:val="20"/>
          <w:color w:val="auto"/>
        </w:rPr>
      </w:pPr>
    </w:p>
    <w:p>
      <w:pPr>
        <w:ind w:left="367" w:hanging="367"/>
        <w:spacing w:after="0"/>
        <w:tabs>
          <w:tab w:leader="none" w:pos="367" w:val="left"/>
        </w:tabs>
        <w:numPr>
          <w:ilvl w:val="0"/>
          <w:numId w:val="14"/>
        </w:numPr>
        <w:rPr>
          <w:rFonts w:ascii="Arial" w:cs="Arial" w:eastAsia="Arial" w:hAnsi="Arial"/>
          <w:sz w:val="20"/>
          <w:szCs w:val="20"/>
          <w:color w:val="auto"/>
        </w:rPr>
      </w:pPr>
      <w:r>
        <w:rPr>
          <w:rFonts w:ascii="Arial" w:cs="Arial" w:eastAsia="Arial" w:hAnsi="Arial"/>
          <w:sz w:val="20"/>
          <w:szCs w:val="20"/>
          <w:color w:val="auto"/>
        </w:rPr>
        <w:t>Fines, warning letters or holds on post-approval clinical trials;</w:t>
      </w:r>
    </w:p>
    <w:p>
      <w:pPr>
        <w:spacing w:after="0" w:line="109" w:lineRule="exact"/>
        <w:rPr>
          <w:rFonts w:ascii="Arial" w:cs="Arial" w:eastAsia="Arial" w:hAnsi="Arial"/>
          <w:sz w:val="20"/>
          <w:szCs w:val="20"/>
          <w:color w:val="auto"/>
        </w:rPr>
      </w:pPr>
    </w:p>
    <w:p>
      <w:pPr>
        <w:ind w:left="367" w:hanging="367"/>
        <w:spacing w:after="0" w:line="260" w:lineRule="auto"/>
        <w:tabs>
          <w:tab w:leader="none" w:pos="367"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Refusal of the FDA to approve pending NDAs or supplements to approved NDAs, or suspension or revocation of product approvals;</w:t>
      </w:r>
    </w:p>
    <w:p>
      <w:pPr>
        <w:spacing w:after="0" w:line="61" w:lineRule="exact"/>
        <w:rPr>
          <w:rFonts w:ascii="Arial" w:cs="Arial" w:eastAsia="Arial" w:hAnsi="Arial"/>
          <w:sz w:val="20"/>
          <w:szCs w:val="20"/>
          <w:color w:val="auto"/>
        </w:rPr>
      </w:pPr>
    </w:p>
    <w:p>
      <w:pPr>
        <w:ind w:left="367" w:hanging="367"/>
        <w:spacing w:after="0"/>
        <w:tabs>
          <w:tab w:leader="none" w:pos="367" w:val="left"/>
        </w:tabs>
        <w:numPr>
          <w:ilvl w:val="0"/>
          <w:numId w:val="14"/>
        </w:numPr>
        <w:rPr>
          <w:rFonts w:ascii="Arial" w:cs="Arial" w:eastAsia="Arial" w:hAnsi="Arial"/>
          <w:sz w:val="20"/>
          <w:szCs w:val="20"/>
          <w:color w:val="auto"/>
        </w:rPr>
      </w:pPr>
      <w:r>
        <w:rPr>
          <w:rFonts w:ascii="Arial" w:cs="Arial" w:eastAsia="Arial" w:hAnsi="Arial"/>
          <w:sz w:val="20"/>
          <w:szCs w:val="20"/>
          <w:color w:val="auto"/>
        </w:rPr>
        <w:t>Product seizure or detention, or refusal to permit the import or export of products; or</w:t>
      </w:r>
    </w:p>
    <w:p>
      <w:pPr>
        <w:spacing w:after="0" w:line="109" w:lineRule="exact"/>
        <w:rPr>
          <w:rFonts w:ascii="Arial" w:cs="Arial" w:eastAsia="Arial" w:hAnsi="Arial"/>
          <w:sz w:val="20"/>
          <w:szCs w:val="20"/>
          <w:color w:val="auto"/>
        </w:rPr>
      </w:pPr>
    </w:p>
    <w:p>
      <w:pPr>
        <w:ind w:left="367" w:hanging="367"/>
        <w:spacing w:after="0"/>
        <w:tabs>
          <w:tab w:leader="none" w:pos="367"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Injunctions or the imposition of civil or criminal penalties.</w:t>
      </w:r>
    </w:p>
    <w:p>
      <w:pPr>
        <w:spacing w:after="0" w:line="110" w:lineRule="exact"/>
        <w:rPr>
          <w:sz w:val="20"/>
          <w:szCs w:val="20"/>
          <w:color w:val="auto"/>
        </w:rPr>
      </w:pPr>
    </w:p>
    <w:p>
      <w:pPr>
        <w:jc w:val="both"/>
        <w:ind w:left="7"/>
        <w:spacing w:after="0" w:line="270"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w:t>
      </w:r>
    </w:p>
    <w:p>
      <w:pPr>
        <w:sectPr>
          <w:pgSz w:w="11880" w:h="15480" w:orient="portrait"/>
          <w:cols w:equalWidth="0" w:num="1">
            <w:col w:w="10247"/>
          </w:cols>
          <w:pgMar w:left="813" w:top="8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247"/>
          </w:cols>
          <w:pgMar w:left="813" w:top="858" w:right="820" w:bottom="0"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i w:val="1"/>
          <w:iCs w:val="1"/>
          <w:color w:val="auto"/>
        </w:rPr>
        <w:t>Drug Product Marketing Exclusivity</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Market exclusivity provisions authorized under the FDCA can delay the submission or the approval of certain marketing applications. For example,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(a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existing exclusivity or an available patent term if a sponsor conducts clinical trials in children in response to a “written request” from the FDA. The issuance of a written request does not require the sponsor to undertake the described clinical trials, and the FDA’s grant of pediatric exclusivity does not require the FDA to approve labeling containing information on pediatric use based on the studies conducted.</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regulation</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In order to market any medicinal product outside of the U.S., similar regulatory requirements, including adherence to GLP, Good Clinical Practices (“GCP”) and Good Manufacturing Practice (“GMP”), to initiate clinical trials and, subsequently, to obtain marketing approval of a new pharmaceutical product are in place in each jurisdiction and vary country to country.</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Each jurisdiction will apply these regulations in their assessment of clinical trial applications and marketing authorization applications. The foreign regulatory approval process includes all of the risks associated with FDA approval set forth above, as well as additional country-specific regulation. The foreign regulatory approval process includes all of the risks associated with FDA approval set forth above, as well as additional country-specific regulation. Whether or not we obtain FDA approval for a product, we must obtain approval of a product by the comparable regulatory authorities of foreign countries before we can commence clinical trials or marketing of the product in those countries. The time required to obtain approval in other countries and jurisdictions might differ from and be longer than that required to obtain FDA approval. Regulatory approval in one country or jurisdiction does not ensure regulatory approval in another. In addition, a failure or delay in obtaining regulatory approval in one country or jurisdiction may negatively impact the regulatory process in others.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Non-clinical studies and clinical trials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Similarly to the United States, the various phases of non-clinical and clinical research in the European Union (“EU”) are subject to significant regulatory controls.</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Non-clinical studies are performed to demonstrate the health or environmental safety of new biological substances. Non-clinical studies (pharmaco-toxicological) must be conducted in compliance with the principles of GLP, as set forth in EU Directive 2004/10/EC (unless otherwise justified for certain particular medicinal products - e.g., radio-pharmaceutical precursors for radio-labelling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Clinical trials of medicinal products in the EU must be conducted in accordance with EU and national regulations and the International Council for Harmonization of Technical Requirements for Pharmaceuticals for Human Use (“ICH”) guidelines on GCP as well as the applicable regulatory requirements and the ethical principles that have their origin in the Declaration of Helsinki. If the sponsor of the clinical trial is not established within the EU, it must appoint an EU entity to act as its legal</w:t>
      </w:r>
    </w:p>
    <w:p>
      <w:pPr>
        <w:sectPr>
          <w:pgSz w:w="11880" w:h="15480" w:orient="portrait"/>
          <w:cols w:equalWidth="0" w:num="1">
            <w:col w:w="10240"/>
          </w:cols>
          <w:pgMar w:left="820" w:top="85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0240"/>
          </w:cols>
          <w:pgMar w:left="820" w:top="854" w:right="820" w:bottom="0" w:gutter="0" w:footer="0" w:header="0"/>
          <w:type w:val="continuous"/>
        </w:sectPr>
      </w:pPr>
    </w:p>
    <w:bookmarkStart w:id="25" w:name="page26"/>
    <w:bookmarkEnd w:id="25"/>
    <w:p>
      <w:pPr>
        <w:jc w:val="both"/>
        <w:ind w:left="7"/>
        <w:spacing w:after="0" w:line="260" w:lineRule="auto"/>
        <w:rPr>
          <w:sz w:val="20"/>
          <w:szCs w:val="20"/>
          <w:color w:val="auto"/>
        </w:rPr>
      </w:pPr>
      <w:r>
        <w:rPr>
          <w:rFonts w:ascii="Arial" w:cs="Arial" w:eastAsia="Arial" w:hAnsi="Arial"/>
          <w:sz w:val="20"/>
          <w:szCs w:val="20"/>
          <w:color w:val="auto"/>
        </w:rPr>
        <w:t>representative. The sponsor must take out a clinical trial insurance policy, and in most EU member states, the sponsor is liable to provide ‘no fault’ compensation to any study subject injured in the clinical trial.</w:t>
      </w:r>
    </w:p>
    <w:p>
      <w:pPr>
        <w:spacing w:after="0" w:line="61" w:lineRule="exact"/>
        <w:rPr>
          <w:sz w:val="20"/>
          <w:szCs w:val="20"/>
          <w:color w:val="auto"/>
        </w:rPr>
      </w:pPr>
    </w:p>
    <w:p>
      <w:pPr>
        <w:jc w:val="both"/>
        <w:ind w:left="7"/>
        <w:spacing w:after="0" w:line="270" w:lineRule="auto"/>
        <w:rPr>
          <w:sz w:val="20"/>
          <w:szCs w:val="20"/>
          <w:color w:val="auto"/>
        </w:rPr>
      </w:pPr>
      <w:r>
        <w:rPr>
          <w:rFonts w:ascii="Arial" w:cs="Arial" w:eastAsia="Arial" w:hAnsi="Arial"/>
          <w:sz w:val="18"/>
          <w:szCs w:val="18"/>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55" w:lineRule="exact"/>
        <w:rPr>
          <w:sz w:val="20"/>
          <w:szCs w:val="20"/>
          <w:color w:val="auto"/>
        </w:rPr>
      </w:pPr>
    </w:p>
    <w:p>
      <w:pPr>
        <w:jc w:val="both"/>
        <w:ind w:left="7"/>
        <w:spacing w:after="0" w:line="246" w:lineRule="auto"/>
        <w:rPr>
          <w:sz w:val="20"/>
          <w:szCs w:val="20"/>
          <w:color w:val="auto"/>
        </w:rPr>
      </w:pPr>
      <w:r>
        <w:rPr>
          <w:rFonts w:ascii="Arial" w:cs="Arial" w:eastAsia="Arial" w:hAnsi="Arial"/>
          <w:sz w:val="19"/>
          <w:szCs w:val="19"/>
          <w:color w:val="auto"/>
        </w:rPr>
        <w:t>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75" w:lineRule="exact"/>
        <w:rPr>
          <w:sz w:val="20"/>
          <w:szCs w:val="20"/>
          <w:color w:val="auto"/>
        </w:rPr>
      </w:pPr>
    </w:p>
    <w:p>
      <w:pPr>
        <w:jc w:val="both"/>
        <w:ind w:left="7"/>
        <w:spacing w:after="0" w:line="252" w:lineRule="auto"/>
        <w:rPr>
          <w:sz w:val="20"/>
          <w:szCs w:val="20"/>
          <w:color w:val="auto"/>
        </w:rPr>
      </w:pPr>
      <w:r>
        <w:rPr>
          <w:rFonts w:ascii="Arial" w:cs="Arial" w:eastAsia="Arial" w:hAnsi="Arial"/>
          <w:sz w:val="19"/>
          <w:szCs w:val="19"/>
          <w:color w:val="auto"/>
        </w:rPr>
        <w:t>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w:t>
      </w:r>
    </w:p>
    <w:p>
      <w:pPr>
        <w:spacing w:after="0" w:line="72" w:lineRule="exact"/>
        <w:rPr>
          <w:sz w:val="20"/>
          <w:szCs w:val="20"/>
          <w:color w:val="auto"/>
        </w:rPr>
      </w:pPr>
    </w:p>
    <w:p>
      <w:pPr>
        <w:jc w:val="both"/>
        <w:ind w:left="7"/>
        <w:spacing w:after="0" w:line="260" w:lineRule="auto"/>
        <w:rPr>
          <w:sz w:val="20"/>
          <w:szCs w:val="20"/>
          <w:color w:val="auto"/>
        </w:rPr>
      </w:pPr>
      <w:r>
        <w:rPr>
          <w:rFonts w:ascii="Arial" w:cs="Arial" w:eastAsia="Arial" w:hAnsi="Arial"/>
          <w:sz w:val="20"/>
          <w:szCs w:val="20"/>
          <w:color w:val="auto"/>
        </w:rPr>
        <w:t>Medicines used in clinical trials must be manufactured in accordance with GMP. Other national and EU-wide regulatory requirements may also apply.</w:t>
      </w:r>
    </w:p>
    <w:p>
      <w:pPr>
        <w:spacing w:after="0" w:line="57"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Marketing authorization</w:t>
      </w:r>
    </w:p>
    <w:p>
      <w:pPr>
        <w:spacing w:after="0" w:line="114" w:lineRule="exact"/>
        <w:rPr>
          <w:sz w:val="20"/>
          <w:szCs w:val="20"/>
          <w:color w:val="auto"/>
        </w:rPr>
      </w:pPr>
    </w:p>
    <w:p>
      <w:pPr>
        <w:jc w:val="both"/>
        <w:ind w:left="7"/>
        <w:spacing w:after="0" w:line="285" w:lineRule="auto"/>
        <w:rPr>
          <w:sz w:val="20"/>
          <w:szCs w:val="20"/>
          <w:color w:val="auto"/>
        </w:rPr>
      </w:pPr>
      <w:r>
        <w:rPr>
          <w:rFonts w:ascii="Arial" w:cs="Arial" w:eastAsia="Arial" w:hAnsi="Arial"/>
          <w:sz w:val="18"/>
          <w:szCs w:val="18"/>
          <w:color w:val="auto"/>
        </w:rPr>
        <w:t>In the EU, medicinal products can only be placed on the market after obtaining a marketing authorization (“MA”). To obtain regulatory approval of a product candidate under EU regulatory systems, we must submit a MA application (“MAA”). The process for doing this depends, among other things, on the nature of the medicinal product. There are two types of MAs:</w:t>
      </w:r>
    </w:p>
    <w:p>
      <w:pPr>
        <w:spacing w:after="0" w:line="42" w:lineRule="exact"/>
        <w:rPr>
          <w:sz w:val="20"/>
          <w:szCs w:val="20"/>
          <w:color w:val="auto"/>
        </w:rPr>
      </w:pPr>
    </w:p>
    <w:p>
      <w:pPr>
        <w:jc w:val="both"/>
        <w:ind w:left="367" w:hanging="367"/>
        <w:spacing w:after="0" w:line="262" w:lineRule="auto"/>
        <w:tabs>
          <w:tab w:leader="none" w:pos="3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“Centralized MAs” are issued by the European Commission through the centralized procedure, based on the opinion of the Committee for Medicinal Products for Human Use (“CHMP”) of the EMA, and are valid throughout the EU. The centralized procedure is mandatory for certain types of medicinal products, such as (i) medicines derived from biotechnology processes, (ii) advanced therapy medicinal products (“ATMP”) (such as gene therapy, somatic cell therapy and tissue engineered products), (iii) orphan designated medicinal products, and (iv) products that contain a new active substance indicated for the treatment of certain diseases such as HIV/AIDS, cancer, neurodegenerative disorders, diabetes,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64" w:lineRule="exact"/>
        <w:rPr>
          <w:rFonts w:ascii="Arial" w:cs="Arial" w:eastAsia="Arial" w:hAnsi="Arial"/>
          <w:sz w:val="18"/>
          <w:szCs w:val="18"/>
          <w:color w:val="auto"/>
        </w:rPr>
      </w:pPr>
    </w:p>
    <w:p>
      <w:pPr>
        <w:jc w:val="both"/>
        <w:ind w:left="367" w:hanging="367"/>
        <w:spacing w:after="0" w:line="234" w:lineRule="auto"/>
        <w:tabs>
          <w:tab w:leader="none" w:pos="367" w:val="left"/>
        </w:tabs>
        <w:numPr>
          <w:ilvl w:val="0"/>
          <w:numId w:val="15"/>
        </w:numPr>
        <w:rPr>
          <w:rFonts w:ascii="Arial" w:cs="Arial" w:eastAsia="Arial" w:hAnsi="Arial"/>
          <w:sz w:val="20"/>
          <w:szCs w:val="20"/>
          <w:color w:val="auto"/>
        </w:rPr>
      </w:pPr>
      <w:r>
        <w:rPr>
          <w:rFonts w:ascii="Arial" w:cs="Arial" w:eastAsia="Arial" w:hAnsi="Arial"/>
          <w:sz w:val="20"/>
          <w:szCs w:val="20"/>
          <w:color w:val="auto"/>
        </w:rPr>
        <w:t>“National MAs” are issued by the competent authorities of the member states of the EU and only cover their respective territory, and are available for product candidates not falling within the mandatory scope of the centralized procedure. Where a product has already been authorized for marketing in a member state of the EU,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85" w:lineRule="exact"/>
        <w:rPr>
          <w:sz w:val="20"/>
          <w:szCs w:val="20"/>
          <w:color w:val="auto"/>
        </w:rPr>
      </w:pPr>
    </w:p>
    <w:p>
      <w:pPr>
        <w:jc w:val="both"/>
        <w:ind w:left="7"/>
        <w:spacing w:after="0" w:line="239" w:lineRule="auto"/>
        <w:rPr>
          <w:sz w:val="20"/>
          <w:szCs w:val="20"/>
          <w:color w:val="auto"/>
        </w:rPr>
      </w:pPr>
      <w:r>
        <w:rPr>
          <w:rFonts w:ascii="Arial" w:cs="Arial" w:eastAsia="Arial" w:hAnsi="Arial"/>
          <w:sz w:val="20"/>
          <w:szCs w:val="20"/>
          <w:color w:val="auto"/>
        </w:rPr>
        <w:t>Under the above described procedures, in order to grant the MA, the EMA or the competent authorities of the member states of the EU make an assessment of the risk-benefit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spacing w:after="0" w:line="83" w:lineRule="exact"/>
        <w:rPr>
          <w:sz w:val="20"/>
          <w:szCs w:val="20"/>
          <w:color w:val="auto"/>
        </w:rPr>
      </w:pPr>
    </w:p>
    <w:p>
      <w:pPr>
        <w:jc w:val="both"/>
        <w:ind w:left="7"/>
        <w:spacing w:after="0" w:line="285" w:lineRule="auto"/>
        <w:rPr>
          <w:sz w:val="20"/>
          <w:szCs w:val="20"/>
          <w:color w:val="auto"/>
        </w:rPr>
      </w:pPr>
      <w:r>
        <w:rPr>
          <w:rFonts w:ascii="Arial" w:cs="Arial" w:eastAsia="Arial" w:hAnsi="Arial"/>
          <w:sz w:val="18"/>
          <w:szCs w:val="18"/>
          <w:color w:val="auto"/>
        </w:rPr>
        <w:t>Under the centralized procedure the maximum timeframe for the evaluation of a MAA by the EMA is 210 days, excluding clock stops. In exceptional cases, the CHMP might perform an accelerated assessment of a MAA in no more than 150 days (not including clock stops). Innovative products that target an unmet medical need and are expected to be of major public health</w:t>
      </w:r>
    </w:p>
    <w:p>
      <w:pPr>
        <w:sectPr>
          <w:pgSz w:w="11880" w:h="15480" w:orient="portrait"/>
          <w:cols w:equalWidth="0" w:num="1">
            <w:col w:w="10247"/>
          </w:cols>
          <w:pgMar w:left="813" w:top="8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247"/>
          </w:cols>
          <w:pgMar w:left="813" w:top="858" w:right="820" w:bottom="0" w:gutter="0" w:footer="0" w:header="0"/>
          <w:type w:val="continuous"/>
        </w:sectPr>
      </w:pPr>
    </w:p>
    <w:bookmarkStart w:id="26" w:name="page27"/>
    <w:bookmarkEnd w:id="26"/>
    <w:p>
      <w:pPr>
        <w:jc w:val="both"/>
        <w:spacing w:after="0" w:line="260" w:lineRule="auto"/>
        <w:rPr>
          <w:sz w:val="20"/>
          <w:szCs w:val="20"/>
          <w:color w:val="auto"/>
        </w:rPr>
      </w:pPr>
      <w:r>
        <w:rPr>
          <w:rFonts w:ascii="Arial" w:cs="Arial" w:eastAsia="Arial" w:hAnsi="Arial"/>
          <w:sz w:val="18"/>
          <w:szCs w:val="18"/>
          <w:color w:val="auto"/>
        </w:rPr>
        <w:t>interest may be eligible for a number of expedited development and review programs, such as the PRIority MEdicines (“PRIME”) scheme, which provides incentives similar to the breakthrough therapy designation in the U.S.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Data and marketing exclusivity</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 the EU, new products authorized for marketing, (i.e., reference products), generally receive eight years of data exclusivity and an additional two years of market exclusivity upon MA.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active substance, and products may not qualify for data exclusivity.</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Pediatric development</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In the EEA, MAAs for new medicinal products have to include the results of studies conducted in the pediatric population, in compliance with a pediatric investigation plan (“PIP”), agreed with the EMA’s Pediatric Committee (“PDCO”).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We have received a waiver for pediatric data in COPD.</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Orphan Medicinal Products</w:t>
      </w:r>
    </w:p>
    <w:p>
      <w:pPr>
        <w:spacing w:after="0" w:line="11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criteria for designating an “orphan medicinal product” in the EU are similar in principle to those in the United States. A medicinal product may be designated as orphan if its sponsor can establish that: (1) the product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that has been authorized for marketing in the EU, or if such a method exists, the product will be of significant benefit to those affected by the condition.</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Orphan designation must be requested before submitting an MAA. An EU orphan designation entitles a party to incentives such as reduction of fees or fee waivers, protocol assistance, and access to the centralized procedure. Upon grant of a MA, orphan medicinal products are entitled to ten years of market exclusivity for the approved therapeutic indication which means that the EU regulatory authorities cannot accept another MAA, or grant an MA, or accept an application to extend a MA for a similar product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designation does not convey any advantage in, or shorten the duration of, the regulatory review and approval process.</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orphan exclusivity period may be reduced to six years if, at the end of the fifth year, it is established that the product no longer meets the criteria for orphan designation,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(1) the second applicant can</w:t>
      </w:r>
    </w:p>
    <w:p>
      <w:pPr>
        <w:sectPr>
          <w:pgSz w:w="11880" w:h="15480" w:orient="portrait"/>
          <w:cols w:equalWidth="0" w:num="1">
            <w:col w:w="10240"/>
          </w:cols>
          <w:pgMar w:left="820" w:top="8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0240"/>
          </w:cols>
          <w:pgMar w:left="820" w:top="858" w:right="820" w:bottom="0" w:gutter="0" w:footer="0" w:header="0"/>
          <w:type w:val="continuous"/>
        </w:sectPr>
      </w:pPr>
    </w:p>
    <w:bookmarkStart w:id="27" w:name="page28"/>
    <w:bookmarkEnd w:id="27"/>
    <w:p>
      <w:pPr>
        <w:jc w:val="both"/>
        <w:spacing w:after="0" w:line="316" w:lineRule="auto"/>
        <w:rPr>
          <w:sz w:val="20"/>
          <w:szCs w:val="20"/>
          <w:color w:val="auto"/>
        </w:rPr>
      </w:pPr>
      <w:r>
        <w:rPr>
          <w:rFonts w:ascii="Arial" w:cs="Arial" w:eastAsia="Arial" w:hAnsi="Arial"/>
          <w:sz w:val="18"/>
          <w:szCs w:val="18"/>
          <w:color w:val="auto"/>
        </w:rPr>
        <w:t>establish that its product, although similar, is safer, more effective or otherwise clinically superior; (2) the applicant consents to a second orphan medicinal product application; or (3) the applicant cannot supply enough orphan medicinal product.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Post-Approval Requirements</w:t>
      </w:r>
    </w:p>
    <w:p>
      <w:pPr>
        <w:spacing w:after="0" w:line="11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Similar to the United States, both MA holders and manufacturers of medicinal products are subject to comprehensive regulatory oversight by the EMA, the European Commission and/or the competent regulatory authorities of the EU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(“PSURs”).</w:t>
      </w:r>
    </w:p>
    <w:p>
      <w:pPr>
        <w:spacing w:after="0" w:line="5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All new MAA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aforementioned EU rules are generally applicable in the European Economic Area (“EEA”) which consists of the 27 EU member states plus Norway, Liechtenstein and Iceland.</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Failure by us or by any of our third-party partners, including suppliers, manufacturers and distributors to comply with EU and EU member state laws that apply to the conduct of clinical trials, manufacturing approval, MA of medicinal products and marketing of such products, both before and after grant of the MA, manufacturing of medicinal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Brexit and the Regulatory Framework in the United Kingdom</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Since the end of the Brexit transition period on January 1, 2021, Great Britain (England, Scotland and Wales) has not been directly subject to EU laws, however under the terms of the Ireland/Northern Ireland Protocol, EU laws generally apply to Northern Ireland. The EU laws that have been transposed into U.K. law through secondary legislation remain applicable in Great Britain (“GB”), however new legislation such as the EU CTR is not applicable in GB.</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6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Since January 1, 2021, the Medicines and Healthcare products Regulatory Agency (“MHRA”) has been the U.K.’s standalone medicines and medical devices regulator. As a result of the Northern Ireland protocol, different rules will apply in Northern Ireland than in England, Wales, and Scotland, together, GB; broadly, Northern Ireland will continue to follow the EU regulatory regime, but its national competent authority will remain the MHRA.</w:t>
      </w:r>
    </w:p>
    <w:p>
      <w:pPr>
        <w:spacing w:after="0" w:line="83"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The U.K. regulatory framework in relation to clinical trials is derived from existing EU legislation (as implemented into U.K. law, through secondary legislation). On January 17, 2022, the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MHRA responded to the consultation on March 21, 2023 and confirmed that it would bring forward changes to the legislation. The final legal texts introduced by the U.K. Government will ultimately determine the extent to which the U.K. clinical trials framework aligns with or diverges from the CTR.</w:t>
      </w:r>
    </w:p>
    <w:p>
      <w:pPr>
        <w:spacing w:after="0" w:line="8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MHRA has introduced changes to national licensing procedures, including procedures to prioritize access to new medicines that will benefit patients, including a 150-day assessment and a rolling review procedure. All existing EU MAs for centrally</w:t>
      </w:r>
    </w:p>
    <w:p>
      <w:pPr>
        <w:sectPr>
          <w:pgSz w:w="11880" w:h="15480" w:orient="portrait"/>
          <w:cols w:equalWidth="0" w:num="1">
            <w:col w:w="10240"/>
          </w:cols>
          <w:pgMar w:left="820" w:top="8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0240"/>
          </w:cols>
          <w:pgMar w:left="820" w:top="858" w:right="820" w:bottom="0" w:gutter="0" w:footer="0" w:header="0"/>
          <w:type w:val="continuous"/>
        </w:sectPr>
      </w:pPr>
    </w:p>
    <w:bookmarkStart w:id="28" w:name="page29"/>
    <w:bookmarkEnd w:id="28"/>
    <w:p>
      <w:pPr>
        <w:jc w:val="both"/>
        <w:spacing w:after="0" w:line="262" w:lineRule="auto"/>
        <w:rPr>
          <w:sz w:val="20"/>
          <w:szCs w:val="20"/>
          <w:color w:val="auto"/>
        </w:rPr>
      </w:pPr>
      <w:r>
        <w:rPr>
          <w:rFonts w:ascii="Arial" w:cs="Arial" w:eastAsia="Arial" w:hAnsi="Arial"/>
          <w:sz w:val="18"/>
          <w:szCs w:val="18"/>
          <w:color w:val="auto"/>
        </w:rPr>
        <w:t>authorized products were automatically converted or grandfathered into U.K. MAs, effective in GB (only), free of charge on January 1, 2021, unless the MA holder has opted out. In order to use the centralized procedure to obtain a MA that will be valid throughout the EEA, companies must be established in the EEA. Therefore since Brexit, without first establishing an EEA entity, companies established in the U.K. can no longer use the EU centralized procedure and instead an EEA entity must hold any centralized MAs .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A new international recognition framework has been in place from January 1, 2024, whereby the MHRA will have regard to decisions on the approval of MAs made by the EMA and certain other regulators when determining an application for a new GB MA.</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There is no pre-MA orphan designation. Instead, the MHRA will review applications for orphan designation in parallel to the corresponding MA application. The criteria are essentially the same, but have been tailored for the market, i.e., the prevalence of the condition in GB, rather than the EU, must not be more than five in 10,000. Should an orphan designation be granted, the period of market exclusivity will be set from the date of first approval of the product in GB.</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Healthcare Laws</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In addition to FDA restrictions on marketing of pharmaceutical and biological products, other U.S. federal and state healthcare regulatory laws restrict business practices in the pharmaceutical industry, which include, but are not limited to, state and federal anti-kickback, false claims and physician payment and drug pricing transparency laws. Similar laws exist in foreign jurisdictions.</w:t>
      </w:r>
    </w:p>
    <w:p>
      <w:pPr>
        <w:spacing w:after="0" w:line="83"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addition, a person or entity does not need to have actual knowledge of the statute or specific intent to violate it in order to have committed a violation.</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federal false claims laws, including the civil False Claims Act,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Moreover, a claim including items or services resulting from a violation of the U.S. federal Anti-Kickback Statue constitutes a false or fraudulent claim for the purposes of the federal civil False Claims Act.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7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w:t>
      </w:r>
    </w:p>
    <w:p>
      <w:pPr>
        <w:sectPr>
          <w:pgSz w:w="11880" w:h="15480" w:orient="portrait"/>
          <w:cols w:equalWidth="0" w:num="1">
            <w:col w:w="10240"/>
          </w:cols>
          <w:pgMar w:left="820" w:top="8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0240"/>
          </w:cols>
          <w:pgMar w:left="820" w:top="858" w:right="820" w:bottom="0" w:gutter="0" w:footer="0" w:header="0"/>
          <w:type w:val="continuous"/>
        </w:sectPr>
      </w:pPr>
    </w:p>
    <w:bookmarkStart w:id="29" w:name="page30"/>
    <w:bookmarkEnd w:id="29"/>
    <w:p>
      <w:pPr>
        <w:jc w:val="both"/>
        <w:spacing w:after="0" w:line="237" w:lineRule="auto"/>
        <w:rPr>
          <w:sz w:val="20"/>
          <w:szCs w:val="20"/>
          <w:color w:val="auto"/>
        </w:rPr>
      </w:pPr>
      <w:r>
        <w:rPr>
          <w:rFonts w:ascii="Arial" w:cs="Arial" w:eastAsia="Arial" w:hAnsi="Arial"/>
          <w:sz w:val="20"/>
          <w:szCs w:val="20"/>
          <w:color w:val="auto"/>
        </w:rPr>
        <w:t>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addition, there has been a recent trend of increased federal and state regulation of payments made to physicians and certain other healthcare providers. The Physician Payments Sunshine Act imposes, among other things, annual reporting requirements for covered manufacturers for certain payments and "transfers of value" provided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significant civil monetary penalties and additional penalties for "knowing failures." Covered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 or tracking and reporting of gifts, compensation and other remuneration or items of value provided to physicians and other healthcare professionals and entities.</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Violations of any such laws or any other governmental regulations that apply may result in significant criminal, civil and administrative penalties, including damages, fines, the possibility of exclusion from federal healthcare programs (including Medicare and Medicaid), disgorgement and corporate integrity agreements, which impose, among other things, rigorous operational and monitoring requirements on companies to resolve allegations of non-compliance with these laws.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fraud and abuse laws. Moreover, analogous state and foreign laws and regulations may be broader in scope than the provisions described above and may apply regardless of payor. These laws and regulations may differ from one another in significant ways, thus further complicating compliance efforts. For instance, in the EU, many EU member states have adopted specific anti-gift statutes that further limit commercial practices for medicinal products,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pharmaceutical companies. Certain countries also mandate implementation of commercial compliance programs, or require disclosure of marketing expenditures and pricing information. Violation of any of such laws or any other governmental regulations that apply may result in penalties, including, without limitation, significant administrative, civil and criminal penalties, damages, fines, disgorgement, additional reporting obligations and oversight if a manufacturer becomes subject to a corporate integrity agreement or other agreement to resolve allegations of non-compliance with these laws, the curtailment or restructuring of operations, exclusion from participation in governmental healthcare programs and imprisonment.</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Coverage and Reimbursement</w:t>
      </w:r>
    </w:p>
    <w:p>
      <w:pPr>
        <w:spacing w:after="0" w:line="11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United States, 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w:t>
      </w:r>
    </w:p>
    <w:p>
      <w:pPr>
        <w:sectPr>
          <w:pgSz w:w="11880" w:h="15480" w:orient="portrait"/>
          <w:cols w:equalWidth="0" w:num="1">
            <w:col w:w="10240"/>
          </w:cols>
          <w:pgMar w:left="820" w:top="8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240"/>
          </w:cols>
          <w:pgMar w:left="820" w:top="858" w:right="820" w:bottom="0" w:gutter="0" w:footer="0" w:header="0"/>
          <w:type w:val="continuous"/>
        </w:sectPr>
      </w:pPr>
    </w:p>
    <w:bookmarkStart w:id="30" w:name="page31"/>
    <w:bookmarkEnd w:id="30"/>
    <w:p>
      <w:pPr>
        <w:jc w:val="both"/>
        <w:spacing w:after="0" w:line="237" w:lineRule="auto"/>
        <w:rPr>
          <w:sz w:val="20"/>
          <w:szCs w:val="20"/>
          <w:color w:val="auto"/>
        </w:rPr>
      </w:pPr>
      <w:r>
        <w:rPr>
          <w:rFonts w:ascii="Arial" w:cs="Arial" w:eastAsia="Arial" w:hAnsi="Arial"/>
          <w:sz w:val="20"/>
          <w:szCs w:val="20"/>
          <w:color w:val="auto"/>
        </w:rPr>
        <w:t>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8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Further, the increased emphasis on managed care in the United States places additional pressure on product pricing, reimbursement and usage, which may adversely affect our future product sales and results of operations. These pressures can arise from rules and practices of managed care plans, including Medicare Advantage plans, judicial decisions and governmental laws and regulations related to Medicare, Medicaid and healthcare reform, as well as drug coverage and reimbursement policies and pricing in general.</w:t>
      </w:r>
    </w:p>
    <w:p>
      <w:pPr>
        <w:spacing w:after="0" w:line="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In the EU, governments influence the price of products through their pricing and reimbursement rules and control of national health 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 care costs in general, particularly prescription products, has become very intense. As a result, increasingly high barriers are being erected to the entry of new products. In addition, in some countries, cross border imports from low-priced markets exert a commercial pressure on pricing within a country.</w:t>
      </w:r>
    </w:p>
    <w:p>
      <w:pPr>
        <w:spacing w:after="0" w:line="77"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Healthcare Reform</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Patient Protection and Affordable Care Act, as amended by the Health Care and Education Reconciliation Act, or collectively,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w:t>
      </w:r>
    </w:p>
    <w:p>
      <w:pPr>
        <w:spacing w:after="0" w:line="7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on August 2, 2011, the Budget Control Act of 2011 created measures for spending reductions was enacted, which, among other things, included aggregate reductions of Medicare payments to providers, which went into effect on April 1, 2013 and, due to subsequent legislative amendments to the statute, will stay in effect through 2032, with the exception of a temporary suspension from May 1, 2020 through March 31, 2022,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In addition, in March 2021, the American Rescue Plan Act of 2021 was signed into law, which eliminated the statutory Medicaid drug rebate cap, beginning January 1, 2024. The rebate was previously capped at 100% of a drug’s average manufacturer price.</w:t>
      </w:r>
    </w:p>
    <w:p>
      <w:pPr>
        <w:sectPr>
          <w:pgSz w:w="11880" w:h="15480" w:orient="portrait"/>
          <w:cols w:equalWidth="0" w:num="1">
            <w:col w:w="10240"/>
          </w:cols>
          <w:pgMar w:left="820" w:top="8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0240"/>
          </w:cols>
          <w:pgMar w:left="820" w:top="858" w:right="820" w:bottom="0" w:gutter="0" w:footer="0" w:header="0"/>
          <w:type w:val="continuous"/>
        </w:sectPr>
      </w:pPr>
    </w:p>
    <w:bookmarkStart w:id="31" w:name="page32"/>
    <w:bookmarkEnd w:id="31"/>
    <w:p>
      <w:pPr>
        <w:jc w:val="both"/>
        <w:spacing w:after="0" w:line="260" w:lineRule="auto"/>
        <w:rPr>
          <w:sz w:val="20"/>
          <w:szCs w:val="20"/>
          <w:color w:val="auto"/>
        </w:rPr>
      </w:pPr>
      <w:r>
        <w:rPr>
          <w:rFonts w:ascii="Arial" w:cs="Arial" w:eastAsia="Arial" w:hAnsi="Arial"/>
          <w:sz w:val="18"/>
          <w:szCs w:val="18"/>
          <w:color w:val="auto"/>
        </w:rPr>
        <w:t>More recently, there has been heightened governmental scrutiny recently over the manner in which manufacturers set prices for their marketed products, which have resulted in several recent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products. 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(HHS) to implement many of these provisions through guidance, as opposed to regulation, for the initial years. The Centers for Medicare &amp; Medicaid Services (CMS) has published the negotiated prices for the initial ten drugs, which will first be effective in 2026, and the list of the subsequent 15 drugs that will be subject to negotiation, although the Medicare drug price negotiation program is currently subject to legal challenges. While the impact of the IRA on the pharmaceutical industry cannot yet be fully determined, it is likely to be significant.</w:t>
      </w:r>
    </w:p>
    <w:p>
      <w:pPr>
        <w:spacing w:after="0" w:line="6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expect that additional state, federal and foreign healthcare reform measures will be adopted in the future, any of which could limit the amounts that federal and state governments will pay for healthcare products and services, which could result in reduced demand for our products, once approved, or additional price increases. In particular, we anticipate that Medicare Part B will play an important role in the reimbursement of ensifentrine. Changes in how products are reimbursed through Medicare Part B may affect the overall coverage for ensifentrine, if approved. Any reduction in reimbursement from Medicare or other government-funded programs may result in a similar reduction in payments from private payors.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Similar political, economic and regulatory developments are occurring in the EU and may affect the ability of pharmaceutical companies to profitably commercialize their products.</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December 13, 2021, Regulation No 2021/2282 on Health Technology Assessment (“HTA”), amending Directive 2011/24/ 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Data Privacy and Security Laws</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Additional regulation</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certain other countries that impose similar obligations.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 Foreign Corrupt Practices Act</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U.S. Foreign Corrupt Practices Act ("FCPA"), prohibits U.S. corporations and individuals from engaging in certain activities to obtain or retain business abroad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w:t>
      </w:r>
    </w:p>
    <w:p>
      <w:pPr>
        <w:sectPr>
          <w:pgSz w:w="11880" w:h="15480" w:orient="portrait"/>
          <w:cols w:equalWidth="0" w:num="1">
            <w:col w:w="10240"/>
          </w:cols>
          <w:pgMar w:left="820" w:top="8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240"/>
          </w:cols>
          <w:pgMar w:left="820" w:top="858" w:right="820" w:bottom="0" w:gutter="0" w:footer="0" w:header="0"/>
          <w:type w:val="continuous"/>
        </w:sectPr>
      </w:pPr>
    </w:p>
    <w:bookmarkStart w:id="32" w:name="page33"/>
    <w:bookmarkEnd w:id="32"/>
    <w:p>
      <w:pPr>
        <w:jc w:val="both"/>
        <w:spacing w:after="0" w:line="260" w:lineRule="auto"/>
        <w:rPr>
          <w:sz w:val="20"/>
          <w:szCs w:val="20"/>
          <w:color w:val="auto"/>
        </w:rPr>
      </w:pPr>
      <w:r>
        <w:rPr>
          <w:rFonts w:ascii="Arial" w:cs="Arial" w:eastAsia="Arial" w:hAnsi="Arial"/>
          <w:sz w:val="20"/>
          <w:szCs w:val="20"/>
          <w:color w:val="auto"/>
        </w:rPr>
        <w:t>capacity. The scope of the FCPA includes interactions with certain healthcare professionals in many countries. Equivalent laws have been adopted in other foreign countries that impose similar obligations.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December 31, 2024 we had 209 full-time employees. None of our employees is party to a collective bargaining agreement or represented by a trade union or labor union. We consider our relationship with our employees to be good.</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w:t>
      </w:r>
    </w:p>
    <w:p>
      <w:pPr>
        <w:spacing w:after="0" w:line="23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were incorporated in February 2005 as Isis Resources plc under the laws of England and Wales. In September 2006, we acquired Rhinopharma Limited, a private company incorporated in Canada, and changed our name to Verona Pharma plc. Our principal office is located at 3 More London Riverside, London, SE1 2RE, United Kingdom.</w:t>
      </w:r>
    </w:p>
    <w:p>
      <w:pPr>
        <w:spacing w:after="0" w:line="7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We make available our public filings, including annual reports on Form 10-K, quarterly reports on Form 10-Q, current reports on Form 8-K, and any amendments to those reports, with the SEC free of charge through our website at www.veronapharma.com in the “Investors” section as soon as reasonably practicable after we electronically file such material with, or furnish such material to, the SEC. The information contained in, or accessible through, our website does not constitute a part of this Annual Report. The SEC also maintains a website at www.sec.gov that contains reports, proxy statements and other information regarding issuers that file electronically with the SEC, including Verona Pharma plc.</w:t>
      </w:r>
    </w:p>
    <w:p>
      <w:pPr>
        <w:sectPr>
          <w:pgSz w:w="11880" w:h="15480" w:orient="portrait"/>
          <w:cols w:equalWidth="0" w:num="1">
            <w:col w:w="10240"/>
          </w:cols>
          <w:pgMar w:left="820" w:top="85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0240"/>
          </w:cols>
          <w:pgMar w:left="820" w:top="858" w:right="820" w:bottom="0" w:gutter="0" w:footer="0" w:header="0"/>
          <w:type w:val="continuous"/>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Item 1A. Risk Factors</w:t>
      </w:r>
    </w:p>
    <w:p>
      <w:pPr>
        <w:spacing w:after="0" w:line="23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Investing in our ADSs involves a high degree of risk. You should carefully consider the risks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could adversely affect our business, financial condition, results of operations and growth prospects. In such an event, the market price of our ADSs could decline, and you may lose all or part of your investment. Additional risks and uncertainties not presently known to us or that we currently deem immaterial also may impair our business operations.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and Industry</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have a limited operating history and have not generated any significant product revenue.</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a biopharmaceutical company with a limited operating history, and have incurred significant operating losses since our inception. We had net losses of $173.4 million and $54.4 million for the years ended December 31, 2024 and 2023, respectively. As of December 31, 2024, we had an accumulated deficit of $562.4 million. Our losses have resulted principally from expenses incurred in research and development of ensifentrine, and from general and administrative costs that we have incurred while building our business infrastructure. We may continue to incur significant operating losses for the foreseeable future as we expand our research and development efforts, advance our clinical development of ensifentrine in other formulations, and support the commercialization of ensifentrine under the brand name Ohtuvayre™ (ensifentrine), which was approved by the FDA on June 26, 2024 for the maintenance treatment of chronic obstructive pulmonary disease ("COPD”) in adult patients. We generally use “Ohtuvayre” when referring to our FDA-approved version of ensifentrine, and “ensifentrine” when referring to our investigational programs for ensifentrine. We anticipate that our expenses will increase substantially as we:</w:t>
      </w:r>
    </w:p>
    <w:p>
      <w:pPr>
        <w:spacing w:after="0" w:line="62" w:lineRule="exact"/>
        <w:rPr>
          <w:sz w:val="20"/>
          <w:szCs w:val="20"/>
          <w:color w:val="auto"/>
        </w:rPr>
      </w:pPr>
    </w:p>
    <w:p>
      <w:pPr>
        <w:ind w:left="360" w:hanging="356"/>
        <w:spacing w:after="0" w:line="260" w:lineRule="auto"/>
        <w:tabs>
          <w:tab w:leader="none" w:pos="3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initiate and conduct clinical trials of ensifentrine for the treatment of non-cystic fibrosis bronchiectasis (“bronchiectasis”), cystic fibrosis (“CF”), asthma or other indications;</w:t>
      </w:r>
    </w:p>
    <w:p>
      <w:pPr>
        <w:spacing w:after="0" w:line="61" w:lineRule="exact"/>
        <w:rPr>
          <w:rFonts w:ascii="Arial" w:cs="Arial" w:eastAsia="Arial" w:hAnsi="Arial"/>
          <w:sz w:val="20"/>
          <w:szCs w:val="20"/>
          <w:color w:val="auto"/>
        </w:rPr>
      </w:pPr>
    </w:p>
    <w:p>
      <w:pPr>
        <w:jc w:val="both"/>
        <w:ind w:left="360" w:hanging="356"/>
        <w:spacing w:after="0" w:line="316"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and conduct other future clinical trials of ensifentrine in other formulations, including in combination with other active ingredients including fixed-dose combinations, for the treatment of COPD or other indications;</w:t>
      </w:r>
    </w:p>
    <w:p>
      <w:pPr>
        <w:spacing w:after="0" w:line="14" w:lineRule="exact"/>
        <w:rPr>
          <w:rFonts w:ascii="Arial" w:cs="Arial" w:eastAsia="Arial" w:hAnsi="Arial"/>
          <w:sz w:val="18"/>
          <w:szCs w:val="18"/>
          <w:color w:val="auto"/>
        </w:rPr>
      </w:pPr>
    </w:p>
    <w:p>
      <w:pPr>
        <w:ind w:left="360" w:hanging="356"/>
        <w:spacing w:after="0"/>
        <w:tabs>
          <w:tab w:leader="none" w:pos="3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initiate and conduct clinical pharmacology studies with any formulation;</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seek to discover and develop or in-license additional respiratory product candidates;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conduct pre-clinical studies to support ensifentrine and potentially other future product candidates;</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develop the manufacturing processes and produce clinical and commercial supplies of the ensifentrine active pharmaceutical ingredient and formulated drug products derived from it;</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seek additional regulatory approvals of ensifentrine;</w:t>
      </w:r>
    </w:p>
    <w:p>
      <w:pPr>
        <w:spacing w:after="0" w:line="109"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maintain and potentially expand commercial infrastructure to support the commercialization of Ohtuvayre, including sales, marketing, operations, reimbursement, distribution and manufacturing capabilities to commercialize Ohtuvayre;</w:t>
      </w:r>
    </w:p>
    <w:p>
      <w:pPr>
        <w:spacing w:after="0" w:line="75" w:lineRule="exact"/>
        <w:rPr>
          <w:rFonts w:ascii="Arial" w:cs="Arial" w:eastAsia="Arial" w:hAnsi="Arial"/>
          <w:sz w:val="20"/>
          <w:szCs w:val="20"/>
          <w:color w:val="auto"/>
        </w:rPr>
      </w:pPr>
    </w:p>
    <w:p>
      <w:pPr>
        <w:ind w:left="360" w:hanging="356"/>
        <w:spacing w:after="0"/>
        <w:tabs>
          <w:tab w:leader="none" w:pos="3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maintain, expand and protect our intellectual property portfolio;</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secure, maintain or obtain freedom to operate for our in-licensed technologies and products;</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add clinical, scientific, operational, financial and management information systems and personnel, including personnel to support our product development and commercialization efforts; and</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expand our operations to support commercialization and research activities in the U.S. and elsewhere.</w:t>
      </w:r>
    </w:p>
    <w:p>
      <w:pPr>
        <w:spacing w:after="0" w:line="12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Our expenses may also increase substantially if we experience any delays or encounter any issues with any of the above, including, but not limited to, failed pre-clinical studies or clinical trials, complex results, safety issues, manufacturing difficulties, inadequate quantity or quality of ensifentrine for our clinical trials or finished drug product, or regulatory challenges.</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devoted substantially all of our financial resources and efforts to the research and development, pre-clinical studies and clinical trials, and commercialization of Ohtuvayre for the maintenance treatment of COPD of adults in the U.S. We are continuing the development of ensifentrine in other formulations and for other targeted indications, and to support commercialization of Ohtuvayre in other territories, if and when approved in such territories.</w:t>
      </w:r>
    </w:p>
    <w:p>
      <w:pPr>
        <w:sectPr>
          <w:pgSz w:w="11880" w:h="15480" w:orient="portrait"/>
          <w:cols w:equalWidth="0" w:num="1">
            <w:col w:w="9360"/>
          </w:cols>
          <w:pgMar w:left="1260" w:top="85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9360"/>
          </w:cols>
          <w:pgMar w:left="1260" w:top="850" w:right="1260" w:bottom="0" w:gutter="0" w:footer="0" w:header="0"/>
          <w:type w:val="continuous"/>
        </w:sectPr>
      </w:pPr>
    </w:p>
    <w:bookmarkStart w:id="34" w:name="page35"/>
    <w:bookmarkEnd w:id="34"/>
    <w:p>
      <w:pPr>
        <w:jc w:val="both"/>
        <w:spacing w:after="0" w:line="246" w:lineRule="auto"/>
        <w:rPr>
          <w:sz w:val="20"/>
          <w:szCs w:val="20"/>
          <w:color w:val="auto"/>
        </w:rPr>
      </w:pPr>
      <w:r>
        <w:rPr>
          <w:rFonts w:ascii="Arial" w:cs="Arial" w:eastAsia="Arial" w:hAnsi="Arial"/>
          <w:sz w:val="19"/>
          <w:szCs w:val="19"/>
          <w:color w:val="auto"/>
        </w:rPr>
        <w:t>To become and remain profitable, we must succeed in developing our product candidates and commercializing our product, Ohtuvayre, and any other products for which we may receive regulatory approval that generate significant revenue. This will require us to be successful in a range of challenging activities, including completing clinical trials of ensifentrine in other formulations and other targeted indications, discovering and developing additional product candidates, obtaining additional regulatory approvals for ensifentrine and for any future product candidates that successfully complete clinical trials, establishing manufacturing, commercial and marketing capabilities and ultimately distributing and selling any products for which we obtain regulatory approval, including our approved product Ohtuvayre. We are only in the preliminary stages of some of these activities, such as the commercialization of Ohtuvayre. We may never succeed in these activities and, even if we do, we may never generate revenue that is significant enough to achieve profitability.</w:t>
      </w:r>
    </w:p>
    <w:p>
      <w:pPr>
        <w:spacing w:after="0" w:line="7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the European Medicines Agency (“EMA”), or other regulatory authorities to perform studies in addition to those we currently anticipate, or if there are any delays in completing our planned clinical trials or the development of ensifentrine in additional formulations or for other targeted indications, or any other product candidates, our expenses could increase and revenue could be further delayed.</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Ohtuvayre is our only product approved for marketing. It is approved in the U.S. but is not approved in any other jurisdiction, and may never receive approval in other jurisdictions. We may not be successful in obtaining regulatory approval for any additional products, and Ohtuvayre may never generate revenues sufficient to achieve or sustain profitability. The net losses we incur may fluctuate significantly from quarter to quarter and year to year. Our failure to achieve or sustain profitability would depress the market price of our ADSs and could impair our ability to raise capital, expand our business, diversify our product offerings or continue our operations. A decline in the market price of our ADSs also could cause our ADS holders to lose all or a part of their investment.</w:t>
      </w:r>
    </w:p>
    <w:p>
      <w:pPr>
        <w:spacing w:after="0" w:line="5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i w:val="1"/>
          <w:iCs w:val="1"/>
          <w:color w:val="auto"/>
        </w:rPr>
        <w:t>We may need additional funding to complete development and commercialization of any future product candidates and to continue to commercialize Ohtuvayre. If we are unable to raise capital when needed, or if a failure of any financial institution where we maintain our cash and cash equivalents prevents or delays us from accessing uninsured funds, we could be forced to delay, reduce or eliminate our product development programs or commercialization efforts.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our expenses to increase in connection with our ongoing and planned activities, particularly as we continue to commercialize Ohtuvayre, and conduct clinical trials of ensifentrine in other formulations and for other targeted indications. We expect to incur significant commercialization expenses related to activities including product positioning studies, product manufacturing, medical affairs, marketing, sales and distribution. Furthermore, we expect to incur ongoing costs associated with operating as a public company in the U.S. and maintaining a listing on the Nasdaq Global Market, or Nasdaq. Accordingly, we may need to obtain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estimate that our existing cash resources, our product sales and additional funding received and expected to become available under the 2024 Term Loans and the RIPSA will be sufficient to fund our operating expenses and capital expenditure requirements for at least the next 12 months from the date of issuance of our Consolidated Financial Statements included elsewhere in this Annual Report. Future advances under the 2024 Term Loans and the RIPSA are contingent upon achievement of certain commercial milestones and other specified conditions.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 We maintain the majority of our cash and cash equivalents in accounts with major U.S. and multi-national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Our future capital requirements will depend on many factors, including:</w:t>
      </w:r>
    </w:p>
    <w:p>
      <w:pPr>
        <w:spacing w:after="0" w:line="110" w:lineRule="exact"/>
        <w:rPr>
          <w:sz w:val="20"/>
          <w:szCs w:val="20"/>
          <w:color w:val="auto"/>
        </w:rPr>
      </w:pPr>
    </w:p>
    <w:p>
      <w:pPr>
        <w:ind w:left="360" w:hanging="356"/>
        <w:spacing w:after="0" w:line="287" w:lineRule="auto"/>
        <w:tabs>
          <w:tab w:leader="none" w:pos="3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cost, progress and results of any studies required to support the commercial positioning of Ohtuvayre for the maintenance treatment of COPD in adult patients and any future product candidates;</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9360"/>
          </w:cols>
          <w:pgMar w:left="1260" w:top="858" w:right="1260" w:bottom="0" w:gutter="0" w:footer="0" w:header="0"/>
          <w:type w:val="continuous"/>
        </w:sectPr>
      </w:pPr>
    </w:p>
    <w:bookmarkStart w:id="35" w:name="page36"/>
    <w:bookmarkEnd w:id="35"/>
    <w:p>
      <w:pPr>
        <w:ind w:left="360" w:hanging="356"/>
        <w:spacing w:after="0"/>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number of potential new product candidates we in-license and develop;</w:t>
      </w:r>
    </w:p>
    <w:p>
      <w:pPr>
        <w:spacing w:after="0" w:line="109"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cost, progress and results of any clinical trials evaluating ensifentrine for the treatment of bronchiectasis, CF, asthma or other targeted indications, or for other formulations of ensifentrine, including fixed-dose combination products;</w:t>
      </w:r>
    </w:p>
    <w:p>
      <w:pPr>
        <w:spacing w:after="0" w:line="75"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cost of manufacturing clinical and commercial supplies of the ensifentrine active ingredient and derived formulated drug products and for other formulations of ensifentrine in development;</w:t>
      </w:r>
    </w:p>
    <w:p>
      <w:pPr>
        <w:spacing w:after="0" w:line="61" w:lineRule="exact"/>
        <w:rPr>
          <w:rFonts w:ascii="Arial" w:cs="Arial" w:eastAsia="Arial" w:hAnsi="Arial"/>
          <w:sz w:val="20"/>
          <w:szCs w:val="20"/>
          <w:color w:val="auto"/>
        </w:rPr>
      </w:pPr>
    </w:p>
    <w:p>
      <w:pPr>
        <w:jc w:val="both"/>
        <w:ind w:left="360" w:hanging="356"/>
        <w:spacing w:after="0" w:line="239" w:lineRule="auto"/>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scope, progress, results and costs of pre-clinical development, laboratory testing and clinical trials for ensifentrine in other target indications and of the development of DPI and pMDI formulations of ensifentrine, or fixed-dose combination formulations of ensifentrine for the maintenance treatment of COPD and potentially bronchiectasis, CF, asthma and other respiratory diseases;</w:t>
      </w:r>
    </w:p>
    <w:p>
      <w:pPr>
        <w:spacing w:after="0" w:line="83"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costs involved in growing our organization to the size needed to allow for the research, development and commercialization of ensifentrine or any future product candidates;</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costs, timing and outcomes of current and future commercialization activities, including manufacturing, marketing, sales and distribution, for Ohtuvayre;</w:t>
      </w:r>
    </w:p>
    <w:p>
      <w:pPr>
        <w:spacing w:after="0" w:line="61"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75" w:lineRule="exact"/>
        <w:rPr>
          <w:rFonts w:ascii="Arial" w:cs="Arial" w:eastAsia="Arial" w:hAnsi="Arial"/>
          <w:sz w:val="20"/>
          <w:szCs w:val="20"/>
          <w:color w:val="auto"/>
        </w:rPr>
      </w:pPr>
    </w:p>
    <w:p>
      <w:pPr>
        <w:ind w:left="360" w:hanging="356"/>
        <w:spacing w:after="0"/>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sales price and availability of adequate third-party coverage and reimbursement for Ohtuvayre;</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effect of competing technological and market developments;</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extent to which we acquire or invest in businesses, products and technologies, including entering into licensing or collaboration arrangements for our products;</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any licensing or milestone fees we might have to pay during future development of ensifentrine or any future product candidates;</w:t>
      </w:r>
    </w:p>
    <w:p>
      <w:pPr>
        <w:spacing w:after="0" w:line="61"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selling and marketing activities undertaken in connection with the commercialization of Ohtuvayre, potential commercialization of ensifentrine in other indications or any future product candidates, if approved, and costs involved in the creation of an effective sales and marketing organization;</w:t>
      </w:r>
    </w:p>
    <w:p>
      <w:pPr>
        <w:spacing w:after="0" w:line="75"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amount of revenue we may derive either directly or in the form of royalty payments from future sales of Ohtuvayre or any future product candidates, including ensifentrine in other indications;</w:t>
      </w:r>
    </w:p>
    <w:p>
      <w:pPr>
        <w:spacing w:after="0" w:line="61"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cost of fully developing a sales, marketing and distribution infrastructure and scale up of external manufacturing capabilities to commercialize Ohtuvayre and any product candidates for which we may obtain regulatory approval; and</w:t>
      </w:r>
    </w:p>
    <w:p>
      <w:pPr>
        <w:spacing w:after="0" w:line="75" w:lineRule="exact"/>
        <w:rPr>
          <w:rFonts w:ascii="Arial" w:cs="Arial" w:eastAsia="Arial" w:hAnsi="Arial"/>
          <w:sz w:val="20"/>
          <w:szCs w:val="20"/>
          <w:color w:val="auto"/>
        </w:rPr>
      </w:pPr>
    </w:p>
    <w:p>
      <w:pPr>
        <w:ind w:left="360" w:hanging="356"/>
        <w:spacing w:after="0"/>
        <w:tabs>
          <w:tab w:leader="none" w:pos="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ability to continue to operate as a public company.</w:t>
      </w:r>
    </w:p>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Any additional fundraising efforts may divert our management from their day-to-day activities, which may adversely affect our ability to develop and commercialize Ohtuvayre or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8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If we are unable to obtain funding on a timely basis, we may be required to significantly curtail, delay or discontinue our research and development programs relating to ensifentrine or any commercialization efforts, be unable to expand our operations, or be unable to otherwise capitalize on our business opportunities, as desired, which could harm our business and potentially cause us to discontinue operations.</w:t>
      </w:r>
    </w:p>
    <w:p>
      <w:pPr>
        <w:spacing w:after="0" w:line="6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depend solely on the commercial success of Ohtuvayre. If we are unable to generate significant revenue from the sale of Ohtuvayre or successfully develop ensifentrine for other indications, our financial condition will be adversely affected.</w:t>
      </w:r>
    </w:p>
    <w:p>
      <w:pPr>
        <w:spacing w:after="0" w:line="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FDA approved our New Drug Application (“NDA”) for Ohtuvayre for the maintenance treatment of COPD in adult patients on June 26, 2024, and we began generating revenue from the sale of Ohtuvayre in August 2024. We have invested substantially all of our efforts and financial resources on the development of Ohtuvayre and on preparation for its commercial launch, including costs related to commercial drug supply, sales, and marketing, and it is our sole source of revenue. Our ability to achieve profitability depends heavily on its successful</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9360"/>
          </w:cols>
          <w:pgMar w:left="1260" w:top="858" w:right="1260" w:bottom="0" w:gutter="0" w:footer="0" w:header="0"/>
          <w:type w:val="continuous"/>
        </w:sectPr>
      </w:pPr>
    </w:p>
    <w:bookmarkStart w:id="36" w:name="page37"/>
    <w:bookmarkEnd w:id="36"/>
    <w:p>
      <w:pPr>
        <w:jc w:val="both"/>
        <w:spacing w:after="0" w:line="245" w:lineRule="auto"/>
        <w:rPr>
          <w:sz w:val="20"/>
          <w:szCs w:val="20"/>
          <w:color w:val="auto"/>
        </w:rPr>
      </w:pPr>
      <w:r>
        <w:rPr>
          <w:rFonts w:ascii="Arial" w:cs="Arial" w:eastAsia="Arial" w:hAnsi="Arial"/>
          <w:sz w:val="20"/>
          <w:szCs w:val="20"/>
          <w:color w:val="auto"/>
        </w:rPr>
        <w:t>commercialization. In addition, we have not submitted a marketing authorization application (“MAA”) to the EMA or comparable applications to other regulatory authorities for Ohtuvayre. The success of Ohtuvayre will depend on many factors, including the following:</w:t>
      </w:r>
    </w:p>
    <w:p>
      <w:pPr>
        <w:spacing w:after="0" w:line="75" w:lineRule="exact"/>
        <w:rPr>
          <w:sz w:val="20"/>
          <w:szCs w:val="20"/>
          <w:color w:val="auto"/>
        </w:rPr>
      </w:pPr>
    </w:p>
    <w:p>
      <w:pPr>
        <w:ind w:left="360" w:hanging="356"/>
        <w:spacing w:after="0" w:line="260" w:lineRule="auto"/>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potential and perceived efficacy and potential advantages over alternative treatments, including over direct competitors;</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prevalence and severity of any side effects, including any limitations or warnings contained in a product’s approved labeling;</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relative convenience and ease of administration;</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willingness of the target patient population to try new therapies and of physicians to prescribe these therapies;</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strength of marketing and distribution support and timing of market introduction of competitive products;</w:t>
      </w:r>
    </w:p>
    <w:p>
      <w:pPr>
        <w:spacing w:after="0" w:line="121" w:lineRule="exact"/>
        <w:rPr>
          <w:rFonts w:ascii="Arial" w:cs="Arial" w:eastAsia="Arial" w:hAnsi="Arial"/>
          <w:sz w:val="19"/>
          <w:szCs w:val="19"/>
          <w:color w:val="auto"/>
        </w:rPr>
      </w:pPr>
    </w:p>
    <w:p>
      <w:pPr>
        <w:ind w:left="360" w:hanging="356"/>
        <w:spacing w:after="0"/>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ability to offer Ohtuvayre for sale at a competitive price;</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publicity concerning our product, or competing products and treatments;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availability of third-party coverage and adequate reimbursement for Ohtuvayre;</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possible occurrence of adverse clinical findings or decreased effectiveness of our product over time identified during continued monitoring and evaluation of patients;</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any restrictions on the use of our product together with other medications;</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ability of our CMOs and supply chain to maintain sufficient quantity and quality, and uninterrupted supply, of Ohtuvayre;</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ability to timely scale up manufacturing capabilities through current or additional sources to support any increase in market demand;</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unexpected manufacturing issues, product performance issues or stability issues;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interactions of our product with other medicines patients are taking;</w:t>
      </w:r>
    </w:p>
    <w:p>
      <w:pPr>
        <w:spacing w:after="0" w:line="109" w:lineRule="exact"/>
        <w:rPr>
          <w:rFonts w:ascii="Arial" w:cs="Arial" w:eastAsia="Arial" w:hAnsi="Arial"/>
          <w:sz w:val="20"/>
          <w:szCs w:val="20"/>
          <w:color w:val="auto"/>
        </w:rPr>
      </w:pPr>
    </w:p>
    <w:p>
      <w:pPr>
        <w:ind w:left="360" w:hanging="356"/>
        <w:spacing w:after="0" w:line="287" w:lineRule="auto"/>
        <w:tabs>
          <w:tab w:leader="none" w:pos="3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mix of private and governmental payers coverage, particularly if the percentage of patients receiving reimbursement from state Medicaid is high since such process can be slower to reimburse; and</w:t>
      </w:r>
    </w:p>
    <w:p>
      <w:pPr>
        <w:spacing w:after="0" w:line="37" w:lineRule="exact"/>
        <w:rPr>
          <w:rFonts w:ascii="Arial" w:cs="Arial" w:eastAsia="Arial" w:hAnsi="Arial"/>
          <w:sz w:val="19"/>
          <w:szCs w:val="19"/>
          <w:color w:val="auto"/>
        </w:rPr>
      </w:pPr>
    </w:p>
    <w:p>
      <w:pPr>
        <w:jc w:val="both"/>
        <w:ind w:left="360" w:hanging="356"/>
        <w:spacing w:after="0" w:line="252" w:lineRule="auto"/>
        <w:tabs>
          <w:tab w:leader="none" w:pos="3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continuing efforts of governmental and other third-party payors to contain, reduce or shift the costs of healthcare through various means, including an increased emphasis on managed care and attempts to limit or regulate the price of medical products and services, particularly for new and innovative products and therapies, any of which may result in downward pressure on pricing, reimbursement and utilization, which may adversely affect our product sales and results of operations.</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Even if a product displays a favorable efficacy and safety profile in clinical studies, market acceptance of the product will not be known until some period after it is launched. Our efforts to educate the medical community and payers on the benefits of Ohtuvayre may require significant resources and may never be successful. Our efforts to educate the marketplace may require more resources than are required by the conventional technologies marketed by our competitors. Any of these factors may cause Ohtuvayre to be unsuccessful or less successful than anticipated.</w:t>
      </w:r>
    </w:p>
    <w:p>
      <w:pPr>
        <w:spacing w:after="0" w:line="5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success of any product candidates, including our planned and ongoing development programs for ensifentrine, will depend on many factors, including the following:</w:t>
      </w:r>
    </w:p>
    <w:p>
      <w:pPr>
        <w:spacing w:after="0" w:line="61" w:lineRule="exact"/>
        <w:rPr>
          <w:sz w:val="20"/>
          <w:szCs w:val="20"/>
          <w:color w:val="auto"/>
        </w:rPr>
      </w:pPr>
    </w:p>
    <w:p>
      <w:pPr>
        <w:ind w:left="360" w:hanging="356"/>
        <w:spacing w:after="0" w:line="260" w:lineRule="auto"/>
        <w:tabs>
          <w:tab w:leader="none" w:pos="3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may not be able to demonstrate that a product candidate is safe and effective as a treatment for our targeted indications to the satisfaction of the applicable regulatory authorities;</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applicable regulatory authorities may require additional pre-clinical or clinical trials, which would increase our costs and prolong our development;</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results of clinical trials of a product candidate may not meet the level of statistical or clinical significance required by the applicable regulatory authorities for marketing approval;</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applicable regulatory authorities may disagree with the number, design, size, conduct or implementation of our clinical trials;</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9360"/>
          </w:cols>
          <w:pgMar w:left="1260" w:top="858" w:right="1260" w:bottom="0" w:gutter="0" w:footer="0" w:header="0"/>
          <w:type w:val="continuous"/>
        </w:sectPr>
      </w:pPr>
    </w:p>
    <w:bookmarkStart w:id="37" w:name="page38"/>
    <w:bookmarkEnd w:id="37"/>
    <w:p>
      <w:pPr>
        <w:ind w:left="360" w:hanging="356"/>
        <w:spacing w:after="0" w:line="260" w:lineRule="auto"/>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contract research organizations (“CROs”) that we retain to conduct clinical trials may take actions outside of our control that materially adversely impact our clinical trials;</w:t>
      </w:r>
    </w:p>
    <w:p>
      <w:pPr>
        <w:spacing w:after="0" w:line="61"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applicable regulatory authorities may not find the data from pre-clinical studies and clinical trials sufficient to demonstrate that the clinical and other benefits of a product candidate outweigh its safety risks or may disagree with our interpretation of data;</w:t>
      </w:r>
    </w:p>
    <w:p>
      <w:pPr>
        <w:spacing w:after="0" w:line="75" w:lineRule="exact"/>
        <w:rPr>
          <w:rFonts w:ascii="Arial" w:cs="Arial" w:eastAsia="Arial" w:hAnsi="Arial"/>
          <w:sz w:val="20"/>
          <w:szCs w:val="20"/>
          <w:color w:val="auto"/>
        </w:rPr>
      </w:pPr>
    </w:p>
    <w:p>
      <w:pPr>
        <w:ind w:left="360" w:hanging="356"/>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demonstrate a non-clinical safety profile that is acceptable to the applicable regulatory authorities;</w:t>
      </w:r>
    </w:p>
    <w:p>
      <w:pPr>
        <w:spacing w:after="0" w:line="132" w:lineRule="exact"/>
        <w:rPr>
          <w:rFonts w:ascii="Arial" w:cs="Arial" w:eastAsia="Arial" w:hAnsi="Arial"/>
          <w:sz w:val="18"/>
          <w:szCs w:val="18"/>
          <w:color w:val="auto"/>
        </w:rPr>
      </w:pPr>
    </w:p>
    <w:p>
      <w:pPr>
        <w:ind w:left="360" w:hanging="356"/>
        <w:spacing w:after="0"/>
        <w:tabs>
          <w:tab w:leader="none" w:pos="3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unexpected operational or clinical issues may prevent completion or interpretation of clinical study results;</w:t>
      </w:r>
    </w:p>
    <w:p>
      <w:pPr>
        <w:spacing w:after="0" w:line="121" w:lineRule="exact"/>
        <w:rPr>
          <w:rFonts w:ascii="Arial" w:cs="Arial" w:eastAsia="Arial" w:hAnsi="Arial"/>
          <w:sz w:val="19"/>
          <w:szCs w:val="19"/>
          <w:color w:val="auto"/>
        </w:rPr>
      </w:pPr>
    </w:p>
    <w:p>
      <w:pPr>
        <w:ind w:left="360" w:hanging="356"/>
        <w:spacing w:after="0" w:line="260" w:lineRule="auto"/>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unexpected manufacturing issues, product performance issues or stability issues may delay or otherwise adversely affect the progress of our clinical development program;</w:t>
      </w:r>
    </w:p>
    <w:p>
      <w:pPr>
        <w:spacing w:after="0" w:line="61" w:lineRule="exact"/>
        <w:rPr>
          <w:rFonts w:ascii="Arial" w:cs="Arial" w:eastAsia="Arial" w:hAnsi="Arial"/>
          <w:sz w:val="20"/>
          <w:szCs w:val="20"/>
          <w:color w:val="auto"/>
        </w:rPr>
      </w:pPr>
    </w:p>
    <w:p>
      <w:pPr>
        <w:jc w:val="both"/>
        <w:ind w:left="360" w:hanging="356"/>
        <w:spacing w:after="0" w:line="239" w:lineRule="auto"/>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if regulatory authorities determine that inspections of the manufacturing facilities or clinical sites for our product candidates are required in connection with a marketing application, and such regulatory authorities are unable to conduct such inspections, whether due to travel restrictions or geopolitical conflict, including war and terrorism, such as the ongoing conflicts in Europe and the Middle East;</w:t>
      </w:r>
    </w:p>
    <w:p>
      <w:pPr>
        <w:spacing w:after="0" w:line="83"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applicable regulatory authorities may not accept data generated at our clinical trial sites due to Good Clinical Practice (“GCP”) compliance issues, misconduct, or other reasons;</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applicable regulatory authorities may require development of a risk evaluation and mitigation strategy (“REMS”) or similar risk management measures as a condition of approval;</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applicable regulatory authorities may identify deficiencies in the manufacturing processes or facilities of our third-party manufacturers;</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applicable regulatory authorities may change their approval policies or adopt new regulations;</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if we license a product candidate to others, the efforts of those parties in completing clinical trials of, receiving regulatory approval for, and commercializing that product candidate;</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through our clinical trials, we may discover factors that limit the commercial viability of a product candidate or make the commercialization of such product candidate unfeasible;</w:t>
      </w:r>
    </w:p>
    <w:p>
      <w:pPr>
        <w:spacing w:after="0" w:line="61"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if we retain rights under a collaboration agreement for a product candidate, our efforts in completing pre-clinical studies and clinical trials of, receiving marketing approvals for, establishing commercial manufacturing capabilities for, and commercializing such product candidate; and</w:t>
      </w:r>
    </w:p>
    <w:p>
      <w:pPr>
        <w:spacing w:after="0" w:line="75"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if approved, acceptance of a product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 unfavorable outcome in any of these factors could result in our experiencing significant delays or an inability to successfully commercialize our product candidates.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manufacture and market our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59"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We have received FDA approval to commercialize ensifentrine in the U.S. for the maintenance treatment of COPD in adult patients under the brand name Ohtuvayre. We may in the future seek regulatory approval to commercialize ensifentrine in the European Union (“EU”) and additional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of ensifentrine, and we cannot predict success in these jurisdictions.</w:t>
      </w:r>
    </w:p>
    <w:p>
      <w:pPr>
        <w:spacing w:after="0" w:line="7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Our limited operating history may make it difficult for investors to evaluate the success of our business to date and to assess our future viability.</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9360"/>
          </w:cols>
          <w:pgMar w:left="1260" w:top="858" w:right="1260" w:bottom="0" w:gutter="0" w:footer="0" w:header="0"/>
          <w:type w:val="continuous"/>
        </w:sectPr>
      </w:pPr>
    </w:p>
    <w:bookmarkStart w:id="38" w:name="page39"/>
    <w:bookmarkEnd w:id="38"/>
    <w:p>
      <w:pPr>
        <w:jc w:val="both"/>
        <w:spacing w:after="0" w:line="261" w:lineRule="auto"/>
        <w:rPr>
          <w:sz w:val="20"/>
          <w:szCs w:val="20"/>
          <w:color w:val="auto"/>
        </w:rPr>
      </w:pPr>
      <w:r>
        <w:rPr>
          <w:rFonts w:ascii="Arial" w:cs="Arial" w:eastAsia="Arial" w:hAnsi="Arial"/>
          <w:sz w:val="18"/>
          <w:szCs w:val="18"/>
          <w:color w:val="auto"/>
        </w:rPr>
        <w:t>Since our inception in 2005, we have devoted substantially all of our resources to developing ensifentrine, building our intellectual property portfolio, developing our supply chain, planning our business, raising capital and providing general and administrative support for these operations. We have completed multiple Phase 1 and 2 clinical trials with different formulations of ensifentrine and for different indications, and two registrational Phase 3 clinical trials with nebulized ensifentrine for the maintenance treatment of COPD. While we have received approval for marketing ensifentrine in the U.S. for the maintenance treatment of COPD in adults, we are in the early stages of sales, marketing and distribution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 factors, many of which are beyond our control. Consequently, any predictions investors make about our future success or viability may not be as accurate as they could be if we had a longer operating history.</w:t>
      </w:r>
    </w:p>
    <w:p>
      <w:pPr>
        <w:spacing w:after="0" w:line="5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The terms of our credit facility place restrictions on our operating and financial flexibility, and our existing and any future indebtedness could adversely affect our ability to operate our business.</w:t>
      </w:r>
    </w:p>
    <w:p>
      <w:pPr>
        <w:spacing w:after="0" w:line="5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On May 9, 2024 (the “2024 Effective Date”), Verona Pharma, Inc. entered into a term loan facility of up to $400.0 million (the “2024 Term Loans” or the “2024 Term Loan Agreement”), with Oaktree Fund Administration, LLC, a Delaware limited liability company, as administrative agent, (in such capacity, the “Agent”) and certain funds managed by each of Oaktree Capital Management, L.P. (“Oaktree”) and OCM Life Sciences Portfolio LP (“OMERS”) party thereto (collectively the “2024 Lenders”). We received net proceeds of $68.6 million related to the Tranche B Term Loan on June 28, 2024 following FDA approval of Ohtuvayre. Each advance under the 2024 Term Loans accrues interest at a per annum rate equal to 11.00%.</w:t>
      </w:r>
    </w:p>
    <w:p>
      <w:pPr>
        <w:spacing w:after="0" w:line="7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Our outstanding indebtedness, including any additional indebtedness incurred beyond our borrowings under the 2024 Term Loans, combined with our other financial obligations and contractual commitments could have significant adverse consequences, including:</w:t>
      </w:r>
    </w:p>
    <w:p>
      <w:pPr>
        <w:spacing w:after="0" w:line="75" w:lineRule="exact"/>
        <w:rPr>
          <w:sz w:val="20"/>
          <w:szCs w:val="20"/>
          <w:color w:val="auto"/>
        </w:rPr>
      </w:pPr>
    </w:p>
    <w:p>
      <w:pPr>
        <w:jc w:val="both"/>
        <w:ind w:left="360" w:hanging="356"/>
        <w:spacing w:after="0" w:line="245" w:lineRule="auto"/>
        <w:tabs>
          <w:tab w:leader="none" w:pos="3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requiring us to dedicate a portion of our cash resources to the payment of interest and principal, reducing money available to fund working capital, capital expenditures, product candidate development and other general corporate purposes;</w:t>
      </w:r>
    </w:p>
    <w:p>
      <w:pPr>
        <w:spacing w:after="0" w:line="75" w:lineRule="exact"/>
        <w:rPr>
          <w:rFonts w:ascii="Arial" w:cs="Arial" w:eastAsia="Arial" w:hAnsi="Arial"/>
          <w:sz w:val="20"/>
          <w:szCs w:val="20"/>
          <w:color w:val="auto"/>
        </w:rPr>
      </w:pPr>
    </w:p>
    <w:p>
      <w:pPr>
        <w:ind w:left="360" w:hanging="356"/>
        <w:spacing w:after="0"/>
        <w:tabs>
          <w:tab w:leader="none" w:pos="3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increasing our vulnerability to adverse changes in general economic, industry and market conditions;</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subjecting us to restrictive covenants that may reduce our ability to take certain corporate actions or obtain further debt or equity financing;</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increasing our need to meet minimum net sales requirements when our future sales are uncertain;</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limiting our flexibility in planning for, or reacting to, changes in our business and the industry in which we compete; and</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placing us at a competitive disadvantage compared to our competitors that have less debt or better debt servicing options.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We intend to satisfy our current and future debt service obligations with our then existing cash and cash equivalents. However, we may not have sufficient funds, and may be unable to arrange for additional financing, to pay the amounts due under the 2024 Term Loans or any other debt instruments. Failure to satisfy our current and future debt obligations, including covenants to take or avoid specific actions, under the 2024 Term Loan Agreement could result in an event of default and, as a result, the 2024 Lenders could accelerate all of the amounts due. In the event of an acceleration of amounts due under the 2024 Term Loan Agreement as a result of an event of default, we may not have sufficient funds or may be unable to arrange for additional financing to repay our indebtedness while still pursuing our current business strategy. In addition, the 2024 Lenders could seek to enforce their security interests in any collateral securing such indebtedness.</w:t>
      </w:r>
    </w:p>
    <w:p>
      <w:pPr>
        <w:spacing w:after="0" w:line="75"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Further, if we are liquidated, the 2024 Lenders’ right to repayment would be senior to the rights of holders of our ADSs or our ordinary shares to receive any proceeds from the liquidation. Any declaration by the 2024 Lenders of an event of default could significantly harm our business and prospects and could cause the price of our ADS to decline. In addition, the covenants under the 2024 Term Loan Agreement, the pledge of our assets (including our intellectual property) as collateral could limit our ability to obtain additional debt financing. If we raise any additional debt financing, the terms of such additional debt could further restrict our operating and financial flexibility.</w:t>
      </w:r>
    </w:p>
    <w:p>
      <w:pPr>
        <w:spacing w:after="0" w:line="73"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i w:val="1"/>
          <w:iCs w:val="1"/>
          <w:color w:val="auto"/>
        </w:rPr>
        <w:t>The terms of the RIPSA place restrictions on our operating and financial flexibility, and if we fail to comply with certain covenants in the RIPSA, our results of operations and financial condition may be harmed.</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9360"/>
          </w:cols>
          <w:pgMar w:left="1260" w:top="858" w:right="1260" w:bottom="0" w:gutter="0" w:footer="0" w:header="0"/>
          <w:type w:val="continuous"/>
        </w:sectPr>
      </w:pPr>
    </w:p>
    <w:bookmarkStart w:id="39" w:name="page40"/>
    <w:bookmarkEnd w:id="39"/>
    <w:p>
      <w:pPr>
        <w:jc w:val="both"/>
        <w:spacing w:after="0" w:line="257" w:lineRule="auto"/>
        <w:rPr>
          <w:sz w:val="20"/>
          <w:szCs w:val="20"/>
          <w:color w:val="auto"/>
        </w:rPr>
      </w:pPr>
      <w:r>
        <w:rPr>
          <w:rFonts w:ascii="Arial" w:cs="Arial" w:eastAsia="Arial" w:hAnsi="Arial"/>
          <w:sz w:val="18"/>
          <w:szCs w:val="18"/>
          <w:color w:val="auto"/>
        </w:rPr>
        <w:t>On May 9, 2024, Verona Pharma plc and Verona Pharma, Inc. (collectively, the “Sellers”) entered into a revenue interest purchase and sale agreement (as amended by that certain First Amendment to Revenue Interest Purchase and Sale Agreement, dated as of November 7, 2024, the “RIPSA”) with Oaktree Fund Administration, LLC, as administrative agent, and certain funds managed by each of Oaktree and OMERS party thereto (collectively, the “Purchasers”). Under the terms of the RIPSA, in exchange for the Purchasers’ payment to us of a purchase price of $100 million in the aggregate, upon approval of ensifentrine by the FDA by a specified date and subject to certain labeling conditions (the “Tranche A Purchase Price”), the Sellers agreed to a true sale of assigned interests to the Purchasers, including a right for the Purchasers to receive 6.50% on global net sales of ensifentrine by the Sellers and 5% on certain proceeds the Sellers receive from licenses engaged during the term of the RIPSA outside of the U.S. The Tranche A Purchase Price of $100.0 million was received on June 28, 2024 following FDA approval of Ohtuvayre. We are also eligible to receive an additional funding tranche equal to $150 million upon achievement of a specified net sales milestone in any trailing six-month period after receipt of the Tranche A Purchase Price. The RIPSA contains covenants that impose on us certain obligations with respect to payment, diligence, reporting, intellectual property, license agreements, and certain other actions, as well as indemnification obligations. Among other things, these covenants require us to use commercially reasonable efforts to develop and commercialize ensifentrine in the U.S. and each major jurisdiction in which a marketing authorization is obtained, and limit our ability to create or incur liens or dispose of certain assets related to ensifentrine. Compliance with these covenants may limit our flexibility in operating our business and our ability to take actions that might otherwise be advantageous to us and our shareholders, including the holders of our ADSs. Pursuant to the RIPSA and related security agreement, we granted to the Purchasers a second-priority lien in certain of our intellectual property assets and other related assets to secure our obligations under the RIPSA. If we are unable to comply with our obligations, the Purchasers could seek to enforce their security interest in such assets.</w:t>
      </w:r>
    </w:p>
    <w:p>
      <w:pPr>
        <w:spacing w:after="0" w:line="8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Further, the RIPSA and our payment obligations to the Purchasers could have important negative consequences to holders of our securities. For example, a portion of our cash flow from operations will be needed to make required payments to the Purchasers and will not be available to fund future operations.</w:t>
      </w:r>
    </w:p>
    <w:p>
      <w:pPr>
        <w:spacing w:after="0" w:line="7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Payment requirements under the RIPSA will increase our cash outflows.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 would result in dilution to our shareholders. There is no assurance that if we are required to secure funding we can do so on terms acceptable to us, or at all. Failure to pay amounts owed to the Purchasers when due would result in a default under the RIPSA and could result in foreclosure on all or substantially all of our assets, which would have a material adverse effect.</w:t>
      </w:r>
    </w:p>
    <w:p>
      <w:pPr>
        <w:spacing w:after="0" w:line="5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Raising additional capital may cause dilution to our holders, restrict our operations or require us to relinquish rights to our technologies or product candidates.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the ownership interest of our ADS holders and shareholders will be diluted, and the terms of these securities may include liquidation or other preferences that adversely affect these holders’ rights as holders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to decline</w:t>
      </w:r>
      <w:r>
        <w:rPr>
          <w:rFonts w:ascii="Arial" w:cs="Arial" w:eastAsia="Arial" w:hAnsi="Arial"/>
          <w:sz w:val="18"/>
          <w:szCs w:val="18"/>
          <w:b w:val="1"/>
          <w:bCs w:val="1"/>
          <w:i w:val="1"/>
          <w:iCs w:val="1"/>
          <w:color w:val="auto"/>
        </w:rPr>
        <w:t>.</w:t>
      </w:r>
    </w:p>
    <w:p>
      <w:pPr>
        <w:spacing w:after="0" w:line="5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Our business may become subject to economic, political, regulatory and other risks associated with international operations.</w:t>
      </w:r>
    </w:p>
    <w:p>
      <w:pPr>
        <w:spacing w:after="0" w:line="5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As a company based in the U.K. and whose securities are listed on Nasdaq, our business is subject to risks associated with conducting business internationally. Many of our suppliers and collaborative and clinical trial relationships are located outside the U.K. and the U.S. Accordingly, our future results could be harmed by a variety of factors, including:</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9360"/>
          </w:cols>
          <w:pgMar w:left="1260" w:top="858" w:right="1260" w:bottom="0" w:gutter="0" w:footer="0" w:header="0"/>
          <w:type w:val="continuous"/>
        </w:sectPr>
      </w:pPr>
    </w:p>
    <w:bookmarkStart w:id="40" w:name="page41"/>
    <w:bookmarkEnd w:id="40"/>
    <w:p>
      <w:pPr>
        <w:ind w:left="360" w:hanging="356"/>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2" w:lineRule="exact"/>
        <w:rPr>
          <w:rFonts w:ascii="Arial" w:cs="Arial" w:eastAsia="Arial" w:hAnsi="Arial"/>
          <w:sz w:val="18"/>
          <w:szCs w:val="18"/>
          <w:color w:val="auto"/>
        </w:rPr>
      </w:pPr>
    </w:p>
    <w:p>
      <w:pPr>
        <w:ind w:left="360" w:hanging="356"/>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differing regulatory requirements for drug approvals in non-U.S. countries;</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differing jurisdictions could present different issues for securing, maintaining or obtaining freedom to operate in such jurisdictions;</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potentially reduced protection for intellectual property rights;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difficulties in compliance with non-U.S. laws and regulations;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changes in non-U.S. regulations and customs, tariffs and trade barriers;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changes in non-U.S. currency exchange rates of the euro and currency controls;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changes in a specific country’s or region’s political or economic environment;</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w:t>
      </w:r>
    </w:p>
    <w:p>
      <w:pPr>
        <w:spacing w:after="0" w:line="132" w:lineRule="exact"/>
        <w:rPr>
          <w:rFonts w:ascii="Arial" w:cs="Arial" w:eastAsia="Arial" w:hAnsi="Arial"/>
          <w:sz w:val="18"/>
          <w:szCs w:val="18"/>
          <w:color w:val="auto"/>
        </w:rPr>
      </w:pPr>
    </w:p>
    <w:p>
      <w:pPr>
        <w:ind w:left="360" w:hanging="356"/>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U.S. governments;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differing reimbursement regimes and price controls in certain non-U.S. markets;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negative consequences from changes in tax laws;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compliance with tax, employment, immigration and labor laws for employees living or traveling abroad;</w:t>
      </w:r>
    </w:p>
    <w:p>
      <w:pPr>
        <w:spacing w:after="0" w:line="121" w:lineRule="exact"/>
        <w:rPr>
          <w:rFonts w:ascii="Arial" w:cs="Arial" w:eastAsia="Arial" w:hAnsi="Arial"/>
          <w:sz w:val="19"/>
          <w:szCs w:val="19"/>
          <w:color w:val="auto"/>
        </w:rPr>
      </w:pPr>
    </w:p>
    <w:p>
      <w:pPr>
        <w:ind w:left="360" w:hanging="356"/>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workforce uncertainty in countries where labor unrest is more common than in the U.S.;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2" w:lineRule="exact"/>
        <w:rPr>
          <w:rFonts w:ascii="Arial" w:cs="Arial" w:eastAsia="Arial" w:hAnsi="Arial"/>
          <w:sz w:val="18"/>
          <w:szCs w:val="18"/>
          <w:color w:val="auto"/>
        </w:rPr>
      </w:pPr>
    </w:p>
    <w:p>
      <w:pPr>
        <w:ind w:left="360" w:hanging="356"/>
        <w:spacing w:after="0" w:line="260" w:lineRule="auto"/>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production shortages resulting from any events affecting raw material supply or manufacturing capabilities abroad; and</w:t>
      </w:r>
    </w:p>
    <w:p>
      <w:pPr>
        <w:spacing w:after="0" w:line="61"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business interruptions resulting from geopolitical actions, including war and terrorism, such as the ongoing conflicts in Europe and the Middle East, natural disasters including earthquakes, typhoons, floods and fires, or public health emergencies.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Exchange rate fluctuations may materially affect our results of operations and financial condition.</w:t>
      </w:r>
    </w:p>
    <w:p>
      <w:pPr>
        <w:spacing w:after="0" w:line="119"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Although we are based in the U.K., our financial statements are denominated in U.S. dollars and many of our business activities are carried out with partners outside the U.S. and U.K. and these transactions may be denominated in another currency.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Development, Clinical Testing and Regulatory Approval</w:t>
      </w:r>
    </w:p>
    <w:p>
      <w:pPr>
        <w:spacing w:after="0" w:line="228"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i w:val="1"/>
          <w:iCs w:val="1"/>
          <w:color w:val="auto"/>
        </w:rPr>
        <w:t>Clinical drug development and regulatory approval involve a lengthy and expensive process, with uncertain outcomes. We may incur additional costs or experience delays in completing, or ultimately be unable to complete, the development and regulatory approval of our product candidates.</w:t>
      </w:r>
    </w:p>
    <w:p>
      <w:pPr>
        <w:spacing w:after="0" w:line="5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Clinical drug development is a lengthy and expensive process with uncertain timelines and uncertain outcomes. If clinical trials of our product candidates, including our ensifentrine programs for additional targeted indications and formulations, are prolonged or delayed, or if such clinical trials fail to show the safety and efficacy required by regulatory authorities, we or our collaborators may be unable to obtain required regulatory approvals and be unable to commercialize our product candidates on a timely basis, or at all.</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obtain the requisite regulatory approvals to market and sell our product candidates, we or any collaborator must demonstrate through extensive pre-clinical studies and clinical trials that such product candidates are safe and effective in humans. Clinical testing is expensive and can take many years to complete, and its outcome is inherently uncertain. Failure can occur at any time during the clinical trial process. The results of pre-clinical studies and early-stage clinical trials of product candidates may not be predictive of the results of later-stage clinical trials. Product candidates in later stages of clinical trials may fail to show the desired safety and efficacy traits despite having progressed through pre-clinical studies and initial clinical trials. Regulators’ interpretations of results may differ from our own, and expectations can change over time while a product is in clinical development.</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9360"/>
          </w:cols>
          <w:pgMar w:left="1260" w:top="858" w:right="1260" w:bottom="0" w:gutter="0" w:footer="0" w:header="0"/>
          <w:type w:val="continuous"/>
        </w:sectPr>
      </w:pPr>
    </w:p>
    <w:bookmarkStart w:id="41" w:name="page42"/>
    <w:bookmarkEnd w:id="41"/>
    <w:p>
      <w:pPr>
        <w:jc w:val="both"/>
        <w:spacing w:after="0" w:line="239" w:lineRule="auto"/>
        <w:rPr>
          <w:sz w:val="20"/>
          <w:szCs w:val="20"/>
          <w:color w:val="auto"/>
        </w:rPr>
      </w:pPr>
      <w:r>
        <w:rPr>
          <w:rFonts w:ascii="Arial" w:cs="Arial" w:eastAsia="Arial" w:hAnsi="Arial"/>
          <w:sz w:val="20"/>
          <w:szCs w:val="20"/>
          <w:color w:val="auto"/>
        </w:rPr>
        <w:t>A number of companies in the biopharmaceutical industry have suffered significant setbacks in advanced clinical trials due to lack of efficacy or adverse safety profiles, notwithstanding promising results in earlier trials. The FDA may require us to conduct additional pre-clinical studies or clinical trials that may not be successful, or may not be considered successful by regulators.</w:t>
      </w:r>
    </w:p>
    <w:p>
      <w:pPr>
        <w:spacing w:after="0" w:line="8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If we wish to commercialize ensifentrine in territories other than the U.S., the regulatory authorities in such territories may require us to conduct additional pre-clinical studies or clinical trials beyond those we successfully completed to obtain FDA approval of Ohtuvayre, and if we wish to commercialize ensifentrine in other formulations or for other targeted indications, we will also be required to conduct further clinical studies in the U.S. to support potential FDA approvals for such targeted indications and formulations.</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may experience delays in clinical trials of ensifentrine in different formulations, including fixed-dose combinations, and we do not know whether planned clinical trials will begin on time, need to be redesigned, enroll patients on time or be completed on schedule, if at all. Our clinical trials can be delayed, suspended, or terminated, or the utility of data from these trials may be compromised, for a variety of reasons, including the following:</w:t>
      </w:r>
    </w:p>
    <w:p>
      <w:pPr>
        <w:spacing w:after="0" w:line="51" w:lineRule="exact"/>
        <w:rPr>
          <w:sz w:val="20"/>
          <w:szCs w:val="20"/>
          <w:color w:val="auto"/>
        </w:rPr>
      </w:pPr>
    </w:p>
    <w:p>
      <w:pPr>
        <w:ind w:left="360" w:hanging="356"/>
        <w:spacing w:after="0" w:line="260" w:lineRule="auto"/>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inability to generate sufficient preclinical, toxicology, drug product characterizations or other in vivo or in vitro data to support the initiation or continuation of clinical trials;</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delays in or failure to obtain regulatory agreement on clinical trial design or implementation, including dose and frequency of administration;</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delays in or failure to obtain regulatory authorization to commence a trial;</w:t>
      </w:r>
    </w:p>
    <w:p>
      <w:pPr>
        <w:spacing w:after="0" w:line="109"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75"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inability of a CRO to meet their contracted obligations regarding subject enrollment, data collection, data monitoring, laboratory sample management, programming and analysis or other activities;</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delays in or failure to obtain institutional review board (“IRB”), or ethics committee approval or positive opinion at each site;</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delays in or failure to recruit suitable patients to participate in a trial;</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failure to have patients complete a trial or return for post-treatment follow-up;</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clinical sites deviating from trial protocol or dropping out of a trial or committing gross misconduct or fraud;</w:t>
      </w:r>
    </w:p>
    <w:p>
      <w:pPr>
        <w:spacing w:after="0" w:line="121" w:lineRule="exact"/>
        <w:rPr>
          <w:rFonts w:ascii="Arial" w:cs="Arial" w:eastAsia="Arial" w:hAnsi="Arial"/>
          <w:sz w:val="19"/>
          <w:szCs w:val="19"/>
          <w:color w:val="auto"/>
        </w:rPr>
      </w:pPr>
    </w:p>
    <w:p>
      <w:pPr>
        <w:ind w:left="360" w:hanging="356"/>
        <w:spacing w:after="0"/>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delays to the addition of new clinical trial sites;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inability to achieve or maintain double-blinding, when required by the applicable clinical trial protocol;</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unexpected technical issues during manufacture;</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variability in drug product performance and/or stability;</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discoveries that may reduce the commercial viability of the product candidate;</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inability to manufacture sufficient quantities of the applicable product candidates for use in clinical trials;</w:t>
      </w:r>
    </w:p>
    <w:p>
      <w:pPr>
        <w:spacing w:after="0" w:line="121" w:lineRule="exact"/>
        <w:rPr>
          <w:rFonts w:ascii="Arial" w:cs="Arial" w:eastAsia="Arial" w:hAnsi="Arial"/>
          <w:sz w:val="19"/>
          <w:szCs w:val="19"/>
          <w:color w:val="auto"/>
        </w:rPr>
      </w:pPr>
    </w:p>
    <w:p>
      <w:pPr>
        <w:ind w:left="360" w:hanging="356"/>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 for either safety or efficacy;</w:t>
      </w:r>
    </w:p>
    <w:p>
      <w:pPr>
        <w:spacing w:after="0" w:line="132" w:lineRule="exact"/>
        <w:rPr>
          <w:rFonts w:ascii="Arial" w:cs="Arial" w:eastAsia="Arial" w:hAnsi="Arial"/>
          <w:sz w:val="18"/>
          <w:szCs w:val="18"/>
          <w:color w:val="auto"/>
        </w:rPr>
      </w:pPr>
    </w:p>
    <w:p>
      <w:pPr>
        <w:ind w:left="360" w:hanging="356"/>
        <w:spacing w:after="0" w:line="260" w:lineRule="auto"/>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third-party actions claiming infringement by the product candidate in clinical trials and obtaining injunctions interfering with our progress;</w:t>
      </w:r>
    </w:p>
    <w:p>
      <w:pPr>
        <w:spacing w:after="0" w:line="61"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business interruptions resulting from geo-political actions, including war and terrorism, such as the ongoing conflicts in Europe and the Middle East, or natural disasters and other extreme weather-related events including earthquakes, hurricanes, typhoons, floods and fires;</w:t>
      </w:r>
    </w:p>
    <w:p>
      <w:pPr>
        <w:spacing w:after="0" w:line="75"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trade sanctions imposed by the U.S. or other governments impacting our ability to transfer money to certain countries, such as Russia, to pay clinical trials sites in those countries;</w:t>
      </w:r>
    </w:p>
    <w:p>
      <w:pPr>
        <w:spacing w:after="0" w:line="61" w:lineRule="exact"/>
        <w:rPr>
          <w:rFonts w:ascii="Arial" w:cs="Arial" w:eastAsia="Arial" w:hAnsi="Arial"/>
          <w:sz w:val="20"/>
          <w:szCs w:val="20"/>
          <w:color w:val="auto"/>
        </w:rPr>
      </w:pPr>
    </w:p>
    <w:p>
      <w:pPr>
        <w:ind w:left="360" w:hanging="356"/>
        <w:spacing w:after="0" w:line="287" w:lineRule="auto"/>
        <w:tabs>
          <w:tab w:leader="none" w:pos="3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safety or tolerability concerns causing us or our collaborators, as applicable, to suspend or terminate a trial if we or our collaborators find that the participants are being exposed to unacceptable health risks;</w:t>
      </w:r>
    </w:p>
    <w:p>
      <w:pPr>
        <w:spacing w:after="0" w:line="37" w:lineRule="exact"/>
        <w:rPr>
          <w:rFonts w:ascii="Arial" w:cs="Arial" w:eastAsia="Arial" w:hAnsi="Arial"/>
          <w:sz w:val="19"/>
          <w:szCs w:val="19"/>
          <w:color w:val="auto"/>
        </w:rPr>
      </w:pPr>
    </w:p>
    <w:p>
      <w:pPr>
        <w:ind w:left="360" w:hanging="356"/>
        <w:spacing w:after="0"/>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changes in regulatory requirements, policies and guidelines;</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9360"/>
          </w:cols>
          <w:pgMar w:left="1260" w:top="858" w:right="1260" w:bottom="0" w:gutter="0" w:footer="0" w:header="0"/>
          <w:type w:val="continuous"/>
        </w:sectPr>
      </w:pPr>
    </w:p>
    <w:bookmarkStart w:id="42" w:name="page43"/>
    <w:bookmarkEnd w:id="42"/>
    <w:p>
      <w:pPr>
        <w:ind w:left="360" w:hanging="356"/>
        <w:spacing w:after="0"/>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lower than anticipated retention rates of patients and volunteers in clinical trials;</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failure of our third-party research contractors to comply with regulatory requirements or to meet their contractual obligations to us in a timely manner, or at all; and</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difficulty in certain countries in identifying the populations that we are trying to evaluate in a particular trial, which may delay enrollment.</w:t>
      </w:r>
    </w:p>
    <w:p>
      <w:pPr>
        <w:spacing w:after="0" w:line="6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8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w:t>
      </w:r>
    </w:p>
    <w:p>
      <w:pPr>
        <w:spacing w:after="0" w:line="8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If we experience delays in the completion of any clinical trial of ensifentrine for any indication, or of any other product candidate, or any clinical trial of ensifentrine or any other product candidate is terminated, the commercial prospects of such product candidates may be harmed, and our ability to generate product revenues, if any, will be delayed. Moreover, any delays in completing our clinical trials will increase our costs, slow down the development and approval process and jeopardize our ability to commence product sales and generate revenue, if any. Significant clinical trial delays could also allow our competitors to bring products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any product candidate.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(or other ethics committees) at the medical institutions where the clinical trials are conducted. In addition, clinical trials must be conducted with supplies of the product candidate produced under current good manufacturing practice (“cGMP”) and similar foreign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9360"/>
          </w:cols>
          <w:pgMar w:left="1260" w:top="858" w:right="1260" w:bottom="0" w:gutter="0" w:footer="0" w:header="0"/>
          <w:type w:val="continuous"/>
        </w:sectPr>
      </w:pPr>
    </w:p>
    <w:bookmarkStart w:id="43" w:name="page44"/>
    <w:bookmarkEnd w:id="43"/>
    <w:p>
      <w:pPr>
        <w:jc w:val="both"/>
        <w:spacing w:after="0" w:line="265" w:lineRule="auto"/>
        <w:rPr>
          <w:sz w:val="20"/>
          <w:szCs w:val="20"/>
          <w:color w:val="auto"/>
        </w:rPr>
      </w:pPr>
      <w:r>
        <w:rPr>
          <w:rFonts w:ascii="Arial" w:cs="Arial" w:eastAsia="Arial" w:hAnsi="Arial"/>
          <w:sz w:val="18"/>
          <w:szCs w:val="18"/>
          <w:color w:val="auto"/>
        </w:rPr>
        <w:t>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spacing w:after="0" w:line="5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It is currently unclear to what extent the U.K. will seek to align its regulations with the EU. The U.K. regulatory framework in relation to clinical trials is derived from the now-repealed EU Clinical Trials Directive (as implemented into U.K. law, through the Medicines for Human Use (Clinical Trials) Regulations 2004, as amended).</w:t>
      </w:r>
    </w:p>
    <w:p>
      <w:pPr>
        <w:spacing w:after="0" w:line="4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extent to which the regulation of clinical trials in the U.K. will mirror the (EU) CTR in the long term is not yet certain, however, on December 12, 2024, the U.K. government introduced a legislative proposal - the Medicines for Human Use (Clinical Trials) Amendment Regulations 2024 - that, if implemented, will replace the current regulatory framework for clinical trials in the U.K. The U.K. government has provided the legislative proposal to the U.K. Parliament for its review and approval. Once the legislative proposal is approved (with or without amendment), it will be adopted into U.K. law which is expected in early 2026. A decision by the U.K. not to closely align its regulations with the new approach that has been adopted in the EU may have an effect on the cost of conducting clinical trials in the U.K. compared with other countries.</w:t>
      </w:r>
    </w:p>
    <w:p>
      <w:pPr>
        <w:spacing w:after="0" w:line="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we are slow or unable to adapt to changes in existing requirements or the adoption of new requirements or policies governing clinical trials, our development plans may be impacted.</w:t>
      </w:r>
    </w:p>
    <w:p>
      <w:pPr>
        <w:spacing w:after="0" w:line="5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i w:val="1"/>
          <w:iCs w:val="1"/>
          <w:color w:val="auto"/>
        </w:rPr>
        <w:t>Our product and product candidates may have serious adverse, undesirable or unacceptable side effects which may delay or prevent marketing approval. If such side effects are identified during product development or following approval, if any, we may need to abandon our development programs, the commercial profile of any approved label may be limited, or we may be subject to other significant negative consequences following marketing approval, if any.</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Undesirable side effects that may be caused by a product or product candidate could cause us or regulatory authorities to interrupt, delay or halt clinical trials and could result in a more restrictive or less desirable label or the delay or denial of regulatory approval by the FDA or other comparable foreign authorities. 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 We have completed more than twenty Phase 1, 2 and 3 clinical trials of ensifentrine. In these trials, some patients have experienced mild to moderate adverse reactions, including urinary tract infection, back pain, hypertension, and diarrhea. An increase in psychiatric adverse events were reported with use of ensifentrine, although such events were rare and a causal relationship between ensifentrine and increased rates of psychiatric events could not be established at the time of FDA approval of Ohtuvayre.</w:t>
      </w:r>
    </w:p>
    <w:p>
      <w:pPr>
        <w:spacing w:after="0" w:line="6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Results of our future clinical trials could reveal a high and unacceptable severity and prevalence of adverse side effects. In such an event, our trials could be suspended or terminated and the FDA or other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Additionally, if we or others identify undesirable or unacceptable side effects following regulatory approval, a number of potentially significant negative consequences could result, including:</w:t>
      </w:r>
    </w:p>
    <w:p>
      <w:pPr>
        <w:spacing w:after="0" w:line="72" w:lineRule="exact"/>
        <w:rPr>
          <w:sz w:val="20"/>
          <w:szCs w:val="20"/>
          <w:color w:val="auto"/>
        </w:rPr>
      </w:pPr>
    </w:p>
    <w:p>
      <w:pPr>
        <w:ind w:left="360" w:hanging="356"/>
        <w:spacing w:after="0"/>
        <w:tabs>
          <w:tab w:leader="none" w:pos="3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regulatory authorities may withdraw approvals of such products and require us to take them off the market;</w:t>
      </w:r>
    </w:p>
    <w:p>
      <w:pPr>
        <w:spacing w:after="0" w:line="121" w:lineRule="exact"/>
        <w:rPr>
          <w:rFonts w:ascii="Arial" w:cs="Arial" w:eastAsia="Arial" w:hAnsi="Arial"/>
          <w:sz w:val="19"/>
          <w:szCs w:val="19"/>
          <w:color w:val="auto"/>
        </w:rPr>
      </w:pPr>
    </w:p>
    <w:p>
      <w:pPr>
        <w:ind w:left="360" w:hanging="356"/>
        <w:spacing w:after="0" w:line="260" w:lineRule="auto"/>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regulatory authorities may require the addition of labeling statements, specific warnings, a contraindication or field alerts to physicians and pharmacies;</w:t>
      </w:r>
    </w:p>
    <w:p>
      <w:pPr>
        <w:spacing w:after="0" w:line="61"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regulatory authorities may require a medication guide outlining the risks of such side effects for distribution to patients, or that we implement a REMS plan or similar risk management measures to ensure that the benefits of ensifentrine outweigh its risks;</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9360"/>
          </w:cols>
          <w:pgMar w:left="1260" w:top="858" w:right="1260" w:bottom="0" w:gutter="0" w:footer="0" w:header="0"/>
          <w:type w:val="continuous"/>
        </w:sectPr>
      </w:pPr>
    </w:p>
    <w:bookmarkStart w:id="44" w:name="page45"/>
    <w:bookmarkEnd w:id="44"/>
    <w:p>
      <w:pPr>
        <w:ind w:left="360" w:hanging="356"/>
        <w:spacing w:after="0" w:line="260"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we may be required to change the way a product is administered, conduct additional clinical trials or change the labeling of the product;</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we may be subject to limitations on how we may promote a product;</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product sales may be adversely impacted;</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we may be subject to litigation or product liability claims; and</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reputation may suffer.</w:t>
      </w:r>
    </w:p>
    <w:p>
      <w:pPr>
        <w:spacing w:after="0" w:line="11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Any of these events could prevent us or any collaborators from achieving or maintaining market acceptance of any approved products, including Ohtuvayre, or could have significant negative consequences on the commercialization of such products, which in turn could delay or prevent us from generating significant revenue from the sale of such products.</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auto"/>
        </w:rPr>
        <w:t>We may not be successful in our efforts to develop ensifentrine in different formulations, including fixed-dose combinations, and/or for other targeted indications, including bronchiectasis, CF, asthma or other respiratory diseases.</w:t>
      </w:r>
    </w:p>
    <w:p>
      <w:pPr>
        <w:spacing w:after="0" w:line="7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Part of our strategy is to continue to develop ensifentrine in different formulations and in indications other than COPD, such as bronchiectasis, CF and asthma and other formulations including fixed-dose combinations, MDI and DPI. Although our research and development efforts to date have suggested that ensifentrine has the potential to treat bronchiectasis, CF and asthma, we may not be able to successfully develop ensifentrine to address these or any other diseases or conditions. In addition, the potential use of ensifentrine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We may find that it may not be feasible to develop an acceptable combination of ensifentrine with other products, including LAMAs, or that chemical stability or drug product stability does not support further development. If we do not continue to successfully develop, obtain regulatory approval for, and begin to commercialize ensifentrine for additional indications or formulations, we will face difficulty in obtaining product revenues in future periods, which could significantly harm our financial position.</w:t>
      </w:r>
    </w:p>
    <w:p>
      <w:pPr>
        <w:spacing w:after="0" w:line="58" w:lineRule="exact"/>
        <w:rPr>
          <w:sz w:val="20"/>
          <w:szCs w:val="20"/>
          <w:color w:val="auto"/>
        </w:rPr>
      </w:pPr>
    </w:p>
    <w:p>
      <w:pPr>
        <w:jc w:val="both"/>
        <w:spacing w:after="0" w:line="349" w:lineRule="auto"/>
        <w:rPr>
          <w:sz w:val="20"/>
          <w:szCs w:val="20"/>
          <w:color w:val="auto"/>
        </w:rPr>
      </w:pPr>
      <w:r>
        <w:rPr>
          <w:rFonts w:ascii="Arial" w:cs="Arial" w:eastAsia="Arial" w:hAnsi="Arial"/>
          <w:sz w:val="17"/>
          <w:szCs w:val="17"/>
          <w:b w:val="1"/>
          <w:bCs w:val="1"/>
          <w:i w:val="1"/>
          <w:iCs w:val="1"/>
          <w:color w:val="auto"/>
        </w:rPr>
        <w:t>We depend on enrollment of patients in our clinical trials. If we are unable to enroll patients in our clinical trials, or enrollment is slower than anticipated, our research and development efforts could be adversely affected.</w:t>
      </w:r>
    </w:p>
    <w:p>
      <w:pPr>
        <w:jc w:val="both"/>
        <w:spacing w:after="0" w:line="244" w:lineRule="auto"/>
        <w:rPr>
          <w:sz w:val="20"/>
          <w:szCs w:val="20"/>
          <w:color w:val="auto"/>
        </w:rPr>
      </w:pPr>
      <w:r>
        <w:rPr>
          <w:rFonts w:ascii="Arial" w:cs="Arial" w:eastAsia="Arial" w:hAnsi="Arial"/>
          <w:sz w:val="19"/>
          <w:szCs w:val="19"/>
          <w:color w:val="auto"/>
        </w:rPr>
        <w:t>Successful and timely completion of clinical trials will require that we enroll a sufficient number of patient candidates. Trials may be subject to delays as a result of patient enrollment taking longer than anticipated or patient withdrawal and other external factors. Patient enrollment depends on many factors, including the size and nature of the patient population, the severity of the disease under investigation, eligibility criteria for the trial, the proximity of patients to clinical sites, the design of the clinical protocol, the ability to obtain and maintain patient consents, the risk that enrolled patients will drop out of a trial,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Higher than expected numbers of patients could also discontinue participation in the clinical trials. Delays in the completion of any clinical trial will increase our costs, slow down our development and delay or potentially jeopardize our ability to commence product sales and generate revenue. In addition, some of the factors that cause, or lead to, a delay in the commencement or completion of clinical trials may also ultimately lead to the denial of regulatory approval.</w:t>
      </w:r>
    </w:p>
    <w:p>
      <w:pPr>
        <w:spacing w:after="0" w:line="7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auto"/>
        </w:rPr>
        <w:t>We may become exposed to costly and damaging liability claims, either when testing product candidates in the clinic or at the commercial stage, and our product liability insurance may not cover all damages from such claims.</w:t>
      </w:r>
    </w:p>
    <w:p>
      <w:pPr>
        <w:spacing w:after="0" w:line="7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We are exposed to potential product liability and professional indemnity risks that are inherent in the research, development, manufacturing, marketing and use of pharmaceutical products. The current and future use of product candidates by us and any collaborators in clinical trials, and the commercial sale of Ohtuvayre by us or partners, may expose us to liability claims. These claims might be made by patients that use the product, healthcare providers, pharmaceutical companies, our collaborators or others selling Ohtuvayre. Any claims against us, regardless of their merit, could be difficult and costly to defend and could adversely affect the market for Ohtuvayre or any prospects for commercialization of other product candidates. In addition, regardless of the merits or eventual outcome, liability claims may result in:</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9360"/>
          </w:cols>
          <w:pgMar w:left="1260" w:top="858" w:right="1260" w:bottom="0" w:gutter="0" w:footer="0" w:header="0"/>
          <w:type w:val="continuous"/>
        </w:sectPr>
      </w:pPr>
    </w:p>
    <w:bookmarkStart w:id="45" w:name="page46"/>
    <w:bookmarkEnd w:id="45"/>
    <w:p>
      <w:pPr>
        <w:ind w:left="360" w:hanging="356"/>
        <w:spacing w:after="0"/>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decreased demand for Ohtuvayre;</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injury to our reputation and the reputation of Ohtuvayre in the market;</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withdrawal of clinical trial participants;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costs to defend related litigation;</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diversion of management’s time and our resources;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substantial monetary awards to trial participants or patients;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regulatory investigation, product recalls or withdrawals, or labeling, marketing or promotional restrictions;</w:t>
      </w:r>
    </w:p>
    <w:p>
      <w:pPr>
        <w:spacing w:after="0" w:line="121" w:lineRule="exact"/>
        <w:rPr>
          <w:rFonts w:ascii="Arial" w:cs="Arial" w:eastAsia="Arial" w:hAnsi="Arial"/>
          <w:sz w:val="19"/>
          <w:szCs w:val="19"/>
          <w:color w:val="auto"/>
        </w:rPr>
      </w:pPr>
    </w:p>
    <w:p>
      <w:pPr>
        <w:ind w:left="360" w:hanging="356"/>
        <w:spacing w:after="0"/>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loss of revenue; and</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inability to commercialize or promote any approved products, including Ohtuvayre.</w:t>
      </w:r>
    </w:p>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warnings that identify known potential adverse effects and patients who should not use a product.</w:t>
      </w:r>
    </w:p>
    <w:p>
      <w:pPr>
        <w:spacing w:after="0" w:line="8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Although we maintain product liability insurance for our product candidates and commercial products including Ohtuvayre, it is possible that our liabilities could exceed our insurance coverage.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7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i w:val="1"/>
          <w:iCs w:val="1"/>
          <w:color w:val="auto"/>
        </w:rPr>
        <w:t>The regulatory approval processes of the FDA, the EMA and comparable foreign regulatory authorities are lengthy, time consuming and inherently unpredictable, and if we are ultimately unable to obtain regulatory approval for ensifentrine for the maintenance treatment of COPD in adult patients in jurisdictions outside the U.S. or for ensifentrine for additional targeted indications and formulations, our business will be substantially harmed.</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time required to obtain approval by the FDA, the European Commission and comparable foreign regulatory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ensifentrine outside of the U.S. and it is possible that ensifentrine or any product candidates we may develop in the future will never obtain the necessary or desired regulatory approvals.</w:t>
      </w:r>
    </w:p>
    <w:p>
      <w:pPr>
        <w:spacing w:after="0" w:line="5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Prior to obtaining approval to commercialize a product candidate in the U.S. or abroad, we or our collaborators must demonstrate with substantial evidence from well-controlled clinical trials, and to the satisfaction of the FDA or foreign regulatory agencies, that such product candidate is safe and effective for its intended uses. Results from nonclinical studies and clinical trials can be interpreted in different ways. Even if we believe the nonclinical or clinical data for our product candidate are promising, such data may not be sufficient to support approval by the applicable regulatory authority. The FDA or foreign regulatory agencies may also require us to conduct additional preclinical studies or clinical trials prior to or post-approval, or it may object to elements of our clinical development program.</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Product candidates could fail to receive regulatory approval for many reasons, including the following:</w:t>
      </w:r>
    </w:p>
    <w:p>
      <w:pPr>
        <w:spacing w:after="0" w:line="110" w:lineRule="exact"/>
        <w:rPr>
          <w:sz w:val="20"/>
          <w:szCs w:val="20"/>
          <w:color w:val="auto"/>
        </w:rPr>
      </w:pPr>
    </w:p>
    <w:p>
      <w:pPr>
        <w:ind w:left="360" w:hanging="356"/>
        <w:spacing w:after="0" w:line="260" w:lineRule="auto"/>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we may be unable to demonstrate to the satisfaction of the FDA, the EMA or comparable foreign regulatory authorities that a product candidate is safe and effective for its proposed indication;</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we may be unable to demonstrate that a product candidate’s benefits outweigh its safety risks;</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FDA, the EMA or comparable foreign regulatory authorities may disagree with our interpretation of data from pre-clinical studies or clinical trials or may find the data to be unacceptable;</w:t>
      </w:r>
    </w:p>
    <w:p>
      <w:pPr>
        <w:spacing w:after="0" w:line="61"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data collected from clinical trials may, for various reasons, be considered insufficient to support the submission or approval of an NDA or supplemental NDA in the U.S., an MAA or variation in the EU, or other comparable submission to obtain regulatory approval in other countries;</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9360"/>
          </w:cols>
          <w:pgMar w:left="1260" w:top="858" w:right="1260" w:bottom="0" w:gutter="0" w:footer="0" w:header="0"/>
          <w:type w:val="continuous"/>
        </w:sectPr>
      </w:pPr>
    </w:p>
    <w:bookmarkStart w:id="46" w:name="page47"/>
    <w:bookmarkEnd w:id="46"/>
    <w:p>
      <w:pPr>
        <w:ind w:left="360" w:hanging="356"/>
        <w:spacing w:after="0" w:line="287" w:lineRule="auto"/>
        <w:tabs>
          <w:tab w:leader="none" w:pos="3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FDA or comparable foreign regulatory authorities may fail to approve the manufacturing processes or facilities of third-party manufacturers with which we contract for clinical and commercial supplies;</w:t>
      </w:r>
    </w:p>
    <w:p>
      <w:pPr>
        <w:spacing w:after="0" w:line="37" w:lineRule="exact"/>
        <w:rPr>
          <w:rFonts w:ascii="Arial" w:cs="Arial" w:eastAsia="Arial" w:hAnsi="Arial"/>
          <w:sz w:val="19"/>
          <w:szCs w:val="19"/>
          <w:color w:val="auto"/>
        </w:rPr>
      </w:pPr>
    </w:p>
    <w:p>
      <w:pPr>
        <w:jc w:val="both"/>
        <w:ind w:left="360" w:hanging="356"/>
        <w:spacing w:after="0" w:line="245" w:lineRule="auto"/>
        <w:tabs>
          <w:tab w:leader="none" w:pos="3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FDA or comparable regulatory authorities may identify issues of GCP noncompliance or unacceptable practices at clinical sites or CROs participating in our clinical studies, rendering clinical data insufficient to support approval;</w:t>
      </w:r>
    </w:p>
    <w:p>
      <w:pPr>
        <w:spacing w:after="0" w:line="75"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approval policies or regulations of the FDA or comparable foreign regulatory authorities may significantly change in a manner rendering our clinical data insufficient for approval;</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FDA, the EMA or comparable foreign regulatory authorities may disagree with the design or implementation of our clinical trials; and</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FDA, the EMA or comparable foreign regulatory authorities may disagree with our proposed product specifications and performance characteristics.</w:t>
      </w:r>
    </w:p>
    <w:p>
      <w:pPr>
        <w:spacing w:after="0" w:line="6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This lengthy approval process as well as the unpredictability of future clinical trial results may result in our failing to obtain the necessary or desired regulatory approvals for our product candidates. The FDA, the EMA and other regulatory authorities have substantial discretion in the approval process, and determining when or whether regulatory approval will be obtained for our products. Even if we believe the data collected from our clinical trials are promising, such data may not be sufficient to support approval by the FDA, the European Commission or any other regulatory authority.</w:t>
      </w:r>
    </w:p>
    <w:p>
      <w:pPr>
        <w:spacing w:after="0" w:line="8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In addition, even if we receive regulatory approvals for our product candidates, regulatory authorities may approve our product candidates for fewer or more limited indications than we request, may not approve the price we intend to charge, may grant approval contingent on the performance of costly post-marketing clinical trials, or may approve a product candidate with a label that does not include the labeling claims necessary or desirable for successful commercialization. Any of the foregoing scenarios could materially harm the commercial prospects for our product candidates, if approved at all.</w:t>
      </w:r>
    </w:p>
    <w:p>
      <w:pPr>
        <w:spacing w:after="0" w:line="8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biopharmaceutical industry and our business in the long term.</w:t>
      </w:r>
    </w:p>
    <w:p>
      <w:pPr>
        <w:spacing w:after="0" w:line="6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ability of the FDA and comparable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cleared or approved drugs, to be reviewed and/ 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If a prolonged government shutdown occurs, or if global health concerns otherwise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58"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i w:val="1"/>
          <w:iCs w:val="1"/>
          <w:color w:val="auto"/>
        </w:rPr>
        <w:t>Even though the FDA has approved Ohtuvayre, we remain subject to ongoing obligations and continued regulatory review, which may result in significant additional expense. Additionally, Ohtuvayre and any other</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9360"/>
          </w:cols>
          <w:pgMar w:left="1260" w:top="858" w:right="1260" w:bottom="0" w:gutter="0" w:footer="0" w:header="0"/>
          <w:type w:val="continuous"/>
        </w:sectPr>
      </w:pPr>
    </w:p>
    <w:bookmarkStart w:id="47" w:name="page48"/>
    <w:bookmarkEnd w:id="47"/>
    <w:p>
      <w:pPr>
        <w:jc w:val="both"/>
        <w:spacing w:after="0" w:line="323" w:lineRule="auto"/>
        <w:rPr>
          <w:sz w:val="20"/>
          <w:szCs w:val="20"/>
          <w:color w:val="auto"/>
        </w:rPr>
      </w:pPr>
      <w:r>
        <w:rPr>
          <w:rFonts w:ascii="Arial" w:cs="Arial" w:eastAsia="Arial" w:hAnsi="Arial"/>
          <w:sz w:val="18"/>
          <w:szCs w:val="18"/>
          <w:b w:val="1"/>
          <w:bCs w:val="1"/>
          <w:i w:val="1"/>
          <w:iCs w:val="1"/>
          <w:color w:val="auto"/>
        </w:rPr>
        <w:t>approved products could be subject to labeling and other restrictions and market withdrawal and we may be subject to penalties if we fail to comply with regulatory requirements or experience unanticipated problems.</w:t>
      </w:r>
    </w:p>
    <w:p>
      <w:pPr>
        <w:spacing w:after="0" w:line="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 respect to any products approved by the FDA or a comparable foreign regulatory, including Ohtuvayre, the manufacturing processes, labeling, packaging, distribution, adverse event reporting, storage, advertising, promotion and record keeping for such product remains subject to extensive and ongoing regulatory requirements. These requirements include, among other things, payment of annual user fees, submissions of safety and other post-marketing information and reports, facility registration and drug listing, as well as continued compliance with cGMP and similar foreign requirements for the manufacture of the product and GCP requirements for any clinical trials that we conduct post-approval, all of which may result in significant expense and limit our ability to commercialize any approved products, including Ohtuvayre. In addition, any approval we may obtain could include significant limitations related to use, restrictions for specified age groups, warnings, precautions or contraindications, and may include burdensome post-approval study or risk management requirements.</w:t>
      </w:r>
    </w:p>
    <w:p>
      <w:pPr>
        <w:spacing w:after="0" w:line="6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We and our contract manufacturers will also be subject to periodic inspection by the FDA and other regulatory authorities to monitor compliance with these requirements.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72" w:lineRule="exact"/>
        <w:rPr>
          <w:sz w:val="20"/>
          <w:szCs w:val="20"/>
          <w:color w:val="auto"/>
        </w:rPr>
      </w:pPr>
    </w:p>
    <w:p>
      <w:pPr>
        <w:ind w:left="360" w:hanging="356"/>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delays in or the rejection of product approvals;</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restrictions on our ability to conduct clinical trials, including full or partial clinical holds on ongoing or planned trials;</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restrictions on the products, manufacturers or manufacturing process;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warning or untitled letters;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civil and criminal penalties;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injunctions;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suspension or withdrawal of regulatory approvals;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product seizures, detentions or import bans;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voluntary or mandatory product recalls and publicity requirements;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total or partial suspension of production; and</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imposition of restrictions on operations, including costly new manufacturing requirements.</w:t>
      </w:r>
    </w:p>
    <w:p>
      <w:pPr>
        <w:spacing w:after="0" w:line="11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occurrence of any event or penalty described above may inhibit our ability to commercialize our products and generate revenue and could require us to expend significant time and resources in response and could generate negative publicity.</w:t>
      </w:r>
    </w:p>
    <w:p>
      <w:pPr>
        <w:spacing w:after="0" w:line="7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addition,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48"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i w:val="1"/>
          <w:iCs w:val="1"/>
          <w:color w:val="auto"/>
        </w:rPr>
        <w:t>The FDA and other foreign regulatory agencies actively enforce the laws and regulations prohibiting the promotion of off-label uses which may result in significant liability if we are found to have violated such laws.</w:t>
      </w:r>
    </w:p>
    <w:p>
      <w:pPr>
        <w:spacing w:after="0" w:line="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If we are found to have improperly promoted off-label uses for our products, we may become subject to significant liability. 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For example, the FDA has approved Ohtuvayre for the maintenance treatment of COPD in adult patients, and we are not permitted to promote Ohtuvayre for any other uses. Physicians may nevertheless prescribe it to their patients in a manner that is inconsistent with the approved label. If we are found to have promoted such off-label uses, we may become subject to significant liability.</w:t>
      </w:r>
    </w:p>
    <w:p>
      <w:pPr>
        <w:sectPr>
          <w:pgSz w:w="11880" w:h="15480" w:orient="portrait"/>
          <w:cols w:equalWidth="0" w:num="1">
            <w:col w:w="9360"/>
          </w:cols>
          <w:pgMar w:left="1260" w:top="84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9360"/>
          </w:cols>
          <w:pgMar w:left="1260" w:top="848" w:right="1260" w:bottom="0" w:gutter="0" w:footer="0" w:header="0"/>
          <w:type w:val="continuous"/>
        </w:sectPr>
      </w:pPr>
    </w:p>
    <w:bookmarkStart w:id="48" w:name="page49"/>
    <w:bookmarkEnd w:id="48"/>
    <w:p>
      <w:pPr>
        <w:jc w:val="both"/>
        <w:spacing w:after="0" w:line="250" w:lineRule="auto"/>
        <w:rPr>
          <w:sz w:val="20"/>
          <w:szCs w:val="20"/>
          <w:color w:val="auto"/>
        </w:rPr>
      </w:pPr>
      <w:r>
        <w:rPr>
          <w:rFonts w:ascii="Arial" w:cs="Arial" w:eastAsia="Arial" w:hAnsi="Arial"/>
          <w:sz w:val="19"/>
          <w:szCs w:val="19"/>
          <w:color w:val="auto"/>
        </w:rPr>
        <w:t>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Ohtuvayre and any other products for which we may obtain regulatory approval, we could become subject to significant liability, which would materially adversely affect our business and financial condition.</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In Europe, off-label use is not per se regulated by the EU pharmaceutical legislation and a difference is made between the strict regulation of medicinal product and the use of medicinal products in medical practice. Off-label use is deferred to national regulation and may vary depending on the EU member state(s).</w:t>
      </w:r>
    </w:p>
    <w:p>
      <w:pPr>
        <w:spacing w:after="0" w:line="4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We may never obtain approval or commercialize ensifentrine in other major markets outside of the U.S., which would limit our ability to realize its full market potential.</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ensifentrine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While we have received approval in the U.S. for Ohtuvayre for the maintenance treatment of COPD in adult patients, we currently do not have any product candidates approved for sale in any other jurisdiction, whether in the EU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our products will be compromised.</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auto"/>
        </w:rPr>
        <w:t>Our employees and independent contractors, including principal investigators, CROs, consultants, vendors and collaboration partners may engage in misconduct or other improper activities, including noncompliance with regulatory standards and requirements.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CROs, consultants, vendors and collaboration partners may engage in fraudulent conduct or other illegal activities. Misconduct by these parties could include intentional, reckless or negligent conduct or unauthorized activities that violate: (i) the laws and regulations of the FDA, the EU and other similar regulatory bodies, including those laws that require the reporting of true, complete and accurate information to such authorities; (ii) manufacturing standards; (iii) federal and state data privacy, security, fraud and abuse and other healthcare laws and regulations in the U.S.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9360"/>
          </w:cols>
          <w:pgMar w:left="1260" w:top="858" w:right="1260" w:bottom="0" w:gutter="0" w:footer="0" w:header="0"/>
          <w:type w:val="continuous"/>
        </w:sectPr>
      </w:pPr>
    </w:p>
    <w:bookmarkStart w:id="49" w:name="page50"/>
    <w:bookmarkEnd w:id="49"/>
    <w:p>
      <w:pPr>
        <w:jc w:val="both"/>
        <w:spacing w:after="0" w:line="248" w:lineRule="auto"/>
        <w:rPr>
          <w:sz w:val="20"/>
          <w:szCs w:val="20"/>
          <w:color w:val="auto"/>
        </w:rPr>
      </w:pPr>
      <w:r>
        <w:rPr>
          <w:rFonts w:ascii="Arial" w:cs="Arial" w:eastAsia="Arial" w:hAnsi="Arial"/>
          <w:sz w:val="20"/>
          <w:szCs w:val="20"/>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7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w:t>
      </w:r>
    </w:p>
    <w:p>
      <w:pPr>
        <w:spacing w:after="0" w:line="6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5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Healthcare Laws and Other Legal Compliance Matters</w:t>
      </w:r>
    </w:p>
    <w:p>
      <w:pPr>
        <w:spacing w:after="0" w:line="22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Enacted and future legislation and regulation may increase the difficulty and cost for us to commercialize our products and may affect the prices we may set.</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the United States,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(the “ACA”) was enacted, which substantially changes the way healthcare is financed by both governmental and private insurers. Among the provisions of the ACA, those of greatest importance to the pharmaceutical and biotechnology industries include the following:</w:t>
      </w:r>
    </w:p>
    <w:p>
      <w:pPr>
        <w:spacing w:after="0" w:line="59" w:lineRule="exact"/>
        <w:rPr>
          <w:sz w:val="20"/>
          <w:szCs w:val="20"/>
          <w:color w:val="auto"/>
        </w:rPr>
      </w:pPr>
    </w:p>
    <w:p>
      <w:pPr>
        <w:jc w:val="both"/>
        <w:ind w:left="360" w:hanging="356"/>
        <w:spacing w:after="0" w:line="245" w:lineRule="auto"/>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75" w:lineRule="exact"/>
        <w:rPr>
          <w:rFonts w:ascii="Arial" w:cs="Arial" w:eastAsia="Arial" w:hAnsi="Arial"/>
          <w:sz w:val="20"/>
          <w:szCs w:val="20"/>
          <w:color w:val="auto"/>
        </w:rPr>
      </w:pPr>
    </w:p>
    <w:p>
      <w:pPr>
        <w:jc w:val="both"/>
        <w:ind w:left="360" w:hanging="356"/>
        <w:spacing w:after="0" w:line="275"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Medicare Part D coverage gap discount program, which was replaced by a new manufacturer discount program on January 1, 2025 (as discussed below), in which manufacturers were required to agree to offer point-of-sale discounts off negotiated prices of applicable brand drugs to eligible beneficiaries during their coverage gap period, as a condition for the manufacturer’s outpatient drugs to be covered under Medicare Part D;</w:t>
      </w:r>
    </w:p>
    <w:p>
      <w:pPr>
        <w:spacing w:after="0" w:line="50" w:lineRule="exact"/>
        <w:rPr>
          <w:rFonts w:ascii="Arial" w:cs="Arial" w:eastAsia="Arial" w:hAnsi="Arial"/>
          <w:sz w:val="18"/>
          <w:szCs w:val="18"/>
          <w:color w:val="auto"/>
        </w:rPr>
      </w:pPr>
    </w:p>
    <w:p>
      <w:pPr>
        <w:ind w:left="360" w:hanging="356"/>
        <w:spacing w:after="0" w:line="260" w:lineRule="auto"/>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 increase in the statutory minimum rebates a manufacturer must pay under the Medicaid Drug Rebate Program (the “MDRP”);</w:t>
      </w:r>
    </w:p>
    <w:p>
      <w:pPr>
        <w:spacing w:after="0" w:line="61" w:lineRule="exact"/>
        <w:rPr>
          <w:rFonts w:ascii="Arial" w:cs="Arial" w:eastAsia="Arial" w:hAnsi="Arial"/>
          <w:sz w:val="20"/>
          <w:szCs w:val="20"/>
          <w:color w:val="auto"/>
        </w:rPr>
      </w:pPr>
    </w:p>
    <w:p>
      <w:pPr>
        <w:ind w:left="360" w:hanging="356"/>
        <w:spacing w:after="0" w:line="316"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MDRP are calculated for drugs that are inhaled, infused, instilled, implanted or injected and not generally distributed through the retail channel;</w:t>
      </w:r>
    </w:p>
    <w:p>
      <w:pPr>
        <w:spacing w:after="0" w:line="14" w:lineRule="exact"/>
        <w:rPr>
          <w:rFonts w:ascii="Arial" w:cs="Arial" w:eastAsia="Arial" w:hAnsi="Arial"/>
          <w:sz w:val="18"/>
          <w:szCs w:val="18"/>
          <w:color w:val="auto"/>
        </w:rPr>
      </w:pPr>
    </w:p>
    <w:p>
      <w:pPr>
        <w:ind w:left="360" w:hanging="356"/>
        <w:spacing w:after="0" w:line="260" w:lineRule="auto"/>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extension of a manufacturer’s Medicaid rebate liability to covered drugs dispensed to individuals who are enrolled in Medicaid managed care organizations;</w:t>
      </w:r>
    </w:p>
    <w:p>
      <w:pPr>
        <w:sectPr>
          <w:pgSz w:w="11880" w:h="15480" w:orient="portrait"/>
          <w:cols w:equalWidth="0" w:num="1">
            <w:col w:w="9360"/>
          </w:cols>
          <w:pgMar w:left="1260" w:top="84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9360"/>
          </w:cols>
          <w:pgMar w:left="1260" w:top="848" w:right="1260" w:bottom="0" w:gutter="0" w:footer="0" w:header="0"/>
          <w:type w:val="continuous"/>
        </w:sectPr>
      </w:pPr>
    </w:p>
    <w:bookmarkStart w:id="50" w:name="page51"/>
    <w:bookmarkEnd w:id="50"/>
    <w:p>
      <w:pPr>
        <w:jc w:val="both"/>
        <w:ind w:left="360" w:hanging="356"/>
        <w:spacing w:after="0" w:line="245" w:lineRule="auto"/>
        <w:tabs>
          <w:tab w:leader="none" w:pos="3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5"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new Patient-Centered Outcomes Research Institute to oversee, identify priorities in, and conduct comparative clinical effectiveness research, along with funding for such research; and</w:t>
      </w:r>
    </w:p>
    <w:p>
      <w:pPr>
        <w:spacing w:after="0" w:line="61"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establishment of a Center for Medicare and Medicaid Innovation at the Centers for Medicare and Medicaid Services, or CMS, to test innovative payment and service delivery models to lower Medicare and Medicaid spending, potentially including prescription drug spending.</w:t>
      </w:r>
    </w:p>
    <w:p>
      <w:pPr>
        <w:spacing w:after="0" w:line="7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force as it currently exists.</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 addition, other legislative changes have been proposed and adopted in the United States since the ACA was enacted. For example, the Budget Control Act of 2011 has, among other things, led to aggregate reductions of Medicare payments to providers, which, due to subsequent legislative amendments to the statute, will remain in effect through 2032, unless additional action is taken by Congress. The American Taxpayer Relief Act of 2012, among other things, further reduced Medicare payments to several types of providers, including hospitals, imaging centers and cancer treatment centers, and increased the statute of limitations period for the government to recover overpayments to providers from three to five years. In addition, the American Rescue Plan Act of 2021 eliminated the statutory Medicaid drug rebate cap, beginning January 1, 2024. The rebate was previously capped at 100% of a drug’s average manufacturer price. These laws and any laws enacted in the future may result in additional reductions in Medicare and other health care funding, which could have a material adverse effect on our customers and accordingly, our financial operations.</w:t>
      </w:r>
    </w:p>
    <w:p>
      <w:pPr>
        <w:spacing w:after="0" w:line="75"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Most significantly, on August 16, 2022, the Inflation Reduction Act of 2022, or IRA, was signed into law. Among other things, the IRA requires manufacturers of certain drugs to engage in price negotiations with Medicare, with prices that can be negotiated subject to a cap (with resulting prices for the initial ten drugs, which were announced in 2023, first effective in 2026); imposes rebates under Medicare Part B and Medicare Part D to penalize price increases that outpace inflation (first due in 2023); redesigns the Medicare Part D benefit (beginning 2024); and replaces the Part D coverage gap discount program originally established under the ACA with a new discounting program (which began on January 1, 2025). The IRA permits the Secretary of the Department of Health and Human Services, or HHS, to implement many of these provisions through guidance, as opposed to regulation, for the initial years. HHS has and will continue to issue and update guidance as these programs are implemented. CMS has published the negotiated prices for the initial ten drugs, which will first be effective in 2026, and the list of the subsequent 15 drugs that will be subject to negotiation, although the Medicare drug price negotiation program is currently subject to legal challenges. The impact of the IRA on our company and the pharmaceutical industry cannot yet be fully determined but is likely to be significant.</w:t>
      </w:r>
    </w:p>
    <w:p>
      <w:pPr>
        <w:spacing w:after="0" w:line="78"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w:t>
      </w:r>
    </w:p>
    <w:p>
      <w:pPr>
        <w:spacing w:after="0" w:line="8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expect that additional U.S. federal healthcare reform measures will be adopted in the future, any of which could limit the amounts that the U.S. federal government will pay for healthcare products and services, which could result in reduced demand for ensifentrine or additional pricing pressures.</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Individual states in the U.S.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drug price increase disclosure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9360"/>
          </w:cols>
          <w:pgMar w:left="1260" w:top="858" w:right="1260" w:bottom="0" w:gutter="0" w:footer="0" w:header="0"/>
          <w:type w:val="continuous"/>
        </w:sectPr>
      </w:pPr>
    </w:p>
    <w:bookmarkStart w:id="51" w:name="page52"/>
    <w:bookmarkEnd w:id="51"/>
    <w:p>
      <w:pPr>
        <w:jc w:val="both"/>
        <w:spacing w:after="0" w:line="260"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products, if approved. In addition to continuing pressure on prices and cost containment measures, legislative developments at the EU or member state level may result in significant additional requirements or obstacles that may increase our operating costs. The delivery of health 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products, restrict or regulate post-approval activities and affect our ability to commercialize our products, if approved. In international markets, reimbursement and healthcare payment systems vary significantly by country, and many countries have instituted price ceilings on specific products and therapies.</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December 13, 2021, Regulation No 2021/2282 on Health Technology Assessment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w:t>
      </w:r>
    </w:p>
    <w:p>
      <w:pPr>
        <w:spacing w:after="0" w:line="5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8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We cannot predict the likelihood, nature or extent of government regulation that may arise from future legislation or administrative action, either in the U.S. or abroad. If we or our collaborators are slow or unable to adapt to changes in existing requirements or the adoption of new requirements or policies, or if we or our collaborators are not able to maintain regulatory compliance, we may be subject to enforcement action and we may not achieve or sustain profitability.</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7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ensifentrine, if approved. Such laws include:</w:t>
      </w:r>
    </w:p>
    <w:p>
      <w:pPr>
        <w:spacing w:after="0" w:line="84" w:lineRule="exact"/>
        <w:rPr>
          <w:sz w:val="20"/>
          <w:szCs w:val="20"/>
          <w:color w:val="auto"/>
        </w:rPr>
      </w:pPr>
    </w:p>
    <w:p>
      <w:pPr>
        <w:jc w:val="both"/>
        <w:ind w:left="360" w:hanging="356"/>
        <w:spacing w:after="0" w:line="249" w:lineRule="auto"/>
        <w:tabs>
          <w:tab w:leader="none" w:pos="3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71" w:lineRule="exact"/>
        <w:rPr>
          <w:rFonts w:ascii="Arial" w:cs="Arial" w:eastAsia="Arial" w:hAnsi="Arial"/>
          <w:sz w:val="19"/>
          <w:szCs w:val="19"/>
          <w:color w:val="auto"/>
        </w:rPr>
      </w:pPr>
    </w:p>
    <w:p>
      <w:pPr>
        <w:jc w:val="both"/>
        <w:ind w:left="360" w:hanging="356"/>
        <w:spacing w:after="0" w:line="263"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9360"/>
          </w:cols>
          <w:pgMar w:left="1260" w:top="858" w:right="1260" w:bottom="0" w:gutter="0" w:footer="0" w:header="0"/>
          <w:type w:val="continuous"/>
        </w:sectPr>
      </w:pPr>
    </w:p>
    <w:bookmarkStart w:id="52" w:name="page53"/>
    <w:bookmarkEnd w:id="52"/>
    <w:p>
      <w:pPr>
        <w:jc w:val="both"/>
        <w:ind w:left="360" w:hanging="356"/>
        <w:spacing w:after="0" w:line="235" w:lineRule="auto"/>
        <w:tabs>
          <w:tab w:leader="none" w:pos="3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2"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FDCA, which prohibits, among other things, the adulteration or misbranding of drugs, biologics and medical devices;</w:t>
      </w:r>
    </w:p>
    <w:p>
      <w:pPr>
        <w:spacing w:after="0" w:line="61" w:lineRule="exact"/>
        <w:rPr>
          <w:rFonts w:ascii="Arial" w:cs="Arial" w:eastAsia="Arial" w:hAnsi="Arial"/>
          <w:sz w:val="20"/>
          <w:szCs w:val="20"/>
          <w:color w:val="auto"/>
        </w:rPr>
      </w:pPr>
    </w:p>
    <w:p>
      <w:pPr>
        <w:jc w:val="both"/>
        <w:ind w:left="360" w:hanging="356"/>
        <w:spacing w:after="0" w:line="256" w:lineRule="auto"/>
        <w:tabs>
          <w:tab w:leader="none" w:pos="3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66" w:lineRule="exact"/>
        <w:rPr>
          <w:rFonts w:ascii="Arial" w:cs="Arial" w:eastAsia="Arial" w:hAnsi="Arial"/>
          <w:sz w:val="19"/>
          <w:szCs w:val="19"/>
          <w:color w:val="auto"/>
        </w:rPr>
      </w:pPr>
    </w:p>
    <w:p>
      <w:pPr>
        <w:ind w:left="360" w:hanging="356"/>
        <w:spacing w:after="0" w:line="260" w:lineRule="auto"/>
        <w:tabs>
          <w:tab w:leader="none" w:pos="3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federal consumer protection and unfair competition laws, which broadly regulate marketplace activities and activities that potentially harm consumers;</w:t>
      </w:r>
    </w:p>
    <w:p>
      <w:pPr>
        <w:spacing w:after="0" w:line="61" w:lineRule="exact"/>
        <w:rPr>
          <w:rFonts w:ascii="Arial" w:cs="Arial" w:eastAsia="Arial" w:hAnsi="Arial"/>
          <w:sz w:val="20"/>
          <w:szCs w:val="20"/>
          <w:color w:val="auto"/>
        </w:rPr>
      </w:pPr>
    </w:p>
    <w:p>
      <w:pPr>
        <w:jc w:val="both"/>
        <w:ind w:left="360" w:hanging="356"/>
        <w:spacing w:after="0" w:line="234" w:lineRule="auto"/>
        <w:tabs>
          <w:tab w:leader="none" w:pos="3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the physicians described above and their immediate family members;</w:t>
      </w:r>
    </w:p>
    <w:p>
      <w:pPr>
        <w:spacing w:after="0" w:line="80" w:lineRule="exact"/>
        <w:rPr>
          <w:rFonts w:ascii="Arial" w:cs="Arial" w:eastAsia="Arial" w:hAnsi="Arial"/>
          <w:sz w:val="20"/>
          <w:szCs w:val="20"/>
          <w:color w:val="auto"/>
        </w:rPr>
      </w:pPr>
    </w:p>
    <w:p>
      <w:pPr>
        <w:jc w:val="both"/>
        <w:ind w:left="360" w:hanging="356"/>
        <w:spacing w:after="0" w:line="247" w:lineRule="auto"/>
        <w:tabs>
          <w:tab w:leader="none" w:pos="3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and</w:t>
      </w:r>
    </w:p>
    <w:p>
      <w:pPr>
        <w:spacing w:after="0" w:line="74" w:lineRule="exact"/>
        <w:rPr>
          <w:rFonts w:ascii="Arial" w:cs="Arial" w:eastAsia="Arial" w:hAnsi="Arial"/>
          <w:sz w:val="19"/>
          <w:szCs w:val="19"/>
          <w:color w:val="auto"/>
        </w:rPr>
      </w:pPr>
    </w:p>
    <w:p>
      <w:pPr>
        <w:jc w:val="both"/>
        <w:ind w:left="360" w:hanging="356"/>
        <w:spacing w:after="0" w:line="246" w:lineRule="auto"/>
        <w:tabs>
          <w:tab w:leader="none" w:pos="3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 the EU, interactions between pharmaceutical companies, health care professionals, and health care organizations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 Relationships with healthcare professionals and associations are subject to stringent anti-gift statutes and anti-bribery laws, the scope of which differs across the EU. In addition, national “Sunshine Acts” may require pharmaceutical companies to report/publish transfers of value provided to health care professionals and associations on a regular (e.g. annual) basis. Failure to comply with these requirements could result in reputational risk, public reprimands, administrative penalties, fines or imprisonment.</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Ensuring that our internal operations and business arrangements with third parties comply with applicable healthcare laws and regulations involves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a corporate integrity agreement or other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9360"/>
          </w:cols>
          <w:pgMar w:left="1260" w:top="858" w:right="1260" w:bottom="0" w:gutter="0" w:footer="0" w:header="0"/>
          <w:type w:val="continuous"/>
        </w:sectPr>
      </w:pPr>
    </w:p>
    <w:bookmarkStart w:id="53" w:name="page54"/>
    <w:bookmarkEnd w:id="53"/>
    <w:p>
      <w:pPr>
        <w:jc w:val="both"/>
        <w:spacing w:after="0" w:line="285" w:lineRule="auto"/>
        <w:rPr>
          <w:sz w:val="20"/>
          <w:szCs w:val="20"/>
          <w:color w:val="auto"/>
        </w:rPr>
      </w:pPr>
      <w:r>
        <w:rPr>
          <w:rFonts w:ascii="Arial" w:cs="Arial" w:eastAsia="Arial" w:hAnsi="Arial"/>
          <w:sz w:val="18"/>
          <w:szCs w:val="18"/>
          <w:color w:val="auto"/>
        </w:rPr>
        <w:t>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3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7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and commercialization activities.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U.S., HIPAA, as amended by the Health Information Technology for Economic and Clinical Health Act of 2009, and regulations implemented thereunder, or collectively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We do not believe that we are currently acting as a covered entity or business associate under HIPAA and thus are not directly subject to its requirements or penalties. However,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62"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passed in other states and are continuing to be proposed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Furthermore, the Federal Trade Commission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 FTC and many state Attorneys General also continue to enforce federal and</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9360"/>
          </w:cols>
          <w:pgMar w:left="1260" w:top="858" w:right="1260" w:bottom="0" w:gutter="0" w:footer="0" w:header="0"/>
          <w:type w:val="continuous"/>
        </w:sectPr>
      </w:pPr>
    </w:p>
    <w:bookmarkStart w:id="54" w:name="page55"/>
    <w:bookmarkEnd w:id="54"/>
    <w:p>
      <w:pPr>
        <w:jc w:val="both"/>
        <w:spacing w:after="0" w:line="287" w:lineRule="auto"/>
        <w:rPr>
          <w:sz w:val="20"/>
          <w:szCs w:val="20"/>
          <w:color w:val="auto"/>
        </w:rPr>
      </w:pPr>
      <w:r>
        <w:rPr>
          <w:rFonts w:ascii="Arial" w:cs="Arial" w:eastAsia="Arial" w:hAnsi="Arial"/>
          <w:sz w:val="19"/>
          <w:szCs w:val="19"/>
          <w:color w:val="auto"/>
        </w:rPr>
        <w:t>state consumer protection laws against companies for online collection, use, dissemination and security practices that appear to be unfair or deceptive, including by regulating the presentation of website content.</w:t>
      </w:r>
    </w:p>
    <w:p>
      <w:pPr>
        <w:spacing w:after="0" w:line="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diverse laws and regulations relating to data privacy and security in the EU and the EEA, including the General Data Protection Regulation (“GDPR”). The GDPR went into effect in May 2018 and imposes strict requirements for processing the personal data of individuals within the EEA. The GDPR imposes strict obligations on the ability to process health-related and other personal data of individuals within the EEA, including in relation to use, collection, analysis, and transfer (including cross-border transfer) of such personal data.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to fines, a breach of the GDPR may result in regulatory investigations, reputational damage, orders to cease/change our data processing activities, enforcement notices, assessment notices (for a compulsory audit) and/ or civil claims (including class actions).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U.S. remains uncertain. Case law from the Court of Justice of the European Union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spacing w:after="0" w:line="29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Relatedly, since the beginning of 2021, following the U.K.’s withdrawal from the EEA and the European Union, and the expiry of the transition period, companies have had to comply with both the GDPR and the GDPR as incorporated into U.K. national law, the latter regime having the ability to separately fine up to the greater of £17.5 million or 4% of global turnover.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7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Compliance with applicable data protection laws and regulations could require us to take on more onerous obligations in our contracts, restrict our ability to collect, use and disclose data, or in some cases, impact our ability to operate in certain jurisdictions. Failure by us or our collaborators and third-party providers to comply with applicable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results of operations and prospects.</w:t>
      </w:r>
    </w:p>
    <w:p>
      <w:pPr>
        <w:spacing w:after="0" w:line="65"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i w:val="1"/>
          <w:iCs w:val="1"/>
          <w:color w:val="auto"/>
        </w:rPr>
        <w:t>The varied and differing positions on environmental sustainability and social initiatives by government and other stakeholders could increase our costs, harm our reputation and adversely impact our financial results.</w:t>
      </w:r>
    </w:p>
    <w:p>
      <w:pPr>
        <w:spacing w:after="0" w:line="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has been varied and differing public focus by investors, environmental activists, the media, governmental and nongovernmental organizations, and other stakeholders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 increased costs in order to execute upon our sustainability goals and measure achievement of those goals, which could have an adverse impact on our business and financial condition.</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9360"/>
          </w:cols>
          <w:pgMar w:left="1260" w:top="858" w:right="1260" w:bottom="0" w:gutter="0" w:footer="0" w:header="0"/>
          <w:type w:val="continuous"/>
        </w:sectPr>
      </w:pPr>
    </w:p>
    <w:bookmarkStart w:id="55" w:name="page56"/>
    <w:bookmarkEnd w:id="55"/>
    <w:p>
      <w:pPr>
        <w:jc w:val="both"/>
        <w:spacing w:after="0" w:line="252" w:lineRule="auto"/>
        <w:rPr>
          <w:sz w:val="20"/>
          <w:szCs w:val="20"/>
          <w:color w:val="auto"/>
        </w:rPr>
      </w:pPr>
      <w:r>
        <w:rPr>
          <w:rFonts w:ascii="Arial" w:cs="Arial" w:eastAsia="Arial" w:hAnsi="Arial"/>
          <w:sz w:val="19"/>
          <w:szCs w:val="19"/>
          <w:color w:val="auto"/>
        </w:rPr>
        <w:t>In addition, this emphasis on environmental, social and other sustainability matters has resulted and may result in the adoption of new laws and regulations, including new reporting requirements. We are currently assessing the potential impacts of the adopted or proposed laws, as well as other sustainability related disclosure obligations and evolving legal and regulatory requirements, to which we may be subject. If we fail to comply with new laws, regulations or reporting requirements, our reputation and business could be adversely impacted.</w:t>
      </w:r>
    </w:p>
    <w:p>
      <w:pPr>
        <w:spacing w:after="0" w:line="63"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1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Our sub-contracted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incur significant costs associated with civil or criminal fines, penalties or other sanctions.</w:t>
      </w:r>
    </w:p>
    <w:p>
      <w:pPr>
        <w:spacing w:after="0" w:line="7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7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Our operations are subject to anti-corruption laws, including the U.K. Bribery Act 2010 (the “ Bribery Act”), the U.S. Foreign Corrupt Practices Act (the “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7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also are subject to other laws and regulations governing any international operations, including regulations administered by the governments of the U.K. and the U.S., and authorities in the EU, including applicable export control regulations, economic sanctions on countries and persons, customs requirements and currency exchange regulations, or, collectively, the Trade Control laws.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 consuming, require significant personnel resources and harm our reputation.</w:t>
      </w:r>
    </w:p>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Commercialization</w:t>
      </w:r>
    </w:p>
    <w:p>
      <w:pPr>
        <w:spacing w:after="0" w:line="228"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i w:val="1"/>
          <w:iCs w:val="1"/>
          <w:color w:val="auto"/>
        </w:rPr>
        <w:t>We operate in a highly competitive and rapidly changing industry, which may result in others discovering, developing or commercializing competing products before or more successfully than we do.</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9360"/>
          </w:cols>
          <w:pgMar w:left="1260" w:top="858" w:right="1260" w:bottom="0" w:gutter="0" w:footer="0" w:header="0"/>
          <w:type w:val="continuous"/>
        </w:sectPr>
      </w:pPr>
    </w:p>
    <w:bookmarkStart w:id="56" w:name="page57"/>
    <w:bookmarkEnd w:id="56"/>
    <w:p>
      <w:pPr>
        <w:jc w:val="both"/>
        <w:spacing w:after="0" w:line="247" w:lineRule="auto"/>
        <w:rPr>
          <w:sz w:val="20"/>
          <w:szCs w:val="20"/>
          <w:color w:val="auto"/>
        </w:rPr>
      </w:pPr>
      <w:r>
        <w:rPr>
          <w:rFonts w:ascii="Arial" w:cs="Arial" w:eastAsia="Arial" w:hAnsi="Arial"/>
          <w:sz w:val="19"/>
          <w:szCs w:val="19"/>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We will face intense competition for our approved products from a variety of businesses, including large, fully integrated pharmaceutical companies, biopharmaceutical companies and specialty pharmaceutical companies, academic institutions, government agencies and other private and public research institutions in Europe, the U.S. and other jurisdictions. These organizations may have significantly greater resources than we do and conduct similar research, seek patent protection and establish collaborative arrangements for research, development, manufacturing and marketing of products that may compete with our products.</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Given the number of products already on the market and in development to treat COPD, asthma, CF and bronchiectasis, we expect to face intense competition for our products, including for Ohtuvayre, and for ensifentrine, if approved for these additional indications. Companies including GlaxoSmithKline, AstraZeneca, Vertex, Viatris, Theravance, Gilead, Genentech, Regeneron and Sanofi currently have treatments on the market for COPD, CF and asthma, and we anticipate that new companies will enter these markets in the future. While no treatments for bronchiectasis currently have marketing approval in the U.S. or EU, there are products in late-stage clinical development that could be approved in the future. Our products will compete with existing therapies and new therapies that may become available in the future. The highly competitive nature of, and rapid technological changes in, the biopharmaceutical and pharmaceutical industries could render our products obsolete, less competitive or uneconomical. Our competitors may, among other things:</w:t>
      </w:r>
    </w:p>
    <w:p>
      <w:pPr>
        <w:spacing w:after="0" w:line="79" w:lineRule="exact"/>
        <w:rPr>
          <w:sz w:val="20"/>
          <w:szCs w:val="20"/>
          <w:color w:val="auto"/>
        </w:rPr>
      </w:pPr>
    </w:p>
    <w:p>
      <w:pPr>
        <w:jc w:val="both"/>
        <w:ind w:left="360" w:hanging="356"/>
        <w:spacing w:after="0" w:line="264" w:lineRule="auto"/>
        <w:tabs>
          <w:tab w:leader="none" w:pos="3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58" w:lineRule="exact"/>
        <w:rPr>
          <w:rFonts w:ascii="Arial" w:cs="Arial" w:eastAsia="Arial" w:hAnsi="Arial"/>
          <w:sz w:val="19"/>
          <w:szCs w:val="19"/>
          <w:color w:val="auto"/>
        </w:rPr>
      </w:pPr>
    </w:p>
    <w:p>
      <w:pPr>
        <w:ind w:left="360" w:hanging="356"/>
        <w:spacing w:after="0" w:line="260" w:lineRule="auto"/>
        <w:tabs>
          <w:tab w:leader="none" w:pos="3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develop and commercialize products that are safer, more effective, less expensive, more convenient or easier to administer, or have fewer or less severe side effects;</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obtain quicker regulatory approval;</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establish superior proprietary positions covering our products and technologies;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implement more effective approaches to sales, marketing and distribution; or</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form more advantageous strategic alliances.</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any collaborators we may have may decide to market and sell products that compete with our products. Our commercial opportunity could be reduced or eliminated if our competitors develop and commercialize products that are more effective, have fewer or less severe side effects, are more convenient or are less expensive than our products. Our competitors may also obtain FDA or other regulatory approval for their product candidates more rapidly than we may obtain approval for ours, which could result in our competitors establishing or strengthening their market position before we are able to enter the market.</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Forecasting potential sales for Ohtuvayre is difficult, and if our projections are inaccurate, our business may be harmed and our share price may be adversely affected.</w:t>
      </w:r>
    </w:p>
    <w:p>
      <w:pPr>
        <w:spacing w:after="0" w:line="5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Our business planning requires us to forecast or make assumptions regarding product demand and revenues for Ohtuvayre, despite numerous uncertainties. These uncertainties may be increased if we rely on third parties to conduct commercial activities in certain jurisdictions and provide us with accurate and timely information. Actual results may differ materially from projected results for various reasons, including the following, as well as risks identified in other risk factors:</w:t>
      </w:r>
    </w:p>
    <w:p>
      <w:pPr>
        <w:spacing w:after="0" w:line="84" w:lineRule="exact"/>
        <w:rPr>
          <w:sz w:val="20"/>
          <w:szCs w:val="20"/>
          <w:color w:val="auto"/>
        </w:rPr>
      </w:pPr>
    </w:p>
    <w:p>
      <w:pPr>
        <w:ind w:left="360" w:hanging="356"/>
        <w:spacing w:after="0" w:line="260" w:lineRule="auto"/>
        <w:tabs>
          <w:tab w:leader="none" w:pos="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efficacy and safety of Ohtuvayre, including as relative to marketed products and product candidates in development by third parties;</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pricing (including discounting and other promotions), reimbursement, product returns or recalls, competition, labeling, adverse events and other items that impact commercialization;</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rate of adoption in the particular market, including fluctuations in demand for various reasons;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potential market size;</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9360"/>
          </w:cols>
          <w:pgMar w:left="1260" w:top="858" w:right="1260" w:bottom="0" w:gutter="0" w:footer="0" w:header="0"/>
          <w:type w:val="continuous"/>
        </w:sectPr>
      </w:pPr>
    </w:p>
    <w:bookmarkStart w:id="57" w:name="page58"/>
    <w:bookmarkEnd w:id="57"/>
    <w:p>
      <w:pPr>
        <w:ind w:left="360" w:hanging="356"/>
        <w:spacing w:after="0"/>
        <w:tabs>
          <w:tab w:leader="none" w:pos="3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lack of patient and physician familiarity with Ohtuvayre;</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lack of patient use and physician prescribing history;</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lack of commercialization experience with Ohtuvayre;</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uncertainty relating to rate of adoption; and</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products provided without compensation through patient support programs or other free drug programs, may not eventually result in or contribute to revenue-producing prescriptions.</w:t>
      </w:r>
    </w:p>
    <w:p>
      <w:pPr>
        <w:spacing w:after="0" w:line="6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We expect that our revenues from sales of Ohtuvayre will be based in part on estimates, judgment and accounting policies. Any incorrect estimates or disagreements with regulators or others regarding such estimates, judgment or accounting policies may result in changes to our guidance, projections or previously reported results. Expected and actual product sales and quarterly and other results may greatly fluctuate, including in the near-term, and such fluctuations can adversely affect the price of our common stock, perceptions of our ability to forecast demand and revenues, and our ability to maintain and fund our operations. The metrics that we are tracking in order to evaluate the success of our sales efforts may not correlate to commercial success, particularly given the challenging market for Ohtuvayre.</w:t>
      </w:r>
    </w:p>
    <w:p>
      <w:pPr>
        <w:spacing w:after="0" w:line="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i w:val="1"/>
          <w:iCs w:val="1"/>
          <w:color w:val="auto"/>
        </w:rPr>
        <w:t>The successful commercialization of Ohtuvayre will depend in part on the extent to which governmental authorities and health insurers establish adequate coverage, reimbursement levels and pricing policies for it. Failure to obtain or maintain adequate coverage and reimbursement for Ohtuvayre could limit our ability to market it and decrease our ability to generate revenue.</w:t>
      </w:r>
    </w:p>
    <w:p>
      <w:pPr>
        <w:spacing w:after="0" w:line="8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Ohtuvayre. Our ability to achieve and maintain acceptable levels of coverage and reimbursement by governmental authorities, private health insurers and other organizations will have an effect on our ability to successfully commercialize ensifentrine. Assuming we obtain coverage for Ohtuvayre by a third-party payor, the resulting reimbursement payment rates may not be adequate or may require co-payments that patients find unacceptably high. Moreover, for drugs and biologics administered under the supervision of a physician, obtaining appropriate documentation for usage may be difficult because of the higher prices often associated with such products. We cannot be sure that coverage and reimbursement in the U.S., the EU or elsewhere will be available for Ohtuvayre or any product that we may develop, and any reimbursement that may become available may be decreased or eliminated in the future.</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Ohtuvayre as substitutable and only offer to reimburse patients for the less expensive product. Even if we show improved efficacy or improved convenience of administration with Ohtuvayre, pricing of existing drugs may limit the amount we will be able to charge for Ohtuvayre. These payors may deny or revoke the reimbursement status of a given product or establish prices for new or existing marketed products at levels that are too low to enable us to realize an appropriate return on our investment in ensifentrine. If reimbursement is not available or is available only at limited levels, we may not be able to successfully commercialize Ohtuvayre, and may not be able to obtain a satisfactory financial return on Ohtuvayre.</w:t>
      </w:r>
    </w:p>
    <w:p>
      <w:pPr>
        <w:spacing w:after="0" w:line="7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There is significant uncertainty related to the insurance coverage and reimbursement of newly approved products. In the U.S.,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continued coverage and reimbursement for Ohtuvayre.</w:t>
      </w:r>
    </w:p>
    <w:p>
      <w:pPr>
        <w:spacing w:after="0" w:line="8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Obtaining and maintaining reimbursement status is time consuming and costly. No uniform policy for coverage and reimbursement for products exists among third-party payors in the U.S. Therefore, coverage and reimbursement for products can differ significantly from payor to payor. As a result, the coverage determination process is often a time-consuming and costly process that will require us to provide scientific and clinical support for the use of Ohtuvayre to each payor separately, with no assurance that coverage and adequate reimbursement will be applied consistently or obtained in the first instance. Furthermore, rules and regulations regarding reimbursement change frequently, in</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9360"/>
          </w:cols>
          <w:pgMar w:left="1260" w:top="858" w:right="1260" w:bottom="0" w:gutter="0" w:footer="0" w:header="0"/>
          <w:type w:val="continuous"/>
        </w:sectPr>
      </w:pPr>
    </w:p>
    <w:bookmarkStart w:id="58" w:name="page59"/>
    <w:bookmarkEnd w:id="58"/>
    <w:p>
      <w:pPr>
        <w:jc w:val="both"/>
        <w:spacing w:after="0" w:line="256" w:lineRule="auto"/>
        <w:rPr>
          <w:sz w:val="20"/>
          <w:szCs w:val="20"/>
          <w:color w:val="auto"/>
        </w:rPr>
      </w:pPr>
      <w:r>
        <w:rPr>
          <w:rFonts w:ascii="Arial" w:cs="Arial" w:eastAsia="Arial" w:hAnsi="Arial"/>
          <w:sz w:val="19"/>
          <w:szCs w:val="19"/>
          <w:color w:val="auto"/>
        </w:rPr>
        <w:t>some cases at short notice, and we believe that changes in these rules and regulations are likely. Specifically, we believe that Ohtuvayre will be primarily reimbursed under a medical benefit through either Medicare Part B or Medicare Advantage programs, and changes within how products are reimbursed under these programs could occur and those changes may affect the overall coverage and reimbursement of Ohtuvayre in the future.</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Outside the U.S.,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approved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ensifentrine. Accordingly, in markets outside the U.S., the reimbursement for our products may be reduced compared with the U.S. and may be insufficient to generate commercially reasonable revenue and profits.</w:t>
      </w:r>
    </w:p>
    <w:p>
      <w:pPr>
        <w:spacing w:after="0" w:line="6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Ohtuvayre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addition, even if a pharmaceutical product obtains a marketing authorization in the EU, there can be no assurance that reimbursement for such product will be secured on a timely basis or at all.</w:t>
      </w:r>
    </w:p>
    <w:p>
      <w:pPr>
        <w:spacing w:after="0" w:line="5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i w:val="1"/>
          <w:iCs w:val="1"/>
          <w:color w:val="auto"/>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Medicaid is a joint federal and state program administered by the states for low income and disabled beneficiaries. We participate in and have certain price reporting obligations under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ACA made significant changes to the MDRP, as described under the risk factor “Enacted and future legislation and regulation may increase the difficulty and cost for us to commercialize our products and may affect the prices we may set,” above. In addition, in March 2021, the American Rescue Plan Act of 2021 was signed into law, which, among other things, eliminated the statutory cap on drug manufacturers’ MDRP rebate liability, effective January 1, 2024. Previously, under law enacted as part of the ACA, drug manufacturers’ MDRP rebate liability was capped at 100% of the AMP for a covered outpatient drug. Congress could enact additional legislation that further increases Medicaid drug rebates or other costs and charges associated with participating in the MDRP. Additional legislation or the issuance of regulations relating to the MDRP could have a material adverse effect on our results of operations.</w:t>
      </w:r>
    </w:p>
    <w:p>
      <w:pPr>
        <w:spacing w:after="0" w:line="6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recently-enacted IRA imposes rebates under Medicare Part B and Medicare Part D that are triggered by price increases that outpace inflation (first due in 2023), as described under the risk factor “Enacted and future legislation</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9360"/>
          </w:cols>
          <w:pgMar w:left="1260" w:top="858" w:right="1260" w:bottom="0" w:gutter="0" w:footer="0" w:header="0"/>
          <w:type w:val="continuous"/>
        </w:sectPr>
      </w:pPr>
    </w:p>
    <w:bookmarkStart w:id="59" w:name="page60"/>
    <w:bookmarkEnd w:id="59"/>
    <w:p>
      <w:pPr>
        <w:jc w:val="both"/>
        <w:spacing w:after="0" w:line="245" w:lineRule="auto"/>
        <w:rPr>
          <w:sz w:val="20"/>
          <w:szCs w:val="20"/>
          <w:color w:val="auto"/>
        </w:rPr>
      </w:pPr>
      <w:r>
        <w:rPr>
          <w:rFonts w:ascii="Arial" w:cs="Arial" w:eastAsia="Arial" w:hAnsi="Arial"/>
          <w:sz w:val="20"/>
          <w:szCs w:val="20"/>
          <w:color w:val="auto"/>
        </w:rPr>
        <w:t>and regulation may increase the difficulty and cost for us to commercialize our products and may affect the prices we may set,” above. The Medicare Part D rebate will be calculated on the basis of the AMP figures we report pursuant to the MDRP.</w:t>
      </w:r>
    </w:p>
    <w:p>
      <w:pPr>
        <w:spacing w:after="0" w:line="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or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340B program requirements could negatively impact our financial results. Any additional future changes to the definition of average manufacturer price and the Medicaid rebate amount under the ACA or other legislation or regulation could affect our 340B ceiling price calculations and also negatively impact our financial results.</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 order for Ohtuvayre or any product candidates, if approved, to be paid for with federal funds under the Medicaid and Medicare Part B programs and purchased by certain federal agencies and grantees, we also participate in the U.S. Department of Veterans Affairs, or VA, Federal Supply Schedule, or FSS, pricing program. As part of this program, we are required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pacing w:after="0" w:line="6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Pricing and rebate calculations vary among products and programs. The calculations are complex and are often subject to interpretation by us, governmental or regulatory agencies, and the courts. CMS, the Department of Health</w:t>
      </w:r>
    </w:p>
    <w:p>
      <w:pPr>
        <w:spacing w:after="0" w:line="1" w:lineRule="exact"/>
        <w:rPr>
          <w:sz w:val="20"/>
          <w:szCs w:val="20"/>
          <w:color w:val="auto"/>
        </w:rPr>
      </w:pPr>
    </w:p>
    <w:p>
      <w:pPr>
        <w:jc w:val="both"/>
        <w:ind w:firstLine="4"/>
        <w:spacing w:after="0" w:line="290" w:lineRule="auto"/>
        <w:tabs>
          <w:tab w:leader="none" w:pos="219" w:val="left"/>
        </w:tabs>
        <w:numPr>
          <w:ilvl w:val="0"/>
          <w:numId w:val="39"/>
        </w:numPr>
        <w:rPr>
          <w:rFonts w:ascii="Arial" w:cs="Arial" w:eastAsia="Arial" w:hAnsi="Arial"/>
          <w:sz w:val="18"/>
          <w:szCs w:val="18"/>
          <w:color w:val="auto"/>
        </w:rPr>
      </w:pPr>
      <w:r>
        <w:rPr>
          <w:rFonts w:ascii="Arial" w:cs="Arial" w:eastAsia="Arial" w:hAnsi="Arial"/>
          <w:sz w:val="18"/>
          <w:szCs w:val="18"/>
          <w:color w:val="auto"/>
        </w:rPr>
        <w:t>Human Services Office of Inspector General, and other governmental agencies have pursued manufacturers that were alleged to have failed to report these data to the government in a timely or accurate manner. Governmental</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9360"/>
          </w:cols>
          <w:pgMar w:left="1260" w:top="858" w:right="1260" w:bottom="0" w:gutter="0" w:footer="0" w:header="0"/>
          <w:type w:val="continuous"/>
        </w:sectPr>
      </w:pPr>
    </w:p>
    <w:bookmarkStart w:id="60" w:name="page61"/>
    <w:bookmarkEnd w:id="60"/>
    <w:p>
      <w:pPr>
        <w:jc w:val="both"/>
        <w:spacing w:after="0" w:line="275" w:lineRule="auto"/>
        <w:rPr>
          <w:sz w:val="20"/>
          <w:szCs w:val="20"/>
          <w:color w:val="auto"/>
        </w:rPr>
      </w:pPr>
      <w:r>
        <w:rPr>
          <w:rFonts w:ascii="Arial" w:cs="Arial" w:eastAsia="Arial" w:hAnsi="Arial"/>
          <w:sz w:val="18"/>
          <w:szCs w:val="18"/>
          <w:color w:val="auto"/>
        </w:rPr>
        <w:t>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spacing w:after="0" w:line="41" w:lineRule="exact"/>
        <w:rPr>
          <w:sz w:val="20"/>
          <w:szCs w:val="20"/>
          <w:color w:val="auto"/>
        </w:rPr>
      </w:pPr>
    </w:p>
    <w:p>
      <w:pPr>
        <w:jc w:val="both"/>
        <w:spacing w:after="0" w:line="349" w:lineRule="auto"/>
        <w:rPr>
          <w:sz w:val="20"/>
          <w:szCs w:val="20"/>
          <w:color w:val="auto"/>
        </w:rPr>
      </w:pPr>
      <w:r>
        <w:rPr>
          <w:rFonts w:ascii="Arial" w:cs="Arial" w:eastAsia="Arial" w:hAnsi="Arial"/>
          <w:sz w:val="17"/>
          <w:szCs w:val="17"/>
          <w:b w:val="1"/>
          <w:bCs w:val="1"/>
          <w:i w:val="1"/>
          <w:iCs w:val="1"/>
          <w:color w:val="auto"/>
        </w:rPr>
        <w:t>If our products, including Ohtuvayre, do not gain market acceptance or if we fail to accurately forecast demand or manage our inventories, our business will suffer because we might not be able to fund future operations.</w:t>
      </w:r>
    </w:p>
    <w:p>
      <w:pPr>
        <w:jc w:val="both"/>
        <w:spacing w:after="0" w:line="264" w:lineRule="auto"/>
        <w:rPr>
          <w:sz w:val="20"/>
          <w:szCs w:val="20"/>
          <w:color w:val="auto"/>
        </w:rPr>
      </w:pPr>
      <w:r>
        <w:rPr>
          <w:rFonts w:ascii="Arial" w:cs="Arial" w:eastAsia="Arial" w:hAnsi="Arial"/>
          <w:sz w:val="19"/>
          <w:szCs w:val="19"/>
          <w:color w:val="auto"/>
        </w:rPr>
        <w:t>Patients or the medical community may not accept or use Ohtuvayre in the U.S. If Ohtuvayre does not achieve an adequate level of acceptance, we may not generate significant product revenues or any profits from operations. The degree of market acceptance of Ohtuvayre will depend on a variety of factors, including:</w:t>
      </w:r>
    </w:p>
    <w:p>
      <w:pPr>
        <w:spacing w:after="0" w:line="58" w:lineRule="exact"/>
        <w:rPr>
          <w:sz w:val="20"/>
          <w:szCs w:val="20"/>
          <w:color w:val="auto"/>
        </w:rPr>
      </w:pPr>
    </w:p>
    <w:p>
      <w:pPr>
        <w:ind w:left="360" w:hanging="356"/>
        <w:spacing w:after="0"/>
        <w:tabs>
          <w:tab w:leader="none" w:pos="3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timing of market introduction;</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price of our product relative to other products for the same or similar treatment;</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number and clinical profile of competing products;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clinical indication for which Ohtuvayre is approved;</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our ability to provide acceptable evidence of safety and efficacy;</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prevalence and severity of any side effects;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relative convenience, frequency, and ease of administration;</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cost effectiveness;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marketing, sales, and distribution support;</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availability of adequate coverage, reimbursement and adequate payment from health maintenance organizations and other insurers, both public and private; and</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other potential advantages over alternative treatment methods.</w:t>
      </w:r>
    </w:p>
    <w:p>
      <w:pPr>
        <w:spacing w:after="0" w:line="11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75"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Our results of operations could be materially harmed if we are unable to accurately forecast customer demand for Ohtuvayre and manage our inventory. To ensure adequate inventory supply, we must forecast inventory needs and place orders with our suppliers based on our estimates of future demand for Ohtuvayre. Our ability to accurately forecast demand for Ohtuvayre could be negatively affected by many factors, including our failure to accurately manage our expansion strategy, product introductions by competitors, an increase or decrease in customer demand for Ohtuvayre or for products of our competitors, our failure to accurately forecast customer acceptance of new products, unanticipated changes in general market conditions or regulatory matters, and weakening of economic conditions or consumer confidence in future economic conditions.</w:t>
      </w:r>
    </w:p>
    <w:p>
      <w:pPr>
        <w:spacing w:after="0" w:line="8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seek to maintain sufficient levels of inventory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spacing w:after="0" w:line="74"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i w:val="1"/>
          <w:iCs w:val="1"/>
          <w:color w:val="auto"/>
        </w:rPr>
        <w:t>Our commercial capabilities and infrastructure, including sales, marketing, operations, distribution, and reimbursement infrastructure, may not be adequate to successfully commercialize Ohtuvayre.</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continuing to develop sales, marketing, operations, distribution and reimbursement capabilities and infrastructure after receiving approval of Ohtuvayre in June 2024, and we did not market, sell or distribute pharmaceutical products prior to the approval of Ohtuvayre. The establishment of commercial capabilities and infrastructure, including sales, marketing, operations, distribution, and reimbursement with technical expertise and supporting distribution capabilities to commercialize Ohtuvayre, is expensive and time consuming. Some or all of these costs were incurred in preparation for approval and will continue as we commercialize Ohtuvayre for the maintenance treatment of COPD in adult patients. In addition, our sales force may not be sufficient in size or have adequate expertise in the medical markets that we intend to target, and we may have difficulty retaining our sales employees or attracting new employees. Any failure of our internal sales, marketing and distribution capabilities on our own or through collaborations would adversely impact the commercialization of Ohtuvayre.</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9360"/>
          </w:cols>
          <w:pgMar w:left="1260" w:top="858" w:right="1260" w:bottom="0" w:gutter="0" w:footer="0" w:header="0"/>
          <w:type w:val="continuous"/>
        </w:sectPr>
      </w:pPr>
    </w:p>
    <w:bookmarkStart w:id="61" w:name="page62"/>
    <w:bookmarkEnd w:id="61"/>
    <w:p>
      <w:pPr>
        <w:jc w:val="both"/>
        <w:spacing w:after="0" w:line="239" w:lineRule="auto"/>
        <w:rPr>
          <w:sz w:val="20"/>
          <w:szCs w:val="20"/>
          <w:color w:val="auto"/>
        </w:rPr>
      </w:pPr>
      <w:r>
        <w:rPr>
          <w:rFonts w:ascii="Arial" w:cs="Arial" w:eastAsia="Arial" w:hAnsi="Arial"/>
          <w:sz w:val="20"/>
          <w:szCs w:val="20"/>
          <w:color w:val="auto"/>
        </w:rPr>
        <w:t>We are contracting third parties to perform certain services to support our sales, marketing, warehousing, distribution and reimbursement activities. To the extent that any of these third parties fail to perform their services in compliance with their obligations to us or other parties, we may not be successful in commercializing Ohtuvayre and our future product revenues may be adversely impacted.</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To the extent that we enter into collaboration agreements with respect to marketing, sales or distribution, our product revenue may be lower than if we directly marketed or sold Ohtuvayre.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Ohtuvayre. If we are not successful in commercializing Ohtuvayre, either on our own or through collaborations with one or more third parties, our future product revenue will suffer and we may incur significant additional losses.</w:t>
      </w:r>
    </w:p>
    <w:p>
      <w:pPr>
        <w:spacing w:after="0" w:line="6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If we are unable to establish effective sales and marketing capabilities to market and sell our approved product, Ohtuvayre, we may be unable to generate adequate revenue.</w:t>
      </w:r>
    </w:p>
    <w:p>
      <w:pPr>
        <w:spacing w:after="0" w:line="5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We are continuing to establish our infrastructure for the sales, marketing and distribution of Ohtuvayre, and the cost of establishing and maintaining such an organization may exceed the benefits of doing so. Additionally, the infrastructure we have built to support the launch of Ohtuvayre, future indications of ensifentrine, or other potential marketed products may not be sufficient, and we may be required to increase spending or add resources to support commercialization efforts.</w:t>
      </w:r>
    </w:p>
    <w:p>
      <w:pPr>
        <w:spacing w:after="0" w:line="8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We have established an in-house sales force to promote Ohtuvayre to appropriate healthcare providers including those that may be associated with hospital networks, Integrated delivery networks and third-party payers in the United States. There are significant expenses and risks involved with establishing our own sales and marketing capabilities, including our ability to hire, retain and appropriately incentivize qualified individuals, generate sufficient sales leads, provide adequate training to sales and marketing personnel, and effectively manage a geographically dispersed sales and marketing team.</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compete with other companies to recruit, hire, train and retain sales and marketing personnel. We cannot be sure that we will be able to retain a sufficient number of qualified sales representatives or that they will be effective at promoting Ohtuvayre. In addition, we will need to commit significant additional management and other resources to build our sales organization to the desired size, and we may not be successful in a cost-effective manner.</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Factors that may inhibit our efforts to establish and maintain our sales and marketing capabilities include:</w:t>
      </w:r>
    </w:p>
    <w:p>
      <w:pPr>
        <w:spacing w:after="0" w:line="110" w:lineRule="exact"/>
        <w:rPr>
          <w:sz w:val="20"/>
          <w:szCs w:val="20"/>
          <w:color w:val="auto"/>
        </w:rPr>
      </w:pPr>
    </w:p>
    <w:p>
      <w:pPr>
        <w:ind w:left="360" w:hanging="356"/>
        <w:spacing w:after="0"/>
        <w:tabs>
          <w:tab w:leader="none" w:pos="3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our inability to recruit, train and retain adequate numbers of effective sales and marketing personnel;</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inability of sales personnel to obtain access to physicians in order to educate physicians about Ohtuvayre or our product candidates, once approved;</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higher fixed costs as compared to companies who market products using independent third parties, such as costs associated with employee benefits, training, and managing sales personnel; and</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3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If we are unable to establish adequate sales, marketing and distribution capabilities, whether independently or with third parties, our business, results of operations, financial condition and prospects will be materially adversely impacted.</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Beyond Ohtuvayre, we may leverage the sales and marketing capabilities that we establish for Ohtuvayre to commercialize additional product candidates or market Ohtuvayre for other indications, if approved by the FDA, in the United States. If we are unable to do so for any reason, we would need to expend additional resources to establish commercialization capabilities for those product candidates or Ohtuvayre for other indications, if approved.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Dependence on Third Parties</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approvals for or commercialize our product candidates and our business could be substantially harmed.</w:t>
      </w:r>
    </w:p>
    <w:p>
      <w:pPr>
        <w:sectPr>
          <w:pgSz w:w="11880" w:h="15480" w:orient="portrait"/>
          <w:cols w:equalWidth="0" w:num="1">
            <w:col w:w="9360"/>
          </w:cols>
          <w:pgMar w:left="1260" w:top="1197"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9360"/>
          </w:cols>
          <w:pgMar w:left="1260" w:top="1197" w:right="1260" w:bottom="0" w:gutter="0" w:footer="0" w:header="0"/>
          <w:type w:val="continuous"/>
        </w:sectPr>
      </w:pPr>
    </w:p>
    <w:bookmarkStart w:id="62" w:name="page63"/>
    <w:bookmarkEnd w:id="62"/>
    <w:p>
      <w:pPr>
        <w:jc w:val="both"/>
        <w:spacing w:after="0" w:line="258"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and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Good Laboratory Practice (“GLP”) and GCP requirements, which are regulations and guidelines enforced by the FDA and comparable foreign regulatory authorities with respect to the conduct of clinical trials, and in the case of GLP, certain animal studies. Regulatory authorities enforce these GLP and GCP requirements through periodic inspections of CROs, trial sponsors, principal investigators and trial sites. If we fail to exercise adequate oversight over any of our CROs or if we or any of our CROs fail to comply with applicable GLP or GCP requirements, the non-clinical or clinical data generated in our clinical trials may be deemed unreliable and the FDA, the EMA or comparable foreign regulatory authorities may require us to perform additional studies or clinical trials before approving our marketing applications. We cannot provide assurance that upon a regulatory inspection of us or our CROs or other third parties performing services in connection with our non-clinical studies or clinical trials, such regulatory authority will determine that any of our non-clinical or clinical trials complies with GLP or GCP regulations. In addition, our clinical trials must be conducted with product produced under applicable cGMP and similar foreign regulations. Our failure to comply with these regulations may require us to repeat clinical trials, which would delay the regulatory approval process.</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will be misappropriated.</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to do so on commercially reasonable terms. Switching or adding CROs involves additional cost and requires management’s time and focus. In addition, there is a natural transition period when a new CRO commences work. As a result, delays could occur, which could materially impact our ability to meet our desired clinical development timelines. In addition, if our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approvals for, or commercialize, our product candidates. As a result, our results of operations and the commercial prospects would be harmed, our costs could increase and our ability to generate revenues could be delayed.</w:t>
      </w:r>
    </w:p>
    <w:p>
      <w:pPr>
        <w:spacing w:after="0" w:line="5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i w:val="1"/>
          <w:iCs w:val="1"/>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6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entered into a collaboration and license agreement with Nuance Pharma effective June 9, 2021 (the “Nuance Agreement”) under which we granted Nuance Pharma the exclusive rights to develop and commercialize products containing ensifentrine (the “Nuance Licensed Products”) in Greater China (China, Taiwan, Hong Kong and Macau).</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5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Termination of the Nuance Agreement could cause significant setbacks in our ability to develop and commercialize the Nuance Licensed Products in Greater China. Any suitable alternative collaboration or license agreement would take considerable time to negotiate and could also be on less favorable terms to us. In addition, under the Nuance Agreement, Nuance Pharma agreed to assume all costs related to clinical development and commercialization of the</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9360"/>
          </w:cols>
          <w:pgMar w:left="1260" w:top="858" w:right="1260" w:bottom="0" w:gutter="0" w:footer="0" w:header="0"/>
          <w:type w:val="continuous"/>
        </w:sectPr>
      </w:pPr>
    </w:p>
    <w:bookmarkStart w:id="63" w:name="page64"/>
    <w:bookmarkEnd w:id="63"/>
    <w:p>
      <w:pPr>
        <w:jc w:val="both"/>
        <w:spacing w:after="0" w:line="239" w:lineRule="auto"/>
        <w:rPr>
          <w:sz w:val="20"/>
          <w:szCs w:val="20"/>
          <w:color w:val="auto"/>
        </w:rPr>
      </w:pPr>
      <w:r>
        <w:rPr>
          <w:rFonts w:ascii="Arial" w:cs="Arial" w:eastAsia="Arial" w:hAnsi="Arial"/>
          <w:sz w:val="20"/>
          <w:szCs w:val="20"/>
          <w:color w:val="auto"/>
        </w:rPr>
        <w:t>Nuance Licensed Products in Greater China. If the Nuance Agreement were to be terminated, and whether or not we identify another suitable collaborator, we may need to seek additional financing to support the clinical development and commercialization of the Nuance Licensed Products in Greater China, which could have a material adverse effect on our business.</w:t>
      </w:r>
    </w:p>
    <w:p>
      <w:pPr>
        <w:spacing w:after="0" w:line="83"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Under the Nuance Agreement, we are dependent upon Nuance Pharma to successfully develop and commercialize Nuance Licensed Products. Although we have formed a joint steering committee with Nuance Pharma to oversee and coordinate the overall conduct of the clinical development and commercialization of the Nuance Licensed Products in Greater China, we do not control all aspects of Nuance Pharma’s development and commercialization or the resources it allocates to the development of the Nuance Licensed Products identified under the Nuance Agreement. Our interests and Nuance Pharma’s interests may differ or conflict from time to time, or we may disagree with Nuance Pharma’s level of effort or resource allocation. Nuance Pharma may internally prioritize programs under development within the collaboration differently than we would, or it may not allocate sufficient resources to effectively or optimally develop or commercialize the Nuance Licensed Products. If these events were to occur, our ability to receive revenue from the commercialization of the Nuance Licensed Products would be reduced, and our business would be adversely affected. In addition, under the Nuance Agreement, we have an obligation to supply Nuance Pharma with the ensifentrine drug product for their development and commercialization activities in Greater China and if our supply price is too high, the price at which Nuance Pharma sells the drug product in Greater China may not be competitive, which could have a material adverse effect on Nuance Pharma’s ability to successfully commercialize Nuance Licensed Products and the returns that we generate under the Nuance Agreement.</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Under the Nuance Agreement, we remain the marketing authorization holder for ensifentrine in the People’s Republic of China (“PRC”). In recent years, the regulatory framework in the PRC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ensifentrine under the Nuance Agreement, and could have a material adverse effect on Nuance Pharma’s ability to successfully commercialize ensifentrine and the returns that we generate under the Nuance Agreement.</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Furthermore, the safety and/or efficacy data from Nuance Pharma’s clinical development activities could for various reasons differ from our data and could potentially impact our clinical development and commercialization activities, including our ability to obtain regulatory approval of ensifentrine in other countries.</w:t>
      </w:r>
    </w:p>
    <w:p>
      <w:pPr>
        <w:spacing w:after="0" w:line="4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If we fail to enter into new strategic relationships for ensifentrine, our business, research and development and commercialization prospects could be adversely affected.</w:t>
      </w:r>
    </w:p>
    <w:p>
      <w:pPr>
        <w:spacing w:after="0" w:line="5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Our development programs for our product candidates and, if approved, their commercialization will require substantial additional cash to fund expenses. Therefore, we may decide to enter into collaborations with pharmaceutical or biopharmaceutical companies for their development and commercialization. For example, we may seek a collaborator for development of our DPI or pMDI formulation of ensifentrine for the maintenance treatment of COPD and potentially asthma and other respiratory diseases.</w:t>
      </w:r>
    </w:p>
    <w:p>
      <w:pPr>
        <w:spacing w:after="0" w:line="7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We face significant competition in seeking appropriate collaborators. Collaborations are complex and time 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our product candidates, reduce or delay development programs, delay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products or product candidates to market and generate product revenue. If we do enter into collaboration agreements, we could be subject to the following risks, among others, any of which could adversely affect our ability to develop and commercialize our products and product candidates:</w:t>
      </w:r>
    </w:p>
    <w:p>
      <w:pPr>
        <w:spacing w:after="0" w:line="81" w:lineRule="exact"/>
        <w:rPr>
          <w:sz w:val="20"/>
          <w:szCs w:val="20"/>
          <w:color w:val="auto"/>
        </w:rPr>
      </w:pPr>
    </w:p>
    <w:p>
      <w:pPr>
        <w:ind w:left="360" w:hanging="356"/>
        <w:spacing w:after="0" w:line="260" w:lineRule="auto"/>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we may not be able to control the amount and timing of resources that the collaborator devotes to the development of the product candidate;</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collaborator may experience financial difficulties;</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we may be required to relinquish important rights such as marketing, distribution and intellectual property rights;</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9360"/>
          </w:cols>
          <w:pgMar w:left="1260" w:top="858" w:right="1260" w:bottom="0" w:gutter="0" w:footer="0" w:header="0"/>
          <w:type w:val="continuous"/>
        </w:sectPr>
      </w:pPr>
    </w:p>
    <w:bookmarkStart w:id="64" w:name="page65"/>
    <w:bookmarkEnd w:id="64"/>
    <w:p>
      <w:pPr>
        <w:ind w:left="360" w:hanging="356"/>
        <w:spacing w:after="0" w:line="260" w:lineRule="auto"/>
        <w:tabs>
          <w:tab w:leader="none" w:pos="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 collaborator could move forward with a competing product developed either independently or in collaboration with third parties, including our competitors;</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safety and/or efficacy data from a collaborator’s clinical development activities may conflict with our data and could potentially impact our global clinical development and commercialization activities;</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 collaborator may unlawfully use or disclose confidential information and materials in breach of confidentiality obligations to us;</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business combinations or significant changes in a collaborator’s business strategy may adversely affect our willingness to complete our obligations under any arrangement;</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we or a collaborator could fail to adequately perform our obligations under the agreement and/or the agreement could fall into dispute; or</w:t>
      </w:r>
    </w:p>
    <w:p>
      <w:pPr>
        <w:spacing w:after="0" w:line="61" w:lineRule="exact"/>
        <w:rPr>
          <w:rFonts w:ascii="Arial" w:cs="Arial" w:eastAsia="Arial" w:hAnsi="Arial"/>
          <w:sz w:val="20"/>
          <w:szCs w:val="20"/>
          <w:color w:val="auto"/>
        </w:rPr>
      </w:pPr>
    </w:p>
    <w:p>
      <w:pPr>
        <w:ind w:left="360" w:hanging="356"/>
        <w:spacing w:after="0" w:line="287" w:lineRule="auto"/>
        <w:tabs>
          <w:tab w:leader="none" w:pos="3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we may be involved in lawsuits to protect or enforce patents covering our products or product candidates, or relating to the terms of our collaborations, which could be expensive, time consuming and unsuccessful.</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b w:val="1"/>
          <w:bCs w:val="1"/>
          <w:i w:val="1"/>
          <w:iCs w:val="1"/>
          <w:color w:val="auto"/>
        </w:rPr>
        <w:t>We currently rely on third-party manufacturers and suppliers for production of the active pharmaceutical ingredient ensifentrine and its derived formulated products. Our dependence on these third parties may impair the advancement of our research and development programs. Moreover, we rely on third parties to produce commercial supplies of Ohtuvayre, and commercialization could be stopped, delayed or made less profitable if those third parties fail to maintain the necessary approvals from the FDA or comparable regulatory authorities, fail to provide us with sufficient quantities of product in a timely manner or fail to do so at acceptable quality levels or prices or fail to otherwise complete their duties in compliance with their obligations to us or other parties.</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own facilities for manufacturing ensifentrine and its derived formulated products. Instead, we rely on and expect to continue to rely on third-party CMOs, for the supply of cGMP- or GMP-grade clinical trial materials of ensifentrine and its derived formulated products, including commercial quantities of Ohtuvayre. While we may contract with other CMOs in the future, we currently have one CMO for the manufacture of ensifentrine drug substance and one CMO for each formulation of ensifentrine. The facilities used to manufacture ensifentrine and its derived formulated products must be approved for the manufacture of ensifentrine by the FDA, and by comparable foreign regulatory authorities for approvals outside the U.S. While we provide sponsor oversight of manufacturing activities, we do not and will not directly control the manufacturing process of, and are or will be essentially dependent on, our CMOs for compliance with cGMP and similar foreign requirements for the manufacture of ensifentrine and its derived formulated products. If a CMO cannot successfully manufacture material that conforms to our specifications and the regulatory requirements of the FDA or a comparable foreign regulatory authority, it will not be able to secure or maintain regulatory approval for the manufacture of ensifentrine and its derived formulated products in its manufacturing facilities. In addition, we have little direct control over the ability of a CMO to maintain adequate quality control, quality assurance and qualified personnel. If the FDA or a comparable foreign regulatory authority does not approve these facilities for the manufacture of ensifentrine and its derived formulated products or if it withdraws any such approval in the future, we may need to find alternative manufacturing facilities, which would delay our development program and significantly impact our ability to develop, and obtain or maintain regulatory approval for or market ensifentrine and its derived formulated products. In addition, any failure to achieve and maintain compliance with these laws, regulations and standards could subject us to the risk that we may have to suspend the manufacture of ensifentrine and its derived formulated products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ensifentrine and its derived formulated products means that we are subject to the risk that ensifentrine and its derived formulated products may have manufacturing defects that we have limited ability to prevent, detect or control.</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rely on and will continue to rely on CMOs to purchase from third-party suppliers the materials necessary to produce ensifentrine and its derived formulated products and the inhalation and nebulization devices to deliver ensifentrine. We do not and will not have any direct control over the process or timing of the acquisition and delivery of these supplies by any CMO or its third-party suppliers, or the quality or quantity of such supplies. These supplies could be interrupted from time to time and, if interrupted, we cannot be certain that alternative supplies could be obtained within a reasonable timeframe, at an acceptable cost or quality, or at all. There are a limited</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9360"/>
          </w:cols>
          <w:pgMar w:left="1260" w:top="858" w:right="1260" w:bottom="0" w:gutter="0" w:footer="0" w:header="0"/>
          <w:type w:val="continuous"/>
        </w:sectPr>
      </w:pPr>
    </w:p>
    <w:bookmarkStart w:id="65" w:name="page66"/>
    <w:bookmarkEnd w:id="65"/>
    <w:p>
      <w:pPr>
        <w:jc w:val="both"/>
        <w:spacing w:after="0" w:line="245" w:lineRule="auto"/>
        <w:rPr>
          <w:sz w:val="20"/>
          <w:szCs w:val="20"/>
          <w:color w:val="auto"/>
        </w:rPr>
      </w:pPr>
      <w:r>
        <w:rPr>
          <w:rFonts w:ascii="Arial" w:cs="Arial" w:eastAsia="Arial" w:hAnsi="Arial"/>
          <w:sz w:val="19"/>
          <w:szCs w:val="19"/>
          <w:color w:val="auto"/>
        </w:rPr>
        <w:t>number of suppliers for the raw materials that we may use to manufacture ensifentrine and for the drug delivery devices (e.g. nebulizers) that we use for clinical trials with ensifentrine, and we may need to assess alternate suppliers to prevent a possible disruption to our clinical trials and commercial sales. Although we generally do not begin a clinical trial unless we believe we have on hand, or will be able to obtain, a sufficient supply of ensifentrine to complete the clinical trial, any significant delay in the supply of ensifentrine drug products, or the raw material components needed to produce, or devices needed to deliver, ensifentrine, for an ongoing clinical trial due to our CMOs or their third-party suppliers could considerably delay completion of our clinical trials, product testing and potential regulatory approval of ensifentrine. If our CMOs, their third-party supplies, or we are unable to purchase these supplies, there would be a shortage in supply, which would impair our ability to generate revenues from the sale of Ohtuvayre. In addition, growth in the costs and expenses of these supplies may impair our ability to cost-effectively manufacture ensifentrine. Additionally, CMOs may experience labor constraints which could impact their ability to manufacture and deliver ensifentrine.</w:t>
      </w:r>
    </w:p>
    <w:p>
      <w:pPr>
        <w:spacing w:after="0" w:line="8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We rely and will continue to rely on CMOs and third-party suppliers to comply with and respect the proprietary rights of others in conducting their contractual obligations for us. If a CMO or third-party suppliers fails to acquire the proper licenses or otherwise infringes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ensifentrine and any of its derived formulated products.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Intellectual Property</w:t>
      </w:r>
    </w:p>
    <w:p>
      <w:pPr>
        <w:spacing w:after="0" w:line="228"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i w:val="1"/>
          <w:iCs w:val="1"/>
          <w:color w:val="auto"/>
        </w:rPr>
        <w:t>We rely on patents and other intellectual property rights to protect our products and product candidates, the enforcement, defense and maintenance of which may be challenging and costly. Failure to enforce or protect these rights adequately could harm our ability to compete and impair our business.</w:t>
      </w:r>
    </w:p>
    <w:p>
      <w:pPr>
        <w:spacing w:after="0" w:line="4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Our commercial success depends in part on obtaining and maintaining patents and other forms of intellectual property rights for our products and product candidates, or on in-licensing such rights. The registrations of the assignment of each of these patents and patent applications with the relevant authorities in certain jurisdictions in which the patent and patent applications are registered have been granted, but there is no assurance that any additional registrations will be effected in a timely manner or at all. Failure to protect or to obtain, maintain or extend adequate patent and other intellectual property rights could adversely affect our ability to develop and market Ohtuvayre or our product candidates.</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provide assurance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ensifentrine,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7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Because patent applications are confidential for a period of time after filing, and some remain so until issued, we cannot be certain that we or our licensors were the first to file any patent application related to ensifentrine.</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9360"/>
          </w:cols>
          <w:pgMar w:left="1260" w:top="858" w:right="1260" w:bottom="0" w:gutter="0" w:footer="0" w:header="0"/>
          <w:type w:val="continuous"/>
        </w:sectPr>
      </w:pPr>
    </w:p>
    <w:bookmarkStart w:id="66" w:name="page67"/>
    <w:bookmarkEnd w:id="66"/>
    <w:p>
      <w:pPr>
        <w:jc w:val="both"/>
        <w:spacing w:after="0" w:line="247" w:lineRule="auto"/>
        <w:rPr>
          <w:sz w:val="20"/>
          <w:szCs w:val="20"/>
          <w:color w:val="auto"/>
        </w:rPr>
      </w:pPr>
      <w:r>
        <w:rPr>
          <w:rFonts w:ascii="Arial" w:cs="Arial" w:eastAsia="Arial" w:hAnsi="Arial"/>
          <w:sz w:val="19"/>
          <w:szCs w:val="19"/>
          <w:color w:val="auto"/>
        </w:rPr>
        <w:t>Furthermore, if third parties have filed such patent applications on or before March 15, 2013, the date on which the U.S. patent filing system changed from a first-to-invent to a first-to-file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7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auto"/>
        </w:rPr>
        <w:t>We may not identify relevant third-party patents or may incorrectly interpret the relevance, scope or expiration of a third-party patent which might adversely affect our ability to develop, manufacture and market our products and our product candidates, if approved.</w:t>
      </w:r>
    </w:p>
    <w:p>
      <w:pPr>
        <w:spacing w:after="0" w:line="76"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products in any jurisdiction.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product candidates could have been filed by others without our knowledge. Additionally, pending patent applications that have been published can, subject to certain limitations, be later amended in a manner that could cover our products or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and, if approved, our product candidates. We may incorrectly determine that one of our products or product candidates is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products or, if approved, our product candidates. Our failure to identify and correctly interpret relevant patents may negatively impact our ability to develop and market our products and, if approved, our product candidates.</w:t>
      </w:r>
    </w:p>
    <w:p>
      <w:pPr>
        <w:spacing w:after="0" w:line="9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our products or, if approved, our product candidates. We might, if possible, also be forced to redesign our products or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auto"/>
        </w:rPr>
        <w:t>We may be involved in lawsuits to protect or enforce patents covering our products or product candidates, which could be expensive, time consuming and unsuccessful, and issued patents could be found invalid or unenforceable if challenged in court.</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 consuming and expensive, we may fail in enforcing our rights -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our products or product candidates, and then compete directly with us, without payment to us. If we in-license intellectual property rights, our 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If we were to initiate legal proceedings against a third party to enforce a patent covering one of our products or product candidates, the defendant could counterclaim that our patent is invalid or unenforceable. In patent litigation in the U.S. or in Europe, defendant counterclaims alleging invalidity or unenforceability are commonplace. Grounds</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9360"/>
          </w:cols>
          <w:pgMar w:left="1260" w:top="858" w:right="1260" w:bottom="0" w:gutter="0" w:footer="0" w:header="0"/>
          <w:type w:val="continuous"/>
        </w:sectPr>
      </w:pPr>
    </w:p>
    <w:bookmarkStart w:id="67" w:name="page68"/>
    <w:bookmarkEnd w:id="67"/>
    <w:p>
      <w:pPr>
        <w:jc w:val="both"/>
        <w:spacing w:after="0" w:line="261" w:lineRule="auto"/>
        <w:rPr>
          <w:sz w:val="20"/>
          <w:szCs w:val="20"/>
          <w:color w:val="auto"/>
        </w:rPr>
      </w:pPr>
      <w:r>
        <w:rPr>
          <w:rFonts w:ascii="Arial" w:cs="Arial" w:eastAsia="Arial" w:hAnsi="Arial"/>
          <w:sz w:val="18"/>
          <w:szCs w:val="18"/>
          <w:color w:val="auto"/>
        </w:rPr>
        <w:t>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products or product candidates. Patents and other intellectual property rights also will not protect our technology if competitors design around our protected technology without infringing our patents or other intellectual property rights.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industry commentators or investors perceive these results to be negative, it could have an adverse effect on the price of our ADSs.</w:t>
      </w:r>
    </w:p>
    <w:p>
      <w:pPr>
        <w:spacing w:after="0" w:line="63"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commercial success depends, in part, upon our ability, and the ability of our future collaborators, to develop, manufacture, market and sell our products and, if approved, our product candidates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ensifentrine.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products may be subject to claims of infringement of the intellectual property rights of third parties.</w:t>
      </w:r>
    </w:p>
    <w:p>
      <w:pPr>
        <w:spacing w:after="0" w:line="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may in the future become party to, or be threatened with, adversarial proceedings or litigation regarding intellectual property rights with respect to Ohtuvayre and any existing or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or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spacing w:after="0" w:line="7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Ohtuvayre or from selling, incorporating, manufacturing or using our products or product candidates in the U.S. and/or other jurisdictions that use the subject intellectual property. We might, if possible, also be forced to redesign our products or product candidates so that we no longer infringe the third-party intellectual property rights, which may result in significant cost or delay to us, or</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9360"/>
          </w:cols>
          <w:pgMar w:left="1260" w:top="858" w:right="1260" w:bottom="0" w:gutter="0" w:footer="0" w:header="0"/>
          <w:type w:val="continuous"/>
        </w:sectPr>
      </w:pPr>
    </w:p>
    <w:bookmarkStart w:id="68" w:name="page69"/>
    <w:bookmarkEnd w:id="68"/>
    <w:p>
      <w:pPr>
        <w:jc w:val="both"/>
        <w:spacing w:after="0" w:line="245" w:lineRule="auto"/>
        <w:rPr>
          <w:sz w:val="20"/>
          <w:szCs w:val="20"/>
          <w:color w:val="auto"/>
        </w:rPr>
      </w:pPr>
      <w:r>
        <w:rPr>
          <w:rFonts w:ascii="Arial" w:cs="Arial" w:eastAsia="Arial" w:hAnsi="Arial"/>
          <w:sz w:val="20"/>
          <w:szCs w:val="20"/>
          <w:color w:val="auto"/>
        </w:rPr>
        <w:t>which redesign could be technically infeasible. Any of these events, even if we were ultimately to prevail, could require us to divert substantial financial and management resources that we would otherwise be able to devote to our business.</w:t>
      </w:r>
    </w:p>
    <w:p>
      <w:pPr>
        <w:spacing w:after="0" w:line="7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In addition, if the breadth or strength of protection provided by our or our licensors’ or collaborators’ patents and patent applications is threatened, it could dissuade companies from collaborating with us to license, develop or commercialize Ohtuvayre or any existing or future product candidates.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5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Intellectual property litigation could cause us to spend substantial resources and distract our personnel from their normal responsibilities.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perceptions could have a substantial adverse effect on the price of our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5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auto"/>
        </w:rPr>
        <w:t>If we fail to comply with our obligations under our existing and any future intellectual property licenses, the 2024 Loan Agreement, the RIPSA or any other future loan agreements with third parties, we could lose rights that are important to our business.</w:t>
      </w:r>
    </w:p>
    <w:p>
      <w:pPr>
        <w:spacing w:after="0" w:line="7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are party to a license agreement with Ligand, under which we in-license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We also entered into the 2024 Loan Agreement with the 2024 Lenders. The 2024 Term Loans is secured by a first-priority lien on substantially all of the assets of Verona Pharma, Inc. and the Company, including intellectual property. We also entered into the RIPSA with the Purchasers. The RIPSA is secured by a second-priority lien on certain of our intellectual property. For further description of the 2024 Term Loans and RIPSA, see Note 5 – Debt to the Consolidated Financial Statements included elsewhere in this Annual Report 10-K. Any uncured, material breach under any of these agreements could result in our loss of rights to practice the patent rights and other intellectual property under these agreements, and could compromise our development and commercialization efforts for our products.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53"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i w:val="1"/>
          <w:iCs w:val="1"/>
          <w:color w:val="auto"/>
        </w:rPr>
        <w:t>We may not be successful in maintaining the necessary rights to our products or product candidates or obtaining other intellectual property rights important to our business through acquisitions and in-licenses.</w:t>
      </w:r>
    </w:p>
    <w:p>
      <w:pPr>
        <w:spacing w:after="0" w:line="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currently own and have in-licensed rights to intellectual property, including patents, patent applications and know-how, and our success will likely depend on maintaining these rights. Because our programs may require the use of proprietary rights held by third parties, the growth of our business will likely depend in part on our ability to acquire, in-license, maintain or use these proprietary rights. In addition, our products or product candidates may</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9360"/>
          </w:cols>
          <w:pgMar w:left="1260" w:top="858" w:right="1260" w:bottom="0" w:gutter="0" w:footer="0" w:header="0"/>
          <w:type w:val="continuous"/>
        </w:sectPr>
      </w:pPr>
    </w:p>
    <w:bookmarkStart w:id="69" w:name="page70"/>
    <w:bookmarkEnd w:id="69"/>
    <w:p>
      <w:pPr>
        <w:jc w:val="both"/>
        <w:spacing w:after="0" w:line="249" w:lineRule="auto"/>
        <w:rPr>
          <w:sz w:val="20"/>
          <w:szCs w:val="20"/>
          <w:color w:val="auto"/>
        </w:rPr>
      </w:pPr>
      <w:r>
        <w:rPr>
          <w:rFonts w:ascii="Arial" w:cs="Arial" w:eastAsia="Arial" w:hAnsi="Arial"/>
          <w:sz w:val="19"/>
          <w:szCs w:val="19"/>
          <w:color w:val="auto"/>
        </w:rPr>
        <w:t>require specific formulations to work effectively and the rights to these formulations may be held by others. We may be unable to acquire or in-license any compositions, methods of use, processes, or other third-party intellectual property rights that we identify as necessary for our products or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72"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a development program on acceptable terms, we may have to abandon that development program.</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i w:val="1"/>
          <w:iCs w:val="1"/>
          <w:color w:val="auto"/>
        </w:rPr>
        <w:t>If our trademarks and trade names are not adequately protected, then we may not be able to build name recognition in our markets of interest and our competitive position may be adversely affected.</w:t>
      </w:r>
    </w:p>
    <w:p>
      <w:pPr>
        <w:spacing w:after="0" w:line="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have registered trademarks in some territories and made applications to register the trademarks in other territories for potential trade names for our business and products and product candidates. We may not be able to obtain trademark protection for our trade names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spacing w:after="0" w:line="5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auto"/>
        </w:rPr>
        <w:t>If we do not obtain protection under the Hatch-Waxman Amendments and similar non-U.S. legislation for extending the term of patents covering Ohtuvayre and any of our product candidates, our ability to compete effectively could be impaired.</w:t>
      </w:r>
    </w:p>
    <w:p>
      <w:pPr>
        <w:spacing w:after="0" w:line="76"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Patents have a limited lifespan. In the U.S., if all maintenance fees are timely paid, the natural expiration of a patent is generally 20 years from its earliest U.S. non-provisional filing date. The issued patents covering the composition of matter for Ohtuvayre expired in 2020. Our other issued patents covering Ohtuvayre will expire in 2031 and 2035, subject to any patent extensions that may be available for such patents. If patents are issued on our pending US patent applications relating to Ohtuvayre, the resulting US patents are projected to expire on dates ranging from 2043 to 2045. Various extensions may be available, but the life of a patent, and the protection it affords, is limited. Even if patents covering Ohtuvayre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One of our U.S. patents for Ohtuvayre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6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Generic drug companies can also challenge the patents of a brand-name drug under the Hatch-Waxman Act. When a generic drug manufacturer files an Abbreviated New Drug Application (ANDA) or a New Drug Application (under 21 U.S.C. § 355(b)(2)) with the FDA to seek approval for a generic version of a brand-name drug that is already on</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9360"/>
          </w:cols>
          <w:pgMar w:left="1260" w:top="858" w:right="1260" w:bottom="0" w:gutter="0" w:footer="0" w:header="0"/>
          <w:type w:val="continuous"/>
        </w:sectPr>
      </w:pPr>
    </w:p>
    <w:bookmarkStart w:id="70" w:name="page71"/>
    <w:bookmarkEnd w:id="70"/>
    <w:p>
      <w:pPr>
        <w:jc w:val="both"/>
        <w:spacing w:after="0" w:line="258" w:lineRule="auto"/>
        <w:rPr>
          <w:sz w:val="20"/>
          <w:szCs w:val="20"/>
          <w:color w:val="auto"/>
        </w:rPr>
      </w:pPr>
      <w:r>
        <w:rPr>
          <w:rFonts w:ascii="Arial" w:cs="Arial" w:eastAsia="Arial" w:hAnsi="Arial"/>
          <w:sz w:val="18"/>
          <w:szCs w:val="18"/>
          <w:color w:val="auto"/>
        </w:rPr>
        <w:t>the market, they must make certain certifications regarding the patents listed for such drug in the FDA’s publication entitled Approved Drug Products with Therapeutic Equivalence Evaluations (Orange Book). The Orange Book lists patents that innovator drug companies assert cover their drug products or use of those products and a Paragraph IV certification is a legal challenge to the validity or enforceability, or infringement, of the patent(s) listed in the Orange Book. If the generic applicant makes a Paragraph IV certification, they must also notify the patent holder and the NDA (New Drug Application) holder that they have filed an ANDA or NDA with a Paragraph IV certification, providing detailed reasons why the patent is not valid or not infringed. The filing of a Paragraph IV certification can trigger a statutory stay of approval of the ANDA or NDA for 30 months while the parties engage in patent litigation, unless the litigation is resolved in favor of the generic applicant sooner or the court orders otherwise. This process can be a critical aspect of the generic drug approval pathway and may impact the timing of a generic drug’s entry into the market. Currently, there are three patents listed in the Orange Book for our product Ohtuvayre. Additional pending patent applications related to Ohtuvayre may result in granted patents that are then eligible for Orange Book listing. Ohtuvayre (and the patents listed in the Orange Book for Ohtuvayre) may be cited by potential competitors as a reference listed drug in support of approval of an ANDA for a generic version of Ohtuvayre. Our ability to assert or defend patents covering Ohtuvayre through this process will be adversely affected if we fail to seek or maintain listing of eligible patents in the Orange Book, or fail to otherwise maintain patents for which we have already obtained Orange Book listing.</w:t>
      </w:r>
    </w:p>
    <w:p>
      <w:pPr>
        <w:spacing w:after="0" w:line="65"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i w:val="1"/>
          <w:iCs w:val="1"/>
          <w:color w:val="auto"/>
        </w:rPr>
        <w:t>We enjoy only limited geographical protection with respect to certain patents and may face difficulties in certain jurisdictions, which may diminish the value of our intellectual property rights in those jurisdictions.</w:t>
      </w:r>
    </w:p>
    <w:p>
      <w:pPr>
        <w:spacing w:after="0" w:line="12"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We generally file our first patent application, or priority filing, at the U.K. Intellectual Property Office or the U.S. Patent and Trademark Office. International applications under the Patent Cooperation Treaty, or PCT, are usually filed within 12 months after the priority filing. Based on the PCT filing, national and regional patent applications may be filed in additional jurisdictions where we believe a product candidate may be marketed or manufactured. We have so far not filed for patent protection for our products in all national and regional jurisdictions where such protection may be available. Filing, prosecuting and defending patents in all countries throughout the world would be prohibitively expensive, and our intellectual property rights in some countries outside the U.S. can be less extensive than those in the U.S..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8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Competitors may use our or our licensors’ or collaborators’ technologies in jurisdictions where we have not obtained patent protection to develop their own products and, further, may export otherwise infringing products to territories where we or our licensors or collaborators have patent protection, but enforcement is not as strong as that in the U.S.. These products may compete with our product candidates, and our and our licensors’ or collaborators’ patents or other intellectual property rights may not be effective or sufficient to prevent them from competing.</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9360"/>
          </w:cols>
          <w:pgMar w:left="1260" w:top="858" w:right="1260" w:bottom="0" w:gutter="0" w:footer="0" w:header="0"/>
          <w:type w:val="continuous"/>
        </w:sectPr>
      </w:pPr>
    </w:p>
    <w:bookmarkStart w:id="71" w:name="page72"/>
    <w:bookmarkEnd w:id="71"/>
    <w:p>
      <w:pPr>
        <w:jc w:val="both"/>
        <w:spacing w:after="0" w:line="275" w:lineRule="auto"/>
        <w:rPr>
          <w:sz w:val="20"/>
          <w:szCs w:val="20"/>
          <w:color w:val="auto"/>
        </w:rPr>
      </w:pPr>
      <w:r>
        <w:rPr>
          <w:rFonts w:ascii="Arial" w:cs="Arial" w:eastAsia="Arial" w:hAnsi="Arial"/>
          <w:sz w:val="18"/>
          <w:szCs w:val="18"/>
          <w:color w:val="auto"/>
        </w:rPr>
        <w:t>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5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7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4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5" w:lineRule="exact"/>
        <w:rPr>
          <w:sz w:val="20"/>
          <w:szCs w:val="20"/>
          <w:color w:val="auto"/>
        </w:rPr>
      </w:pPr>
    </w:p>
    <w:p>
      <w:pPr>
        <w:ind w:left="360" w:hanging="356"/>
        <w:spacing w:after="0" w:line="287" w:lineRule="auto"/>
        <w:tabs>
          <w:tab w:leader="none" w:pos="3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Others may be able to make compounds that are the same as or similar to our products or product candidates but that are not covered by the claims of the patents that we own or have exclusively licensed;</w:t>
      </w:r>
    </w:p>
    <w:p>
      <w:pPr>
        <w:spacing w:after="0" w:line="37" w:lineRule="exact"/>
        <w:rPr>
          <w:rFonts w:ascii="Arial" w:cs="Arial" w:eastAsia="Arial" w:hAnsi="Arial"/>
          <w:sz w:val="19"/>
          <w:szCs w:val="19"/>
          <w:color w:val="auto"/>
        </w:rPr>
      </w:pPr>
    </w:p>
    <w:p>
      <w:pPr>
        <w:ind w:left="360" w:hanging="356"/>
        <w:spacing w:after="0" w:line="260" w:lineRule="auto"/>
        <w:tabs>
          <w:tab w:leader="none" w:pos="3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patents of third parties may impair our ability to develop or commercialize our products or product candidates;</w:t>
      </w:r>
    </w:p>
    <w:p>
      <w:pPr>
        <w:spacing w:after="0" w:line="61"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We or our licensors or any future strategic collaborators might not have been the first to conceive or reduce to practice the inventions covered by the issued patent or pending patent application that we own or have exclusively licensed;</w:t>
      </w:r>
    </w:p>
    <w:p>
      <w:pPr>
        <w:spacing w:after="0" w:line="75"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We or our licensors or any future collaborators might not have been the first to file patent applications covering certain of our inventions;</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Others may independently develop similar or alternative technologies or duplicate any of our technologies without infringing our intellectual property rights;</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It is possible that our pending patent applications will not lead to issued patents;</w:t>
      </w:r>
    </w:p>
    <w:p>
      <w:pPr>
        <w:spacing w:after="0" w:line="109" w:lineRule="exact"/>
        <w:rPr>
          <w:rFonts w:ascii="Arial" w:cs="Arial" w:eastAsia="Arial" w:hAnsi="Arial"/>
          <w:sz w:val="20"/>
          <w:szCs w:val="20"/>
          <w:color w:val="auto"/>
        </w:rPr>
      </w:pPr>
    </w:p>
    <w:p>
      <w:pPr>
        <w:ind w:left="360" w:hanging="356"/>
        <w:spacing w:after="0" w:line="287" w:lineRule="auto"/>
        <w:tabs>
          <w:tab w:leader="none" w:pos="3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Issued patents that we own or have exclusively licensed may not provide us with any competitive advantage, or may be held invalid or unenforceable, as a result of legal challenges by our competitors;</w:t>
      </w:r>
    </w:p>
    <w:p>
      <w:pPr>
        <w:spacing w:after="0" w:line="37" w:lineRule="exact"/>
        <w:rPr>
          <w:rFonts w:ascii="Arial" w:cs="Arial" w:eastAsia="Arial" w:hAnsi="Arial"/>
          <w:sz w:val="19"/>
          <w:szCs w:val="19"/>
          <w:color w:val="auto"/>
        </w:rPr>
      </w:pPr>
    </w:p>
    <w:p>
      <w:pPr>
        <w:jc w:val="both"/>
        <w:ind w:left="360" w:hanging="356"/>
        <w:spacing w:after="0" w:line="245" w:lineRule="auto"/>
        <w:tabs>
          <w:tab w:leader="none" w:pos="3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5"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Third parties performing manufacturing or testing for us using our product candidates or technologies could use the intellectual property of others without obtaining a proper license; and</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We may not develop additional technologies that are patentable.</w:t>
      </w:r>
    </w:p>
    <w:p>
      <w:pPr>
        <w:spacing w:after="0" w:line="101"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i w:val="1"/>
          <w:iCs w:val="1"/>
          <w:color w:val="auto"/>
        </w:rPr>
        <w:t>Changes in patent laws or patent jurisprudence could diminish the value of patents in general, thereby impairing our ability to protect our products or any existing or future product candidates.</w:t>
      </w:r>
    </w:p>
    <w:p>
      <w:pPr>
        <w:spacing w:after="0" w:line="57"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both technological</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9360"/>
          </w:cols>
          <w:pgMar w:left="1260" w:top="858" w:right="1260" w:bottom="0" w:gutter="0" w:footer="0" w:header="0"/>
          <w:type w:val="continuous"/>
        </w:sectPr>
      </w:pPr>
    </w:p>
    <w:bookmarkStart w:id="72" w:name="page73"/>
    <w:bookmarkEnd w:id="72"/>
    <w:p>
      <w:pPr>
        <w:jc w:val="both"/>
        <w:spacing w:after="0" w:line="245" w:lineRule="auto"/>
        <w:rPr>
          <w:sz w:val="20"/>
          <w:szCs w:val="20"/>
          <w:color w:val="auto"/>
        </w:rPr>
      </w:pPr>
      <w:r>
        <w:rPr>
          <w:rFonts w:ascii="Arial" w:cs="Arial" w:eastAsia="Arial" w:hAnsi="Arial"/>
          <w:sz w:val="20"/>
          <w:szCs w:val="20"/>
          <w:color w:val="auto"/>
        </w:rPr>
        <w:t>complexity and legal complexity. Therefore, obtaining and enforcing biopharmaceutical patents is costly, time consuming and inherently uncertain. In addition, the America Invents Act (the “AIA”), which was passed on September 16, 2011, resulted in significant changes to the U.S. patent system.</w:t>
      </w:r>
    </w:p>
    <w:p>
      <w:pPr>
        <w:spacing w:after="0" w:line="75"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An important change introduced by the AIA is that, as of March 16, 2013, the U.S.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but circumstances could prevent us from promptly filing patent applications on our inventions.</w:t>
      </w:r>
    </w:p>
    <w:p>
      <w:pPr>
        <w:spacing w:after="0" w:line="82"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8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8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79"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Finally, a Unitary Patent and Unified Patent Court (“UPC”) system was implemented in Europe on June 1, 2023. This new regime may present uncertainties for our ability to protect and enforce our patent rights against competitors in Europe. Under the UPC, all European patents in countries taking part in the UPC, including those issued prior to ratification of the European Patent Package, by default automatically fall under the jurisdiction of the UPC. The UPC provides our competitors with a new forum to centrally revoke our European patents in UPC countries, and allows for the possibility of a competitor to obtain pan-European injunctions. It will be several years before we will understand the scope of patent rights that will be recognized and the strength of patent remedies that will be provided by the UPC. Under the UPC agreement, we will have the right to opt our patents out of the UPC over the first seven years of the court’s existence, but doing so may preclude us from realizing the benefits of the new unified court.</w:t>
      </w:r>
    </w:p>
    <w:p>
      <w:pPr>
        <w:spacing w:after="0" w:line="7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Confidentiality agreements with employees and others may not adequately prevent disclosure of trade secrets and protect other proprietary information.</w:t>
      </w:r>
    </w:p>
    <w:p>
      <w:pPr>
        <w:spacing w:after="0" w:line="5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consider proprietary trade secrets and confidential know-how and unpatented know-how to be important to our business. We may rely on trade secrets or confidential know-how to protect our technology, especially where patent protection is believed to be of limited value. However, trade secrets and confidential know-how are difficult to maintain as confidential.</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9360"/>
          </w:cols>
          <w:pgMar w:left="1260" w:top="858" w:right="1260" w:bottom="0" w:gutter="0" w:footer="0" w:header="0"/>
          <w:type w:val="continuous"/>
        </w:sectPr>
      </w:pPr>
    </w:p>
    <w:bookmarkStart w:id="73" w:name="page74"/>
    <w:bookmarkEnd w:id="73"/>
    <w:p>
      <w:pPr>
        <w:jc w:val="both"/>
        <w:spacing w:after="0" w:line="261" w:lineRule="auto"/>
        <w:rPr>
          <w:sz w:val="20"/>
          <w:szCs w:val="20"/>
          <w:color w:val="auto"/>
        </w:rPr>
      </w:pPr>
      <w:r>
        <w:rPr>
          <w:rFonts w:ascii="Arial" w:cs="Arial" w:eastAsia="Arial" w:hAnsi="Arial"/>
          <w:sz w:val="18"/>
          <w:szCs w:val="18"/>
          <w:color w:val="auto"/>
        </w:rPr>
        <w:t>proprietary technologies will be effective. We cannot guarantee that our trade secrets and other proprietary and confidential information will not be disclosed or that competitors will not otherwise gain access to our trade secrets. However, current or former employees, consultants, contractors and advisors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41"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3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7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7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our products or product candidates, our competitors might be able to enter the market, which would hurt our competitive position and could impair our ability to successfully commercialize Ohtuvayre or any existing or future product candidate.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Information Technology</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and those of our manufacturers, suppliers and other third parties that we use to perform services for us or otherwise collaborate with, may fail or suffer security breaches, which could distract our operations and cause delays in our research and development and commercialization activities, and may adversely affect our business, operations and financial performance.</w:t>
      </w:r>
    </w:p>
    <w:p>
      <w:pPr>
        <w:spacing w:after="0" w:line="5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the ordinary course of our business, we and our manufacturers, suppliers and third parties that we use to perform services for us or otherwise collaborate with, collect and store sensitive data, including intellectual property, clinical trial data, sales, forecasting, and commercial performance data, proprietary business information and personally</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9360"/>
          </w:cols>
          <w:pgMar w:left="1260" w:top="858" w:right="1260" w:bottom="0" w:gutter="0" w:footer="0" w:header="0"/>
          <w:type w:val="continuous"/>
        </w:sectPr>
      </w:pPr>
    </w:p>
    <w:bookmarkStart w:id="74" w:name="page75"/>
    <w:bookmarkEnd w:id="74"/>
    <w:p>
      <w:pPr>
        <w:jc w:val="both"/>
        <w:spacing w:after="0" w:line="247" w:lineRule="auto"/>
        <w:rPr>
          <w:sz w:val="20"/>
          <w:szCs w:val="20"/>
          <w:color w:val="auto"/>
        </w:rPr>
      </w:pPr>
      <w:r>
        <w:rPr>
          <w:rFonts w:ascii="Arial" w:cs="Arial" w:eastAsia="Arial" w:hAnsi="Arial"/>
          <w:sz w:val="19"/>
          <w:szCs w:val="19"/>
          <w:color w:val="auto"/>
        </w:rPr>
        <w:t>identifiable information (collectively, “Confidential Information”) in our and third-party data centers and on our and third-party networks. The secure processing, maintenance and transmission of Confidential Information is critical to our operations. Our information technology and other internal infrastructure systems, including cloud services, corporate firewalls, servers, leased lines and connection to the Internet, and that of our manufacturers, suppliers and other third parties that we use to perform services for us or otherwise collaborate with, face the risk of systemic failure that could disrupt our operations. A significant disruption in the availability of these information technology and other internal infrastructure systems could cause interruptions in our collaborations and delays in our research and development and commercialization activities.</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Further, our information technology systems and those of our third-party service providers, strategic partners and other contractors or consultants are vulnerable to damage, attack or interruption from computer viruses, malware (e.g. ransomware), misconfigurations, “bugs” or other vulnerabilities,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Attacks upon information technology systems are increasing in their frequency, levels of persistence, sophistication and intensity, and are being conducted by sophisticated and organized groups and individuals with a wide range of motives and expertise. As a result of a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There can also be no assurance that our and our manufacturers’, suppliers’ and other critical third parties’ cybersecurity risk management program and processes, including policies, controls or procedures, will be fully implemented, complied with or effective in protecting our systems, networks and Confidential Information.</w:t>
      </w:r>
    </w:p>
    <w:p>
      <w:pPr>
        <w:spacing w:after="0" w:line="91"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Despite security measures that we and our critical third parties (e.g., collaborators) implement, our information technology and infrastructure may be vulnerable to attacks by hackers or internal bad actors, breaches due to human error, technical vulnerabilities, malfeasance or other disruptions. We and certain of our service providers are from time to time subject to cyberattacks and security incidents. Although to our knowledge we have not experienced any significant security breach to date, any such breach could compromise our information technology systems and the Confidential Information stored there could be accessed, publicly disclosed, lost or stolen. Any such access, disclosure or other loss of information could result in legal claims or proceedings, liability under laws that protect the privacy of personal data, regulatory penalties, disrupt our operations, damage our reputation, and cause a loss of confidence in us and our ability to conduct clinical trials and commercialize our product candidates, which could adversely affect our reputation and delay clinical development and commercialization of our product candidates.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losses, costs or liabilities may not be covered by, or may exceed the coverage limits of, any or all applicable insurance policies.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Employee Matters and Managing Growth</w:t>
      </w:r>
    </w:p>
    <w:p>
      <w:pPr>
        <w:spacing w:after="0" w:line="22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Our future growth and ability to compete depends on our ability to retain our key personnel and recruit additional qualified personnel.</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Our success depends upon the contributions of our key management, scientific and technical personnel, many of whom have been instrumental for us and have substantial experience with ensifentrine and related technologies. Our key management individuals include our chief executive officer, David Zaccardelli, our chief financial officer, Mark Hahn, our general counsel, Andrew Fisher, our chief medical officer, Kathleen Rickard, our chief regulatory officer, Caroline Diaz, our chief commercial officer, Christopher Martin, and our chief development officer, Tara Rheault. The loss of key personnel could impact our commercialization efforts and research and development activities. In addition, the competition for qualified personnel in the biopharmaceutical and pharmaceutical field is intense, and</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9360"/>
          </w:cols>
          <w:pgMar w:left="1260" w:top="858" w:right="1260" w:bottom="0" w:gutter="0" w:footer="0" w:header="0"/>
          <w:type w:val="continuous"/>
        </w:sectPr>
      </w:pPr>
    </w:p>
    <w:bookmarkStart w:id="75" w:name="page76"/>
    <w:bookmarkEnd w:id="75"/>
    <w:p>
      <w:pPr>
        <w:jc w:val="both"/>
        <w:spacing w:after="0" w:line="252" w:lineRule="auto"/>
        <w:rPr>
          <w:sz w:val="20"/>
          <w:szCs w:val="20"/>
          <w:color w:val="auto"/>
        </w:rPr>
      </w:pPr>
      <w:r>
        <w:rPr>
          <w:rFonts w:ascii="Arial" w:cs="Arial" w:eastAsia="Arial" w:hAnsi="Arial"/>
          <w:sz w:val="19"/>
          <w:szCs w:val="19"/>
          <w:color w:val="auto"/>
        </w:rPr>
        <w:t>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commercialization goals for Ohtuvayre and our product candidate development objectives, raise additional capital and implement our business strategy.</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auto"/>
        </w:rPr>
        <w:t>We are continuing to expand our development, regulatory, commercial, sales, marketing, reimbursement and distribution capabilities, and as a result, we may encounter difficulties in managing our growth, which could disrupt our operations.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experienced significant growth in the number of our employees and the scope of our operations, particularly in the areas of commercial operations and sales, marketing, reimbursement and distribution. To manage this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ADSs</w:t>
      </w:r>
    </w:p>
    <w:p>
      <w:pPr>
        <w:spacing w:after="0" w:line="228" w:lineRule="exact"/>
        <w:rPr>
          <w:sz w:val="20"/>
          <w:szCs w:val="20"/>
          <w:color w:val="auto"/>
        </w:rPr>
      </w:pPr>
    </w:p>
    <w:p>
      <w:pPr>
        <w:jc w:val="both"/>
        <w:spacing w:after="0" w:line="349" w:lineRule="auto"/>
        <w:rPr>
          <w:sz w:val="20"/>
          <w:szCs w:val="20"/>
          <w:color w:val="auto"/>
        </w:rPr>
      </w:pPr>
      <w:r>
        <w:rPr>
          <w:rFonts w:ascii="Arial" w:cs="Arial" w:eastAsia="Arial" w:hAnsi="Arial"/>
          <w:sz w:val="17"/>
          <w:szCs w:val="17"/>
          <w:b w:val="1"/>
          <w:bCs w:val="1"/>
          <w:i w:val="1"/>
          <w:iCs w:val="1"/>
          <w:color w:val="auto"/>
        </w:rPr>
        <w:t>Certain of our shareholders, members of our board of directors, and senior management who own our ordinary shares (including ordinary shares represented by ADSs) may be able to exercise significant control over us.</w:t>
      </w:r>
    </w:p>
    <w:p>
      <w:pPr>
        <w:jc w:val="both"/>
        <w:spacing w:after="0" w:line="247" w:lineRule="auto"/>
        <w:rPr>
          <w:sz w:val="20"/>
          <w:szCs w:val="20"/>
          <w:color w:val="auto"/>
        </w:rPr>
      </w:pPr>
      <w:r>
        <w:rPr>
          <w:rFonts w:ascii="Arial" w:cs="Arial" w:eastAsia="Arial" w:hAnsi="Arial"/>
          <w:sz w:val="19"/>
          <w:szCs w:val="19"/>
          <w:color w:val="auto"/>
        </w:rPr>
        <w:t>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Among other consequences, this concentration of ownership may have the effect of delaying or preventing a change in control and might therefore negatively affect the market price of our ADSs and ordinary shares.</w:t>
      </w:r>
    </w:p>
    <w:p>
      <w:pPr>
        <w:spacing w:after="0" w:line="7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auto"/>
        </w:rPr>
        <w:t>Because we do not anticipate paying any cash dividends on our ADSs or ordinary shares in the foreseeable future, capital appreciation, if any, will be our ADS holders’ and shareholders’ sole source of gains and they may never receive a return on their investment.</w:t>
      </w:r>
    </w:p>
    <w:p>
      <w:pPr>
        <w:spacing w:after="0" w:line="76"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Under current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As a result, capital appreciation, if any, on our ADSs or ordinary shares will be our ADS holders’ and shareholders’ sole source of gain for the foreseeable future, and they will suffer a loss on their investment if they are unable to sell their ADSs or ordinary shares at or above the price at which they were purchased. Investors seeking cash dividends should not purchase our ADSs or ordinary shares.</w:t>
      </w:r>
    </w:p>
    <w:p>
      <w:pPr>
        <w:spacing w:after="0" w:line="7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Holders of our ADSs may not have the same voting rights as the holders of our ordinary shares and may not receive voting materials in time to be able to exercise their right to vote.</w:t>
      </w:r>
    </w:p>
    <w:p>
      <w:pPr>
        <w:spacing w:after="0" w:line="57"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Holders of our ADSs are not able to exercise voting rights attaching to the ordinary shares evidenced by our ADSs on an individual basis. Holders of our ADSs have appointed a depositary as their representative to exercise the voting rights attaching to the ordinary shares represented by their ADSs. Holders of our ADSs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voting rights and may lack recourse if their ADSs are not voted as requested. In addition, holders of our ADSs will not be able to call a shareholders’ meeting.</w:t>
      </w:r>
    </w:p>
    <w:p>
      <w:pPr>
        <w:spacing w:after="0" w:line="6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Holders of our ADSs may not receive distributions on our ordinary shares represented by our ADSs or any value for them if it is illegal or impractical to make them available to them.</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9360"/>
          </w:cols>
          <w:pgMar w:left="1260" w:top="858" w:right="1260" w:bottom="0" w:gutter="0" w:footer="0" w:header="0"/>
          <w:type w:val="continuous"/>
        </w:sectPr>
      </w:pPr>
    </w:p>
    <w:bookmarkStart w:id="76" w:name="page77"/>
    <w:bookmarkEnd w:id="76"/>
    <w:p>
      <w:pPr>
        <w:jc w:val="both"/>
        <w:spacing w:after="0" w:line="262" w:lineRule="auto"/>
        <w:rPr>
          <w:sz w:val="20"/>
          <w:szCs w:val="20"/>
          <w:color w:val="auto"/>
        </w:rPr>
      </w:pPr>
      <w:r>
        <w:rPr>
          <w:rFonts w:ascii="Arial" w:cs="Arial" w:eastAsia="Arial" w:hAnsi="Arial"/>
          <w:sz w:val="18"/>
          <w:szCs w:val="18"/>
          <w:color w:val="auto"/>
        </w:rPr>
        <w:t>The depositary for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our ordinary shares their ADSs represent. However, in accordance with the limitations set forth in the deposit agreement entered into with the depositary, it may be unlawful or impractical to make a distribution available to holders of our ADSs. We have no obligation to take any other action to permit the distribution of our ADSs, ordinary shares, rights or anything else to holders of our ADSs. This means that holders of our ADSs may not receive the distributions we make on our ordinary shares or any value from them if it is unlawful or impractical to make the distributions available to them. These restrictions may have a material adverse effect on the value of our ADSs.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Holders of our ADSs may be subject to limitations on transfer of their ADSs.</w:t>
      </w:r>
    </w:p>
    <w:p>
      <w:pPr>
        <w:spacing w:after="0" w:line="11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 These limitations on transfer may have a material adverse effect on the value of our ADSs.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rights of our shareholders may differ from the rights typically offered to shareholders of a U.S. corporation.</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material respects from the rights of shareholders in typical U.S. corporations. As a result, investors in our ordinary shares or ADSs may not have the same protections or rights as they would if they had invested in a U.S. corporation. This may make our ADSs less attractive to such investors, which could harm the value of our ADSs.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Claims of U.S. civil liabilities may not be enforceable against us.</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We are incorporated under English law. Some of our assets are located outside the U.S. and certain members of our board of directors reside outside the U.S.. As a result, it may not be possible for investors to effect service of process within the U.S. upon such persons or to enforce judgments obtained in U.S. courts against them or us, including judgments predicated upon the civil liability provisions of the U.S. federal securities laws.</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U.S. and the U.K. do not currently have a treaty providing for recognition and enforcement of judgments (other than arbitration awards) in civil and commercial matters. Consequently, a final judgment for payment given by a court in the U.S., whether or not predicated solely upon U.S. securities laws, would not automatically be recognized or enforceable in the U.K.. In addition, uncertainty exists as to whether U.K. courts would entertain original actions brought in the U.K. against us or our directors or senior management predicated upon the securities laws of the U.S. or any state in the U.S.. Any final and conclusive monetary judgment for a definite sum obtained against us in U.S. courts would be treated by the courts of the U.K.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As a result, U.S. investors may not be able to enforce against us or our board of directors or certain experts named herein who are residents of the U.K. or countries other than the U.S. any judgments obtained in U.S. courts in civil and commercial matters, including judgments under the U.S. federal securities laws.</w:t>
      </w:r>
    </w:p>
    <w:p>
      <w:pPr>
        <w:spacing w:after="0" w:line="49"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4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9360"/>
          </w:cols>
          <w:pgMar w:left="1260" w:top="858" w:right="1260" w:bottom="0" w:gutter="0" w:footer="0" w:header="0"/>
          <w:type w:val="continuous"/>
        </w:sectPr>
      </w:pPr>
    </w:p>
    <w:bookmarkStart w:id="77" w:name="page78"/>
    <w:bookmarkEnd w:id="77"/>
    <w:p>
      <w:pPr>
        <w:jc w:val="both"/>
        <w:spacing w:after="0" w:line="250" w:lineRule="auto"/>
        <w:rPr>
          <w:sz w:val="20"/>
          <w:szCs w:val="20"/>
          <w:color w:val="auto"/>
        </w:rPr>
      </w:pPr>
      <w:r>
        <w:rPr>
          <w:rFonts w:ascii="Arial" w:cs="Arial" w:eastAsia="Arial" w:hAnsi="Arial"/>
          <w:sz w:val="19"/>
          <w:szCs w:val="19"/>
          <w:color w:val="auto"/>
        </w:rPr>
        <w:t>financial reporting that are deemed to be material weaknesses or that may require prospective or retroactive changes to our financial statements or identify other areas for further attention or improvement. As we continue to transition to a commercial company following the FDA’s approval of Ohtuvayre, our internal controls over financial reporting may become more complex, which could increase the probability of deficiencies in our internal controls in the future. Inadequate internal controls could also cause investors to lose confidence in our reported financial information, which could have a negative effect on the trading price of our ADSs.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Taxation</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7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New income, sales use or other tax laws, statutes, rules, regulations or ordinances could be enacted at any time, or interpreted, changed, modified or applied adversely to us, any of which could adversely affect our business operations and financial performance. We are currently unable to predict whether such changes will occur and, if so, the ultimate impact on our business. To the extent that such changes have a negative impact on us, including as a result of related uncertainty, these changes may materially and adversely impact our business, financial condition, results of operations and cash flows.</w:t>
      </w:r>
    </w:p>
    <w:p>
      <w:pPr>
        <w:spacing w:after="0" w:line="8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We carry out research and development activities including, but not limited to, developing ensifentrine for various indications and delivery methods, and as a result we have previously benefitted in the U.K. from the HM Revenue and Customs, or HMRC, small and medium sized enterprises research and development relief, or SME R&amp;D Relief, which provides relief against U.K. Corporation Tax or is surrenderable for a cash credit where a company is loss making and relevant criteria are met.</w:t>
      </w:r>
    </w:p>
    <w:p>
      <w:pPr>
        <w:spacing w:after="0" w:line="8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Broadly, SME R&amp;D Relief allows qualifying SMEs to deduct a total of 186% of their qualifying expenditure from their yearly profit for U.K. Corporation Tax purposes (the deduction is given by allowing an additional 86% deduction plus the usual 100% deduction). Where there are not sufficient profits for U.K. Corporation Tax purposes to fully utilize the SME R&amp;D Additional Deduction, the excess (“surrenderable losses”) can be carried forward to offset against future taxable profits, or a tax credit currently equal to 10% of such surrenderable loss can be claimed in cash, or the SME R&amp;D Tax Credit (i.e., the excess losses are surrendered in exchange for a cash credit payment).</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addition, for accounting periods beginning on or after 1 April 2024, the R&amp;D intensive loss-making SME scheme threshold (broadly, the proportion of qualifying R&amp;D expenditure compared to total expenditure, including connected group companies) will be 30%. Therefore, loss-making SMEs with qualifying R&amp;D expenditure of 30% or more of its total expenditure may claim an enhanced deduction of 86% and a repayable credit of 14.5%.</w:t>
      </w:r>
    </w:p>
    <w:p>
      <w:pPr>
        <w:spacing w:after="0" w:line="5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Based on criteria established by HMRC a portion of expenditure incurred in relation to our research and development activities including, but not limited to, operating clinical trials, manufacturing, consultant and salary and related costs, is eligible for the SME R&amp;D Additional Deduction. Our consequential surrenderable losses are currently eligible for the SME R&amp;D Tax Credit, in accordance with HMRC criteria.</w:t>
      </w:r>
    </w:p>
    <w:p>
      <w:pPr>
        <w:spacing w:after="0" w:line="6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In the financial statements for the years ended December 31, 2024 and December 31, 2023, we recorded SME R&amp;D Tax Credits of $3.7 million and $2.0 million, respectively. We received the credit relating to the year ended December 31, 2022 in June 2024. Based on the HMRC criteria, we expect to receive the credit relating to the years ended December 31, 2023 and 2024 in 2025.</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Changes to the U.K.’s SME R&amp;D Relief regime that take effect for accounting periods beginning on or after April 1, 2024, may adversely affect the financial benefit of the R&amp;D claim. Such changes have introduced a single R&amp;D relief regime which merges the current “RDEC” and SME R&amp;D Relief scheme. The credit rate under the legislation is 20% of qualifying expenditure, with the credit itself subject to U.K. corporation tax. The credit will therefore be reduced by the applicable rate of U.K. corporation tax (the main rate of which is currently 25%), although the notional tax rate that applies to loss-making companies will be set at the lower rate of 19% for the purposes of the new R&amp;D relief regime. Therefore, under current rates of U.K. corporation tax, profitable businesses subject to the main rate of U.K. corporation tax will effectively receive a credit of 15% of qualifying expenditure whilst loss-making businesses will receive a credit of 16.2%.</w:t>
      </w:r>
    </w:p>
    <w:p>
      <w:pPr>
        <w:spacing w:after="0" w:line="6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If we are classified as a passive foreign investment company, certain adverse U.S. federal income tax consequences could apply to U.S. Holders</w:t>
      </w:r>
      <w:r>
        <w:rPr>
          <w:rFonts w:ascii="Arial" w:cs="Arial" w:eastAsia="Arial" w:hAnsi="Arial"/>
          <w:sz w:val="20"/>
          <w:szCs w:val="20"/>
          <w:b w:val="1"/>
          <w:bCs w:val="1"/>
          <w:color w:val="auto"/>
        </w:rPr>
        <w:t>.</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9360"/>
          </w:cols>
          <w:pgMar w:left="1260" w:top="858" w:right="1260" w:bottom="0" w:gutter="0" w:footer="0" w:header="0"/>
          <w:type w:val="continuous"/>
        </w:sectPr>
      </w:pPr>
    </w:p>
    <w:bookmarkStart w:id="78" w:name="page79"/>
    <w:bookmarkEnd w:id="78"/>
    <w:p>
      <w:pPr>
        <w:jc w:val="both"/>
        <w:spacing w:after="0" w:line="246" w:lineRule="auto"/>
        <w:rPr>
          <w:sz w:val="20"/>
          <w:szCs w:val="20"/>
          <w:color w:val="auto"/>
        </w:rPr>
      </w:pPr>
      <w:r>
        <w:rPr>
          <w:rFonts w:ascii="Arial" w:cs="Arial" w:eastAsia="Arial" w:hAnsi="Arial"/>
          <w:sz w:val="19"/>
          <w:szCs w:val="19"/>
          <w:color w:val="auto"/>
        </w:rPr>
        <w:t>Based on the composition of our income and assets and the value of our assets in the taxable year ended December 31, 2024, we believe that we were not a passive foreign investment company (“PFIC”) for U.S. federal income tax purposes for such taxable year. However, no assurances regarding our PFIC status can be provided for any taxable year. If we are classified as a PFIC for any taxable year during which a U.S. Holder (as defined below) holds our ordinary shares or ADSs, certain adverse U.S. federal income tax consequences could apply to such U.S. Holder, including (i) the treatment of all or a portion of any gain on disposition of our ordinary shares or ADSs as ordinary income, (ii) the application of a deferred interest charge on such gain and the receipt of certain dividends, and (iii) the obligation to comply with certain reporting requirements. We cannot provide any assurances that we will furnish to any U.S. Holder information that may be necessary to comply with the aforementioned reporting and tax payment obligations.</w:t>
      </w:r>
    </w:p>
    <w:p>
      <w:pPr>
        <w:spacing w:after="0" w:line="7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A non-U.S. corporation will generally be considered a PFIC for any taxable year in which (i) 75% or more of its gross income consists of passive income or (ii) 50% or more of the value of its assets (generally determined on the basis of a quarterly average)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the assets and income of such corporation. The determination of whether we are a PFIC is a fact-intensive determination made on an annual basis applying principles and methodologies that in some circumstances are unclear and subject to varying interpretation. Under the income test, our status as a PFIC depends on the composition of our income which will depend on the transactions we enter into and our corporate structure. The composition of our income and assets is also affected by the spending of the cash we raise in any offering. Each U.S. Holder should consult its tax advisors with respect to the potential adverse U.S. tax consequences to it if we are a PFIC.</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If we are classified as a PFIC in any year with respect to which a U.S. Holder owns our ordinary shares or ADSs, we will continue to be treated as a PFIC with respect to such U.S. Holder in all succeeding years during which the U.S. Holder owns our ordinary shares or ADSs, regardless of whether we continue to meet the PFIC tests described above, unless the U.S. Holder makes a specified election once we cease to be a PFIC.</w:t>
      </w:r>
    </w:p>
    <w:p>
      <w:pPr>
        <w:spacing w:after="0" w:line="6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 “U.S. Holder” is any beneficial owner of our ordinary shares or ADSs that, for U.S. federal income tax purposes, is or is treated as any of the following: a citizen or individual resident of the U.S.; a corporation, or other entity taxable as a corporation, created or organized in or under the laws of the U.S., any state therein or the District of Columbia; an estate the income of which is subject to U.S. federal income taxation regardless of its source; or a trust that (i) is subject to the supervision of a U.S. court and all substantial decisions of which are subject to the control of one or more “United States persons” (within the meaning of Section 7701(a)(30) of the United States Internal Revenue Code of 1986, as amended (the “Internal Revenue Code”)), or (ii) has a valid election in effect to be treated as a United States person.</w:t>
      </w:r>
    </w:p>
    <w:p>
      <w:pPr>
        <w:spacing w:after="0" w:line="7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If a U.S. Holder is treated as owning at least 10% of our ordinary shares or ADSs, such holder may be subject to adverse U.S. federal income tax consequences.</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a U.S. Holder (as defined above) is treated as owning (directly, indirectly or constructively) at least 10% of the value or voting power of our ordinary shares or ADSs, such U.S. Holder would generally be treated as a “United States shareholder” (within the meaning of Section 951(b) of the Internal Revenue Code) with respect to each “controlled foreign corporation” (within the meaning of Section 957(a) of the Internal Revenue Code (a “CFC”)) in our group, if any. Because our group includes one or more U.S. subsidiaries, certain of our non-U.S. subsidiaries could be treated as CFCs, regardless of whether we are treated as a CFC. A United States shareholder of a CFC may be required to report annually and include in its U.S. taxable income its pro rata share of “Subpart F income,” “global intangible low-taxed income” and investments in U.S. property by such CFC, regardless of whether such CFC makes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expiration of the statute of limitations with respect to such shareholder’s U.S. federal income tax return for the year for which reporting was due. We cannot provide any assurances that we will assist investors in determining whether we or any of our non-U.S. subsidiaries are treated as CFCs or whether any such investor is treated as a United States shareholder with respect to any such CFCs. Further, we cannot provide any assurances that we will furnish to any United States shareholder information that may be necessary to comply with the reporting and tax payment obligations described in this risk factor. U.S. Holders should consult their tax advisors regarding the potential application of these rules to their investment in our ordinary shares or ADSs.</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9360"/>
          </w:cols>
          <w:pgMar w:left="1260" w:top="858" w:right="1260" w:bottom="0" w:gutter="0" w:footer="0" w:header="0"/>
          <w:type w:val="continuous"/>
        </w:sectPr>
      </w:pPr>
    </w:p>
    <w:bookmarkStart w:id="79" w:name="page80"/>
    <w:bookmarkEnd w:id="79"/>
    <w:p>
      <w:pPr>
        <w:spacing w:after="0"/>
        <w:rPr>
          <w:sz w:val="20"/>
          <w:szCs w:val="20"/>
          <w:color w:val="auto"/>
        </w:rPr>
      </w:pPr>
      <w:r>
        <w:rPr>
          <w:rFonts w:ascii="Arial" w:cs="Arial" w:eastAsia="Arial" w:hAnsi="Arial"/>
          <w:sz w:val="20"/>
          <w:szCs w:val="20"/>
          <w:b w:val="1"/>
          <w:bCs w:val="1"/>
          <w:color w:val="auto"/>
        </w:rPr>
        <w:t>General Risks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price of our ADSs may be volatile and may fluctuate due to factors beyond our control.</w:t>
      </w:r>
    </w:p>
    <w:p>
      <w:pPr>
        <w:spacing w:after="0" w:line="11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trading market for publicly traded emerging biopharmaceutical and drug discovery and development companies has been highly volatile and is likely to remain highly volatile in the future. The market price of our ADSs may fluctuate significantly due to a variety of factors, including:</w:t>
      </w:r>
    </w:p>
    <w:p>
      <w:pPr>
        <w:spacing w:after="0" w:line="75" w:lineRule="exact"/>
        <w:rPr>
          <w:sz w:val="20"/>
          <w:szCs w:val="20"/>
          <w:color w:val="auto"/>
        </w:rPr>
      </w:pPr>
    </w:p>
    <w:p>
      <w:pPr>
        <w:ind w:left="360" w:hanging="356"/>
        <w:spacing w:after="0" w:line="260" w:lineRule="auto"/>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public concern relating to the commercial value or safety of ensifentrine, including for our approved product Ohtuvayre;</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developments in our competitors’ businesses;</w:t>
      </w:r>
    </w:p>
    <w:p>
      <w:pPr>
        <w:spacing w:after="0" w:line="109"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delays in entering into collaborations and strategic relationships with respect to commercialization of Ohtuvayre or development of ensifentrine in other target indications or formulations, or entry into collaborations and strategic relationships on terms that are not deemed to be favorable to us;</w:t>
      </w:r>
    </w:p>
    <w:p>
      <w:pPr>
        <w:spacing w:after="0" w:line="75" w:lineRule="exact"/>
        <w:rPr>
          <w:rFonts w:ascii="Arial" w:cs="Arial" w:eastAsia="Arial" w:hAnsi="Arial"/>
          <w:sz w:val="20"/>
          <w:szCs w:val="20"/>
          <w:color w:val="auto"/>
        </w:rPr>
      </w:pPr>
    </w:p>
    <w:p>
      <w:pPr>
        <w:ind w:left="360" w:hanging="356"/>
        <w:spacing w:after="0"/>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technological innovations or commercial product introductions by us or competitors;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changes in government regulations;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changes in healthcare payment systems;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developments concerning proprietary rights, including patents and litigation matters;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positive or negative results from, or delays in, clinical trials of ensifentrine;</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financing or other corporate transactions;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actual or anticipated fluctuations in our financial condition or operating results;</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our failure or the failure of our competitors to meet analysts’ projections or guidance that we or our competitors may give to the market;</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limitations regarding the ownership of ADSs, including as related to their inclusion in U.S. market indices;</w:t>
      </w:r>
    </w:p>
    <w:p>
      <w:pPr>
        <w:spacing w:after="0" w:line="121" w:lineRule="exact"/>
        <w:rPr>
          <w:rFonts w:ascii="Arial" w:cs="Arial" w:eastAsia="Arial" w:hAnsi="Arial"/>
          <w:sz w:val="19"/>
          <w:szCs w:val="19"/>
          <w:color w:val="auto"/>
        </w:rPr>
      </w:pPr>
    </w:p>
    <w:p>
      <w:pPr>
        <w:ind w:left="360" w:hanging="356"/>
        <w:spacing w:after="0"/>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publication of research reports or comments by securities or industry analysts or commentators;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general market conditions in the pharmaceutical industry or in the economy as a whole;</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loss of any of our key scientific or senior management personnel;</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our ADSs by us, our senior management or board members, and significant holders of our ADSs; or</w:t>
      </w:r>
    </w:p>
    <w:p>
      <w:pPr>
        <w:spacing w:after="0" w:line="132" w:lineRule="exact"/>
        <w:rPr>
          <w:rFonts w:ascii="Arial" w:cs="Arial" w:eastAsia="Arial" w:hAnsi="Arial"/>
          <w:sz w:val="18"/>
          <w:szCs w:val="18"/>
          <w:color w:val="auto"/>
        </w:rPr>
      </w:pPr>
    </w:p>
    <w:p>
      <w:pPr>
        <w:ind w:left="360" w:hanging="356"/>
        <w:spacing w:after="0"/>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other events and factors, many of which are beyond our control.</w:t>
      </w:r>
    </w:p>
    <w:p>
      <w:pPr>
        <w:spacing w:after="0" w:line="110"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our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7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i w:val="1"/>
          <w:iCs w:val="1"/>
          <w:color w:val="auto"/>
        </w:rPr>
        <w:t>Future sales, or the possibility of future sales, of a substantial number of our ADSs or ordinary shares could adversely affect the price of our ADSs.</w:t>
      </w:r>
    </w:p>
    <w:p>
      <w:pPr>
        <w:spacing w:after="0" w:line="5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Future sales of a substantial number of our ADSs or ordinary shares, or the perception that such sales will occur, could cause a decline in the market price of our ADSs. Sales in the U.S. of our ADSs and ordinary shares held by our directors, officers and affiliated shareholders are subject to restrictions. If these shareholders sell substantial amounts of ordinary shares or ADSs in the public market, or the market perceives that such sales may occur, the market price of our ADSs and our ability to raise capital through an issue of equity securities in the future could be adversely affected.</w:t>
      </w:r>
    </w:p>
    <w:p>
      <w:pPr>
        <w:sectPr>
          <w:pgSz w:w="11880" w:h="15480" w:orient="portrait"/>
          <w:cols w:equalWidth="0" w:num="1">
            <w:col w:w="9360"/>
          </w:cols>
          <w:pgMar w:left="1260" w:top="85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9360"/>
          </w:cols>
          <w:pgMar w:left="1260" w:top="850" w:right="1260" w:bottom="0" w:gutter="0" w:footer="0" w:header="0"/>
          <w:type w:val="continuous"/>
        </w:sectPr>
      </w:pPr>
    </w:p>
    <w:bookmarkStart w:id="80" w:name="page81"/>
    <w:bookmarkEnd w:id="80"/>
    <w:p>
      <w:pPr>
        <w:jc w:val="both"/>
        <w:spacing w:after="0" w:line="262" w:lineRule="auto"/>
        <w:rPr>
          <w:sz w:val="20"/>
          <w:szCs w:val="20"/>
          <w:color w:val="auto"/>
        </w:rPr>
      </w:pPr>
      <w:r>
        <w:rPr>
          <w:rFonts w:ascii="Arial" w:cs="Arial" w:eastAsia="Arial" w:hAnsi="Arial"/>
          <w:sz w:val="18"/>
          <w:szCs w:val="18"/>
          <w:color w:val="auto"/>
        </w:rPr>
        <w:t>Unstable market and economic conditions may have serious adverse consequences on our business and financial condition and the price of our ADSs.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If the equity and credit markets continue to deteriorate or the U.K. or the U.S. enters a recession, it may make any necessary debt or equity financing more difficult to obtain in a timely manner or on favorable terms, more costly or more dilutive. In addition, there is a risk that one or more of our CROs, suppliers or other third-party providers may not survive an economic downturn or recession. As a result, our business, results of operations and price of our ADSs may be adversely affected.</w:t>
      </w:r>
    </w:p>
    <w:p>
      <w:pPr>
        <w:spacing w:after="0" w:line="56"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i w:val="1"/>
          <w:iCs w:val="1"/>
          <w:color w:val="auto"/>
        </w:rPr>
        <w:t>If securities or industry analysts or commentators publish inaccurate or unfavorable research, about our business, the price of our ADSs and ordinary shares and our trading volume could decline.</w:t>
      </w:r>
    </w:p>
    <w:p>
      <w:pPr>
        <w:spacing w:after="0" w:line="3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trading market for our ADSs and ordinary shares depends in part on the research and reports that securities or industry analysts or commentators publish about us, our business or our industry. If one or more of the analysts who cover us downgrade our ADSs or if they or other industry commentators publish inaccurate or unfavorable research or comments about our business, the price of our ADSs and ordinary shares would likely decline. If one or more of these analysts cease coverage of us or fail to publish reports on us regularly, demand for our ADSs could decrease, which might cause the price of our ADSs and ordinary shares and trading volume to decline.</w:t>
      </w:r>
    </w:p>
    <w:p>
      <w:pPr>
        <w:spacing w:after="0" w:line="4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i w:val="1"/>
          <w:iCs w:val="1"/>
          <w:color w:val="auto"/>
        </w:rPr>
        <w:t>We have incurred and expect to continue to incur increased costs as a result of operating as a public company in the U.S., and our senior management are required to devote substantial time to new compliance initiatives and corporate governance practices.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U.S. public company, we have incurred and expect to continue to incur significant legal, accounting and other expenses that we did not incur prior to becoming a U.S. public company.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have devoted and will need to continue to devote a substantial amount of time to these compliance initiatives. Moreover, these rules and regulations will continue to increase our legal and financial compliance costs and will make some activities more time-consuming and costly.</w:t>
      </w:r>
    </w:p>
    <w:p>
      <w:pPr>
        <w:spacing w:after="0" w:line="6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83"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Pursuant to Section 404 of the Sarbanes-Oxley Act of 2002, or Section 404, we are required to furnish a report by our senior management on our internal control over financial reporting and an attestation report on internal control over financial reporting issued by our independent registered public accounting firm. To maintain compliance with Section 404(b), we have implemented a process of documenting and evaluating our internal control over financial reporting. In this regard, we have dedicated, and will need to continue to dedicate, internal resources, engage outside consultants and pursue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which is both costly and challenging. Despite our efforts, there is a risk that we will not be able to conclude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interruptions could adversely affect our operations.</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operations are potentially vulnerable to interruption by fire, severe weather conditions, power loss, telecommunications failure, terrorist activity, public health crises and pandemic diseases, and other natural and man-made disasters or events beyond our control. Our facilities are located in regions that experience severe weather from time to time. We have not undertaken a systematic analysis of the potential consequences to our business and financial results from a major tornado, flood, fire, earthquake, power loss, terrorist activity, public health crisis, pandemic diseases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9360"/>
          </w:cols>
          <w:pgMar w:left="1260" w:top="858" w:right="1260" w:bottom="0" w:gutter="0" w:footer="0" w:header="0"/>
          <w:type w:val="continuous"/>
        </w:sectPr>
      </w:pPr>
    </w:p>
    <w:bookmarkStart w:id="81" w:name="page82"/>
    <w:bookmarkEnd w:id="81"/>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Cybersecurity Risk Management and Strategy</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have developed and implemented a cybersecurity risk management program intended to protect the confidentiality, integrity, and availability of our critical systems and information.</w:t>
      </w:r>
    </w:p>
    <w:p>
      <w:pPr>
        <w:spacing w:after="0" w:line="6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design and assess our program based on the National Institute of Standards and Technology Cybersecurity Framework (“NIST CSF”).This does not imply that we meet any particular technical standards, specifications, or requirements, only that we use the NIST CSF as a guide to help us identify, assess, and manage cybersecurity risks relevant to our business.</w:t>
      </w:r>
    </w:p>
    <w:p>
      <w:pPr>
        <w:spacing w:after="0" w:line="8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Key elements of our cybersecurity risk management program includes:</w:t>
      </w:r>
    </w:p>
    <w:p>
      <w:pPr>
        <w:spacing w:after="0" w:line="110" w:lineRule="exact"/>
        <w:rPr>
          <w:sz w:val="20"/>
          <w:szCs w:val="20"/>
          <w:color w:val="auto"/>
        </w:rPr>
      </w:pPr>
    </w:p>
    <w:p>
      <w:pPr>
        <w:ind w:left="360" w:hanging="356"/>
        <w:spacing w:after="0" w:line="260" w:lineRule="auto"/>
        <w:tabs>
          <w:tab w:leader="none" w:pos="3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risk assessments designed to help identify material risks from cybersecurity threats to our critical systems and information;</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 information technology team principally responsible for managing (1) our cybersecurity risk assessment processes, (2) our security controls, and (3) our response to cybersecurity incidents;</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use of external advisors and service providers, where appropriate, to assess, test or otherwise assist with aspects of our security processes;</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cybersecurity awareness training of our employees and contractors, including incident response personnel, and senior management;</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 cybersecurity incident response plan that includes procedures for responding to cybersecurity incidents and alignment with the broader corporate business continuity plan; and</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 third-party risk management process for key service providers based on our assessment of their criticality to our operations and respective risk profile.</w:t>
      </w:r>
    </w:p>
    <w:p>
      <w:pPr>
        <w:spacing w:after="0" w:line="6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titled “Risk Factor— Our business and operations may suffer in the event of information technology system failures, cyberattacks or deficiencies in our cybersecurity.”</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Cybersecurity Governance</w:t>
      </w:r>
    </w:p>
    <w:p>
      <w:pPr>
        <w:spacing w:after="0" w:line="11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Our Board considers cybersecurity risk as part of its risk oversight function and has delegated to the Audit Committee (the “Committee”) oversight of cybersecurity risks, including oversight of management’s implementation of our cybersecurity risk management program.</w:t>
      </w:r>
    </w:p>
    <w:p>
      <w:pPr>
        <w:spacing w:after="0" w:line="7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Committee receives quarterly reports from management on our cybersecurity risks. In addition, management updates the Committee, where it deems appropriate, regarding cybersecurity incidents it considers to be significant or potentially significant.</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Committee reports to the full Board regarding its activities, including those related to cybersecurity. The full Board also receives briefings from management on our cyber risk management program. Board members receive presentations on cybersecurity topics from our Vice President, Digital and Information Technology, internal security staff or external experts as part of the Board’s continuing education on topics that impact public companies.</w:t>
      </w:r>
    </w:p>
    <w:p>
      <w:pPr>
        <w:spacing w:after="0" w:line="5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management team, including our Vice President, Digital and Information Technology and Chief Financial Officer,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team’s experience</w:t>
      </w:r>
    </w:p>
    <w:p>
      <w:pPr>
        <w:sectPr>
          <w:pgSz w:w="11880" w:h="15480" w:orient="portrait"/>
          <w:cols w:equalWidth="0" w:num="1">
            <w:col w:w="9360"/>
          </w:cols>
          <w:pgMar w:left="1260" w:top="85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9360"/>
          </w:cols>
          <w:pgMar w:left="1260" w:top="850" w:right="1260" w:bottom="0" w:gutter="0" w:footer="0" w:header="0"/>
          <w:type w:val="continuous"/>
        </w:sectPr>
      </w:pPr>
    </w:p>
    <w:bookmarkStart w:id="82" w:name="page83"/>
    <w:bookmarkEnd w:id="82"/>
    <w:p>
      <w:pPr>
        <w:jc w:val="both"/>
        <w:spacing w:after="0" w:line="260" w:lineRule="auto"/>
        <w:rPr>
          <w:sz w:val="20"/>
          <w:szCs w:val="20"/>
          <w:color w:val="auto"/>
        </w:rPr>
      </w:pPr>
      <w:r>
        <w:rPr>
          <w:rFonts w:ascii="Arial" w:cs="Arial" w:eastAsia="Arial" w:hAnsi="Arial"/>
          <w:sz w:val="20"/>
          <w:szCs w:val="20"/>
          <w:color w:val="auto"/>
        </w:rPr>
        <w:t>includes decades of managing public pharmaceutical companies, including their related information technology and cybersecurity risk management programs.</w:t>
      </w:r>
    </w:p>
    <w:p>
      <w:pPr>
        <w:spacing w:after="0" w:line="6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3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Our corporate headquarters is in leased office space at 3 More London Riverside, London, U.K. The leases for these offices expire in the first quarter of 2026. We also have office space at 33 Park of Commerce, Suite 300, Savannah, Georgia, 31405, which expires in the fourth quarter of 2025, and 8529 Six Forks Road, Suite 400, Raleigh, North Carolina, 27615, which expires in the fourth quarter of 2027. We believe that these facilities are adequate to meet our current and near term needs.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From time to time, we may become involved in legal proceedings arising in the ordinary course of our business. We are not currently subject to any material legal proceedings.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9360"/>
          </w:cols>
          <w:pgMar w:left="1260" w:top="858" w:right="1260" w:bottom="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24"/>
          <w:szCs w:val="24"/>
          <w:b w:val="1"/>
          <w:bCs w:val="1"/>
          <w:color w:val="auto"/>
        </w:rPr>
        <w:t>PART II</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 Information and Holders</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Prior to October 30, 2020, our ordinary shares were traded on the AIM Market of the London Stock Exchange under the symbol “VRP”. We canceled the admission of the ordinary shares to trading on AIM on October 30, 2020 and our ordinary shares are now not publicly traded. Our American Depositary Shares (“ADSs”) have been publicly traded on the Nasdaq Global Market under the symbol “VRNA” since April 27, 2017.</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Each ADS represents eight ordinary shares of Verona Pharma plc.</w:t>
      </w:r>
    </w:p>
    <w:p>
      <w:pPr>
        <w:spacing w:after="0" w:line="11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As of February 24, 2025, we had 411 registered holders of ordinary voting shares. 99.9% of our voting ordinary shares are held in ADS form. The 0.1% balance of our ordinary voting shares are held as unlisted voting ordinary shares. We also have 48,088,896 unlisted non-voting ordinary shares.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Dividends</w:t>
      </w:r>
    </w:p>
    <w:p>
      <w:pPr>
        <w:spacing w:after="0" w:line="11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Sales of Unregistered Securities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Performance Graph</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graph set forth below compares the cumulative total shareholder return on our ordinary shares between January 1, 2020 and December 31, 2024, with the cumulative total return of (a) the Nasdaq Biotechnology Index and (b) the Nasdaq Composite Index, over the same period. This graph assumes the investment of $100 on December 31, 2019 in each of our ordinary shares, the Nasdaq Biotechnology Index and the Nasdaq Composite Index and assumes the reinvestment of dividends, if any. The comparisons reflected in the graph and table are not intended to forecast the future performance of our stock and may not be indicative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5215255" cy="3416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5255" cy="3416935"/>
                    </a:xfrm>
                    <a:prstGeom prst="rect">
                      <a:avLst/>
                    </a:prstGeom>
                    <a:noFill/>
                  </pic:spPr>
                </pic:pic>
              </a:graphicData>
            </a:graphic>
          </wp:anchor>
        </w:drawing>
      </w:r>
    </w:p>
    <w:p>
      <w:pPr>
        <w:sectPr>
          <w:pgSz w:w="11880" w:h="15480" w:orient="portrait"/>
          <w:cols w:equalWidth="0" w:num="1">
            <w:col w:w="9360"/>
          </w:cols>
          <w:pgMar w:left="1260" w:top="8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9360"/>
          </w:cols>
          <w:pgMar w:left="1260" w:top="836" w:right="1260" w:bottom="0" w:gutter="0" w:footer="0" w:header="0"/>
          <w:type w:val="continuous"/>
        </w:sectPr>
      </w:pPr>
    </w:p>
    <w:bookmarkStart w:id="84" w:name="page85"/>
    <w:bookmarkEnd w:id="84"/>
    <w:p>
      <w:pPr>
        <w:spacing w:after="0"/>
        <w:rPr>
          <w:sz w:val="20"/>
          <w:szCs w:val="20"/>
          <w:color w:val="auto"/>
        </w:rPr>
      </w:pPr>
      <w:r>
        <w:rPr>
          <w:rFonts w:ascii="Arial" w:cs="Arial" w:eastAsia="Arial" w:hAnsi="Arial"/>
          <w:sz w:val="20"/>
          <w:szCs w:val="20"/>
          <w:b w:val="1"/>
          <w:bCs w:val="1"/>
          <w:color w:val="auto"/>
        </w:rPr>
        <w:t>Item 6. [Reserved]</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3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You should read the following discussion and analysis of our financial condition and results of operations in conjunction with the Consolidated Financial Statements and the related notes to those statements included later in this Annual Report on Form 10-K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Important factors that could cause or contribute to these differences include those discussed below and elsewhere in this Annual Report on Form 10-K, particularly in Part I, Item 1A. “Risk Factors” and the section entitled “Cautionary Note Regarding Forward-Looking Statements.”</w:t>
      </w:r>
    </w:p>
    <w:p>
      <w:pPr>
        <w:spacing w:after="0" w:line="48"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i w:val="1"/>
          <w:iCs w:val="1"/>
          <w:color w:val="auto"/>
        </w:rPr>
        <w:t>In this Item 7, we discuss the results of operations for the years ended December 31, 2024 and 2023 and comparisons of the year ended December 31, 2024 to the year ended December 31, 2023. Discussion and analysis of our 2022 fiscal year specifically, as well as the year-over-year comparison of our 2023 financial performance to 2022, are located in Part II, Item 7 - Management’s Discussion and Analysis of Financial Condition and Results of Operations in our Annual Report on Form 10-K for the fiscal year ended December 31, 2023, filed with the SEC on February 29, 2024.</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are a biopharmaceutical company focused on developing and commercializing innovative therapeutics for the treatment of respiratory diseases with significant unmet medical needs.</w:t>
      </w:r>
    </w:p>
    <w:p>
      <w:pPr>
        <w:spacing w:after="0" w:line="61"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On June 26, 2024, the U.S. Food and Drug Administration (“FDA”) approved Ohtuvayre (ensifentrine) for the maintenance treatment of chronic obstructive pulmonary disease (“COPD”) in adult patients and the Company launched Ohtuvayre in the U.S. through an exclusive network of accredited specialty pharmacies in August 2024. Ohtuvayre is the Company’s first commercial product and the first inhaled therapy with a novel mechanism of action available for the maintenance treatment of COPD in more than 20 years.</w:t>
      </w:r>
    </w:p>
    <w:p>
      <w:pPr>
        <w:spacing w:after="0" w:line="7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Ohtuvayre is a first-in-class selective dual inhibitor of the enzymes phosphodiesterase 3 and 4 (“PDE3” and “PDE 4”) that combines bronchodilator and non-steroidal anti-inflammatory effects in one molecule. Ohtuvayre is delivered directly to the lungs through a standard jet nebulizer without the need for high inspiratory flow rates or complex hand-breath coordination.</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U.S. approval of Ohtuvayre was based on extensive data including the results from our successful Phase 3 ENHANCE program, which have been published in the American Journal of Respiratory and Critical Care Medicine (“AJRCCM”). Ohtuvayre met the primary endpoint in both the ENHANCE-1 and ENHANCE-2 trials demonstrating statistically significant and clinically meaningful improvements in measures of lung function. In addition, other endpoint data demonstrated that Ohtuvayre substantially reduced the rate and risk of COPD exacerbations in ENHANCE-1 and ENHANCE-2. Ohtuvayre was well tolerated in both trials.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recently presented additional analyses of data from the ENHANCE trials at international scientific conferences:</w:t>
      </w:r>
    </w:p>
    <w:p>
      <w:pPr>
        <w:spacing w:after="0" w:line="133" w:lineRule="exact"/>
        <w:rPr>
          <w:sz w:val="20"/>
          <w:szCs w:val="20"/>
          <w:color w:val="auto"/>
        </w:rPr>
      </w:pPr>
    </w:p>
    <w:p>
      <w:pPr>
        <w:jc w:val="both"/>
        <w:ind w:left="360" w:hanging="356"/>
        <w:spacing w:after="0" w:line="239" w:lineRule="auto"/>
        <w:tabs>
          <w:tab w:leader="none" w:pos="3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October 2024, we gave four oral presentations and presented two posters on analyses from the ENHANCE studies including subgroup data supporting improvements in lung function, symptoms and quality of life, as well as reductions in the rate of exacerbations. The analyses were published in the CHEST Annual Meeting on-line supplement.</w:t>
      </w:r>
    </w:p>
    <w:p>
      <w:pPr>
        <w:spacing w:after="0" w:line="83" w:lineRule="exact"/>
        <w:rPr>
          <w:rFonts w:ascii="Arial" w:cs="Arial" w:eastAsia="Arial" w:hAnsi="Arial"/>
          <w:sz w:val="20"/>
          <w:szCs w:val="20"/>
          <w:color w:val="auto"/>
        </w:rPr>
      </w:pPr>
    </w:p>
    <w:p>
      <w:pPr>
        <w:jc w:val="both"/>
        <w:ind w:left="360" w:hanging="356"/>
        <w:spacing w:after="0" w:line="237" w:lineRule="auto"/>
        <w:tabs>
          <w:tab w:leader="none" w:pos="3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September 2024, we gave an oral presentation and presented three posters on additional analyses from the ENHANCE studies at the European Respiratory Society International Congress 2024. The analyses summarized the efficacy and safety of Ohtuvayre in subgroups of patients and a pooled analysis of patient reported outcomes demonstrated its effect on reducing cough and sputum. The abstracts were published in the publication, European Respiratory Journal.</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are commercializing Ohtuvayre for the maintenance treatment of COPD in the U.S. Ohtuvayre is not considered a drug device combination because patients use a readily available standard jet nebulizer to take the treatment. Outside the U.S., we intend to license Ohtuvayre to companies with expertise and experience in developing and commercializing products in those regions. To that end, we have entered into a strategic collaboration with Nuance</w:t>
      </w:r>
    </w:p>
    <w:p>
      <w:pPr>
        <w:sectPr>
          <w:pgSz w:w="11880" w:h="15480" w:orient="portrait"/>
          <w:cols w:equalWidth="0" w:num="1">
            <w:col w:w="9360"/>
          </w:cols>
          <w:pgMar w:left="1260" w:top="131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9360"/>
          </w:cols>
          <w:pgMar w:left="1260" w:top="1310" w:right="1260" w:bottom="0" w:gutter="0" w:footer="0" w:header="0"/>
          <w:type w:val="continuous"/>
        </w:sectPr>
      </w:pPr>
    </w:p>
    <w:bookmarkStart w:id="85" w:name="page86"/>
    <w:bookmarkEnd w:id="85"/>
    <w:p>
      <w:pPr>
        <w:jc w:val="both"/>
        <w:spacing w:after="0" w:line="252" w:lineRule="auto"/>
        <w:rPr>
          <w:sz w:val="20"/>
          <w:szCs w:val="20"/>
          <w:color w:val="auto"/>
        </w:rPr>
      </w:pPr>
      <w:r>
        <w:rPr>
          <w:rFonts w:ascii="Arial" w:cs="Arial" w:eastAsia="Arial" w:hAnsi="Arial"/>
          <w:sz w:val="19"/>
          <w:szCs w:val="19"/>
          <w:color w:val="auto"/>
        </w:rPr>
        <w:t>Pharma Limited, a Shanghai-based specialty pharmaceutical company (“Nuance Pharma”), to develop and commercialize ensifentrine in Greater China. In February 2025, Nuance announced that Ohtuvayre was approved in Macau, the first approval outside of the U.S., for the maintenance treatment of COPD in adult patients. In addition, in September 2024, Nuance completed enrollment in its own pivotal Phase 3 trial evaluating ensifentrine for the maintenance treatment of COPD in China and results are expected in 2025.</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In Phase 2 clinical trials, ensifentrine has demonstrated positive results in patients with COPD, asthma and cystic fibrosis (“CF”). Two additional formulations of ensifentrine have been evaluated in Phase 2 trials for the treatment of COPD: dry powder inhaler (“DPI”) and pressurized metered-dose inhaler (“pMDI”).</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In addition, in the third quarter of 2024, we initiated two Phase 2 clinical trials:</w:t>
      </w:r>
    </w:p>
    <w:p>
      <w:pPr>
        <w:spacing w:after="0" w:line="110" w:lineRule="exact"/>
        <w:rPr>
          <w:sz w:val="20"/>
          <w:szCs w:val="20"/>
          <w:color w:val="auto"/>
        </w:rPr>
      </w:pPr>
    </w:p>
    <w:p>
      <w:pPr>
        <w:jc w:val="both"/>
        <w:ind w:left="360" w:hanging="356"/>
        <w:spacing w:after="0" w:line="245" w:lineRule="auto"/>
        <w:tabs>
          <w:tab w:leader="none" w:pos="3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dose-ranging trial with a glycopyrrolate, a Long-Acting Muscarinic Antagonist (“LAMA”), supporting a fixed-dose combination program with ensifentrine for the maintenance treatment of COPD via delivery in a nebulizer, and</w:t>
      </w:r>
    </w:p>
    <w:p>
      <w:pPr>
        <w:spacing w:after="0" w:line="75"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trial assessing the efficacy and safety of nebulized ensifentrine in patients with non-cystic fibrosis bronchiectasis (“bronchiectasis”).</w:t>
      </w:r>
    </w:p>
    <w:p>
      <w:pPr>
        <w:spacing w:after="0" w:line="6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have incurred recurring losses and negative cash flows from operations since inception, and have an accumulated deficit of $562.4 million as of December 31, 2024. We expect to incur additional losses and negative cash flows from operations until our product candidates potentially gain regulatory approval and our approved products reach commercial profitability, if at all.</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We anticipate significant expenses in connection with our ongoing activities, if and as we:</w:t>
      </w:r>
    </w:p>
    <w:p>
      <w:pPr>
        <w:spacing w:after="0" w:line="110" w:lineRule="exact"/>
        <w:rPr>
          <w:sz w:val="20"/>
          <w:szCs w:val="20"/>
          <w:color w:val="auto"/>
        </w:rPr>
      </w:pPr>
    </w:p>
    <w:p>
      <w:pPr>
        <w:jc w:val="both"/>
        <w:ind w:left="360" w:hanging="356"/>
        <w:spacing w:after="0" w:line="264" w:lineRule="auto"/>
        <w:tabs>
          <w:tab w:leader="none" w:pos="3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operate a sales, marketing and distribution infrastructure, continue to increase production to commercial scale with our manufacturing and other Chemistry, Manufacturing and Controls activities to commercialize Ohtuvayre as well as any additional products for which we may obtain regulatory approval;</w:t>
      </w:r>
    </w:p>
    <w:p>
      <w:pPr>
        <w:spacing w:after="0" w:line="58" w:lineRule="exact"/>
        <w:rPr>
          <w:rFonts w:ascii="Arial" w:cs="Arial" w:eastAsia="Arial" w:hAnsi="Arial"/>
          <w:sz w:val="19"/>
          <w:szCs w:val="19"/>
          <w:color w:val="auto"/>
        </w:rPr>
      </w:pPr>
    </w:p>
    <w:p>
      <w:pPr>
        <w:ind w:left="360" w:hanging="356"/>
        <w:spacing w:after="0" w:line="316" w:lineRule="auto"/>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 the clinical development of a fixed-dose combination of ensifentrine and a LAMA as well as our DPI and pMDI formulations of ensifentrine and research and development of other formulations of ensifentrine;</w:t>
      </w:r>
    </w:p>
    <w:p>
      <w:pPr>
        <w:spacing w:after="0" w:line="14" w:lineRule="exact"/>
        <w:rPr>
          <w:rFonts w:ascii="Arial" w:cs="Arial" w:eastAsia="Arial" w:hAnsi="Arial"/>
          <w:sz w:val="18"/>
          <w:szCs w:val="18"/>
          <w:color w:val="auto"/>
        </w:rPr>
      </w:pPr>
    </w:p>
    <w:p>
      <w:pPr>
        <w:ind w:left="360" w:hanging="356"/>
        <w:spacing w:after="0" w:line="260" w:lineRule="auto"/>
        <w:tabs>
          <w:tab w:leader="none" w:pos="3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initiate and conduct further clinical trials for ensifentrine for the treatment of bronchiectasis, acute COPD, CF or any other indication;</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initiate and progress pre-clinical studies relating to other potential indications of ensifentrine;</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seek to discover and develop additional product candidates;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seek regulatory approvals for any of our product candidates that successfully complete clinical trials;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maintain, expand and protect our intellectual property portfolio;</w:t>
      </w:r>
    </w:p>
    <w:p>
      <w:pPr>
        <w:spacing w:after="0" w:line="109"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add clinical, scientific, operational, financial and management information systems and personnel, including personnel to support our product development and commercialization efforts and to support our continuing operations as a U.S. public company; and</w:t>
      </w:r>
    </w:p>
    <w:p>
      <w:pPr>
        <w:spacing w:after="0" w:line="75"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experience any delays or encounter any issues from any of the above, including but not limited to failed studies, complex results, safety issues or other regulatory challenges.</w:t>
      </w:r>
    </w:p>
    <w:p>
      <w:pPr>
        <w:spacing w:after="0" w:line="6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On May 9, 2024, we entered into a term loan facility (the “2024 Term Loans”) of up to $400.0 million with Oaktree Fund Administration, LLC, a Delaware limited liability company, as administrative agent, and certain funds managed by each of Oaktree Capital Management, L.P. and OCM Life Sciences Portfolio LP party thereto (collectively, the “2024 Lenders”). At closing, we received net proceeds of $52.8 million and up to four additional advances of an aggregate $345.0 million were available subject to meeting certain commercial milestones and other specified conditions. On June 28, 2024, we received net proceeds of $68.6 million related to the second tranche of the 2024 Term Loans, which was available upon FDA approval for Ohtuvayre, as well as proceeds from the $100 million first tranche of our revenue interest purchase and sale agreement (the “RIPSA”). Refer to Note 5 - Debt to our Consolidated Financial Statements and related notes included elsewhere in this Annual Report for additional information regarding the 2024 Term Loans and the RIPSA.</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believe that our cash and cash equivalents as of December 31, 2024, our product sales and funding expected to become available under the 2024 Term Loans and the RIPSA will be sufficient to fund our operating expenses and capital expenditure requirements for at least the next 12 months from the date of issuance of our Consolidated Financial Statements included elsewhere in this Annual Report. The remaining advances under the 2024 Term Loans</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9360"/>
          </w:cols>
          <w:pgMar w:left="1260" w:top="858" w:right="1260" w:bottom="0" w:gutter="0" w:footer="0" w:header="0"/>
          <w:type w:val="continuous"/>
        </w:sectPr>
      </w:pPr>
    </w:p>
    <w:bookmarkStart w:id="86" w:name="page87"/>
    <w:bookmarkEnd w:id="86"/>
    <w:p>
      <w:pPr>
        <w:jc w:val="both"/>
        <w:spacing w:after="0" w:line="275" w:lineRule="auto"/>
        <w:rPr>
          <w:sz w:val="20"/>
          <w:szCs w:val="20"/>
          <w:color w:val="auto"/>
        </w:rPr>
      </w:pPr>
      <w:r>
        <w:rPr>
          <w:rFonts w:ascii="Arial" w:cs="Arial" w:eastAsia="Arial" w:hAnsi="Arial"/>
          <w:sz w:val="18"/>
          <w:szCs w:val="18"/>
          <w:color w:val="auto"/>
        </w:rPr>
        <w:t>and the RIPSA are contingent upon the achievement of commercial milestones and other specified conditions, and in the case of the Tranche E Term Loan under the 2024 Term Loans, at the sole discretion of the 2024 Lenders. No additional advances are available under the 2023 Term Loan following our termination and repayment in full of the 2023 Term Loan on May 9, 2024. See “Liquidity and capital resources” for additional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agreements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Ligand agreement</w:t>
      </w:r>
    </w:p>
    <w:p>
      <w:pPr>
        <w:spacing w:after="0" w:line="11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In 2006 we acquired Rhinopharma and assumed contingent liabilities owed to Ligand UK Development Limited (“Ligand”) (formerly Vernalis Development Limited). We refer to the assignment and license agreement as the Ligand Agreement.</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Ligand assigned to us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We agreed to pay a milestone payment of £5.0 million on obtaining the first approval of any regulatory authority for the commercialization of a Ligand Licensed Product (the ”First Approval Milestone”), low single digit royalties based on the future sales performance of all Ligand Licensed Products and a portion equal to a mid-twenty percent of any consideration received from any sub-licensees for the Ligand Patents and for Ligand know-how. Royalties payable are based on the future sales performance so the amount payable is unlimited.</w:t>
      </w:r>
    </w:p>
    <w:p>
      <w:pPr>
        <w:spacing w:after="0" w:line="7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the time each contingency is resolved, the contingent consideration payment (or payable) in connection with the Ligand Agreement will be recorded as an expense.</w:t>
      </w:r>
    </w:p>
    <w:p>
      <w:pPr>
        <w:spacing w:after="0" w:line="6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In March 2022, we entered into an Amendment Agreement (the “Amendment”) with Ligand whereby the Ligand Agreement was amended to clarify certain ambiguous terms in the Ligand Agreement. Pursuant to the Amendment:</w:t>
      </w:r>
    </w:p>
    <w:p>
      <w:pPr>
        <w:spacing w:after="0" w:line="14" w:lineRule="exact"/>
        <w:rPr>
          <w:sz w:val="20"/>
          <w:szCs w:val="20"/>
          <w:color w:val="auto"/>
        </w:rPr>
      </w:pPr>
    </w:p>
    <w:p>
      <w:pPr>
        <w:jc w:val="both"/>
        <w:ind w:left="360" w:hanging="356"/>
        <w:spacing w:after="0" w:line="316" w:lineRule="auto"/>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agreed to pay to Ligand (i) $2.0 million within five business days of the date of the Amendment and (ii) $15.0 million upon the first commercial sale of ensifentrine by us or a sub-licensee (the “First Sale Milestone”).</w:t>
      </w:r>
    </w:p>
    <w:p>
      <w:pPr>
        <w:spacing w:after="0" w:line="14" w:lineRule="exact"/>
        <w:rPr>
          <w:rFonts w:ascii="Arial" w:cs="Arial" w:eastAsia="Arial" w:hAnsi="Arial"/>
          <w:sz w:val="18"/>
          <w:szCs w:val="18"/>
          <w:color w:val="auto"/>
        </w:rPr>
      </w:pPr>
    </w:p>
    <w:p>
      <w:pPr>
        <w:ind w:left="360" w:hanging="356"/>
        <w:spacing w:after="0" w:line="260" w:lineRule="auto"/>
        <w:tabs>
          <w:tab w:leader="none" w:pos="3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Ligand Agreement shall expire on March 24, 2042 unless terminated earlier by either party in accordance with its terms;</w:t>
      </w:r>
    </w:p>
    <w:p>
      <w:pPr>
        <w:spacing w:after="0" w:line="61"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upon termination of the Ligand Agreement, any Sub-licensee (as defined in the Amendment) shall have the right to enter into a direct license agreement with Ligand for the portion of the Program IP (as defined in the Amendment) that was sub-licensed by such Sub-licensee;</w:t>
      </w:r>
    </w:p>
    <w:p>
      <w:pPr>
        <w:spacing w:after="0" w:line="75"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First Approval Milestone and the First Sale Milestone may be paid in cash or, at our discretion, by issuing shares in the Company of equivalent value to Ligand; and</w:t>
      </w:r>
    </w:p>
    <w:p>
      <w:pPr>
        <w:spacing w:after="0" w:line="61"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each party’s right to terminate the Ligand Agreement is conditioned upon such party obtaining a final judgment of the English High Court declaring that the other party is in material breach of its obligations under the Ligand Agreement.</w:t>
      </w:r>
    </w:p>
    <w:p>
      <w:pPr>
        <w:spacing w:after="0" w:line="7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accounted for the $2.0 million payment at execution of the Amendment as selling, general and administrative expense in the Consolidated Statements of Operations and Comprehensive Loss as the payment is related to a contract modification.</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Upon FDA approval of Ohtuvayre on June 26, 2024, the Company has recognized the following:</w:t>
      </w:r>
    </w:p>
    <w:p>
      <w:pPr>
        <w:spacing w:after="0" w:line="110" w:lineRule="exact"/>
        <w:rPr>
          <w:sz w:val="20"/>
          <w:szCs w:val="20"/>
          <w:color w:val="auto"/>
        </w:rPr>
      </w:pPr>
    </w:p>
    <w:p>
      <w:pPr>
        <w:ind w:left="360" w:hanging="356"/>
        <w:spacing w:after="0"/>
        <w:tabs>
          <w:tab w:leader="none" w:pos="3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$6.3 million in research and development costs related to the First Approval Milestone; and</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$15.0 million selling, general and administrative expense related to the First Sale Milestone.</w:t>
      </w:r>
    </w:p>
    <w:p>
      <w:pPr>
        <w:spacing w:after="0" w:line="11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Company is obligated to pay low single digit royalties based on the net sales of all Ligand Licensed Products and expenses all costs related to royalty amounts as a cost of sales in the Consolidated Statements of Operations and Comprehensive Loss.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Nuance agreement</w:t>
      </w:r>
    </w:p>
    <w:p>
      <w:pPr>
        <w:spacing w:after="0" w:line="11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We entered into a collaboration and license agreement (the “Nuance Agreement”) with Nuance Pharma effective June 9, 2021 (the “Nuance Effective Date”) under which we granted Nuance Pharma the exclusive rights to develop and commercialize ensifentrine in Greater China (China, Taiwan, Hong Kong and Macau). In return, we received an</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9360"/>
          </w:cols>
          <w:pgMar w:left="1260" w:top="858" w:right="1260" w:bottom="0" w:gutter="0" w:footer="0" w:header="0"/>
          <w:type w:val="continuous"/>
        </w:sectPr>
      </w:pPr>
    </w:p>
    <w:bookmarkStart w:id="87" w:name="page88"/>
    <w:bookmarkEnd w:id="87"/>
    <w:p>
      <w:pPr>
        <w:jc w:val="both"/>
        <w:spacing w:after="0" w:line="270" w:lineRule="auto"/>
        <w:rPr>
          <w:sz w:val="20"/>
          <w:szCs w:val="20"/>
          <w:color w:val="auto"/>
        </w:rPr>
      </w:pPr>
      <w:r>
        <w:rPr>
          <w:rFonts w:ascii="Arial" w:cs="Arial" w:eastAsia="Arial" w:hAnsi="Arial"/>
          <w:sz w:val="18"/>
          <w:szCs w:val="18"/>
          <w:color w:val="auto"/>
        </w:rPr>
        <w:t>unconditional right to consideration aggregating $40.0 million consisting of $25.0 million in cash and an equity interest valued at $15.0 million as of the Effective Date in Nuance Biotech, the parent company of Nuance Pharma. We are eligible to receive future milestone payments of up to $179.0 million, triggered upon achievement of certain clinical, regulatory, and commercial milestones as well as tiered double-digit royalties on net sales in Greater China. We will recognize these milestones when it is probable that a significant revenue reversal would not occur.</w:t>
      </w:r>
    </w:p>
    <w:p>
      <w:pPr>
        <w:spacing w:after="0" w:line="5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As of December 31, 2024, the $15.0 million equity interest was recorded as Equity interest on the Consolidated Balance Sheets, included elsewhere in this Annual Report. The Equity interest is recorded at cost as we have elected to use the measurement alternative for equity investments without readily determinable fair values. We will evaluate this investment for indicators of impairment quarterly. We evaluate this investment for indicators of impairment quarterly. We did not identify events or changes in circumstances that may have a significant effect on the fair value of the investment during the year ended December 31, 2024.</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Nuance Pharma will be responsible for all costs related to clinical development and commercialization of ensifentrine in Greater China. In August 2022, Nuance Pharma, received clearance from China’s Center for Drug Evaluation to begin Phase 1 and Phase 3 studies with ensifentrine for COPD in mainland China. Nuance Pharma initiated a Phase 1 trial with ensifentrine in healthy volunteers in March 2023. In April 2023, Nuance Pharma dosed the first subject in its pivotal Phase 3 clinical trial evaluating ensifentrine for the maintenance treatment of COPD in mainland China and enrollment was completed in September 2024. A joint steering committee has been established between us and Nuance Pharma to oversee and coordinate the overall conduct of such clinical development and commercialization. We intend to use the joint steering committee to help ensure the clinical development of ensifentrine in Greater China aligns with our overall global development and commercialization strategy.</w:t>
      </w:r>
    </w:p>
    <w:p>
      <w:pPr>
        <w:spacing w:after="0" w:line="65"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Under the terms of the Nuance Agreement, at any time until three months prior to the expected submission of the first New Drug Application in Greater China, if (i) a third party is interested in partnering with us, either globally or in territory covering at least the United States or Europe, for the development and/or commercialization of ensifentrine or (ii) we undergo a change of control, we will have an exclusive option right to buy back the license granted to Nuance Pharma and all related assets. The price is agreed to be equal to the aggregate of (i) all prior amounts paid by Nuance Pharma to us in cash under the agreement and (ii) all development and regulatory costs incurred and paid by Nuance Pharma in connection with the development and commercialization of the ensifentrine under the Nuance Agreement multiplied by a single-digit factor range dependent upon achievement of certain milestones, subject to a specified maximum amount.</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5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reviewed the buy-back option and determined that because it is conditional on a third party we do not have the practical ability to exercise it and, accordingly, the contract is accounted for under ASC 606.</w:t>
      </w:r>
    </w:p>
    <w:p>
      <w:pPr>
        <w:spacing w:after="0" w:line="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13, 2022, we entered into an Agreement for the Manufacture and Clinical Supply of ensifentrine (“Nuance Clinical Supply Agreement”) with Nuance Pharma. We determined that the manufacturing and supply of ensifentrine to Nuance represents a distinct and separate performance obligation, for which consideration to be received is variable based on the quantities to be ordered by Nuance. Revenue earned with the manufacture and supply of the licensed product is, and will be, recognized as the supply is delivered to Nuance. We have determined we are acting as principal in relation to the manufacture and supply under the Agreement. In its capacity as principal, we will recognize the associated revenue on a gross basis. In the year ended December 31, 2022, we recognized $0.5 million in relation to the clinical supply of ensifentrine to Nuance Pharma.</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additional information regarding the Nuance Agreement, see Note 6 - Significant Agreements to our Consolidated Financial Statements and related notes included elsewhere in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3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of America (“U.S. GAAP”). The preparation of these financial statements requires us to make estimates, judgments and assumptions that affect the reported amounts of assets and liabilities, disclosure of contingent liabilities as of the dates of the balance sheets and the reported amounts of expenses during the reporting periods. In accordance with U.S. GAAP, we evaluate our estimates and judgments on an ongoing basis.</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9360"/>
          </w:cols>
          <w:pgMar w:left="1260" w:top="858" w:right="1260" w:bottom="0" w:gutter="0" w:footer="0" w:header="0"/>
          <w:type w:val="continuous"/>
        </w:sectPr>
      </w:pPr>
    </w:p>
    <w:bookmarkStart w:id="88" w:name="page89"/>
    <w:bookmarkEnd w:id="88"/>
    <w:p>
      <w:pPr>
        <w:jc w:val="both"/>
        <w:spacing w:after="0" w:line="239" w:lineRule="auto"/>
        <w:rPr>
          <w:sz w:val="20"/>
          <w:szCs w:val="20"/>
          <w:color w:val="auto"/>
        </w:rPr>
      </w:pPr>
      <w:r>
        <w:rPr>
          <w:rFonts w:ascii="Arial" w:cs="Arial" w:eastAsia="Arial" w:hAnsi="Arial"/>
          <w:sz w:val="20"/>
          <w:szCs w:val="20"/>
          <w:color w:val="auto"/>
        </w:rPr>
        <w:t>While our significant accounting policies are described in more detail in the notes to our Consolidated Financial Statements included elsewhere in this Annual Report, we believe that the following accounting policies are most critical to the judgments and estimates used in the preparation of our Consolidated Financial Statements and related notes included elsewhere in this Annual Report.</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1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We generate revenue from the sale of Ohtuvayre. Revenue is recognized when we transfer control of Ohtuvayre to the specialty pharmacies, our customers, as our contracts have a single performance obligation which is the delivery of Ohtuvayre. These product sales are subject to various gross-to-net adjustments, which are deducted from our product sales to determine net product sales. For a description of our related accounting policies, see Note 2 - Basis of Presentation and Summary of Significant Accounting Policies to our Consolidated Financial Statements included elsewhere in this Annual Report.</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Gross-to-net adjustments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Product sales are recorded at the estimated net sales price, which includes estimates of variable consideration for which reserves are established. Components of variable consideration include rebates and chargebacks, product returns and other allowances that are offered within contracts with our customer, payors, and other indirect customers relating to the sale of our product. These reserves are based on the amounts earned, or to be claimed on the related sales, and are classified as reductions of accounts receivable (if the amount is payable to the customer) or a current liability (if the amount is payable to a party other than a customer). These estimates take into consideration a range of possible outcomes which are probability-weighted in accordance with the expected value method in Topic 606 for relevant factors such as current contractual and statutory requirements, specific known market events and trends as well as industry data and other third party information. Overall, these reserves reflect our best estimates of the amount of consideration to which we are entitled based on the terms of the respective underlying contracts.</w:t>
      </w:r>
    </w:p>
    <w:p>
      <w:pPr>
        <w:spacing w:after="0" w:line="6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Estimates associated with our gross-to-net adjustments are particularly susceptible to adjustment given the extensive time lag that may occur between our recording of an accrual and its ultimate invoicing by the government or commercial entity, which can occur up to several years after the sale of our product. Because of the time lag for these rebates and chargebacks, in any particular quarter, our adjustments may incorporate revisions of accruals related to prior periods.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interest purchase and sale agreement and related interest expense</w:t>
      </w:r>
    </w:p>
    <w:p>
      <w:pPr>
        <w:spacing w:after="0" w:line="11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Proceeds from the RIPSA are recorded as liabilities (specifically, revenue interest purchase and sale agreement on the Consolidated Balance Sheets) and are amortized using the effective interest method over the estimated period the RIPSA will be repaid with the imputed interest recorded as interest expense. The repayment of the RIPSA is based on royalties from global net sales of Ohtuvayre as well as certain proceeds from licensees outside the US, subject to the capped amount. This requires us to estimate the total amount and timing of future royalty payments which is based on estimates of future global net sales, including assumptions related to the treatable patient population, rate of adoption, among others, and involves significant judgment given the limited global net sales data experienced to date. We reassess the amount and timing of these payments each reporting period and account for any changes through an adjustment to the effective interest rate on a prospective basis. A significant increase or decrease in forecasted global net sales or certain proceeds from licensees outside the US could materially impact the RIPSA balance and interest expense.</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costs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(“R&amp;D”) costs are charged to the Consolidated Statements of Operations and Comprehensive Loss, as incurred. We are required to estimate our expenses resulting from our obligation under contracts with vendors and consultants and clinical site agreements in connection with our R&amp;D efforts. The financial terms of these contracts are subject to negotiations which vary contract to contract and may result in payment flows that do not match the periods over which materials or services are provided under such contracts. Our objective is to reflect the appropriate clinical trial expenses in our financial statements by matching those expenses with the period in which services and efforts are expended. We account for these expenses according to the progress of the trials and other development activities measured by patient progression and the timing of various aspects of the trial. We also determine prepaid and accrual estimates through discussions with applicable personnel and outside service providers as to the progress of clinical trials, or other services completed. During the course of a clinical trial, we may adjust our rate of clinical trial expense recognition if actual results differ from its estimates. We make estimates of our prepaid and accrued expenses as of each balance sheet date in our financial statements based on facts and circumstances known at that time. Although we do not expect our estimates to be materially different from amounts actually incurred, our understanding of the status and timing of services performed relative to the actual</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9360"/>
          </w:cols>
          <w:pgMar w:left="1260" w:top="858" w:right="1260" w:bottom="0" w:gutter="0" w:footer="0" w:header="0"/>
          <w:type w:val="continuous"/>
        </w:sectPr>
      </w:pPr>
    </w:p>
    <w:bookmarkStart w:id="89" w:name="page90"/>
    <w:bookmarkEnd w:id="89"/>
    <w:p>
      <w:pPr>
        <w:jc w:val="both"/>
        <w:spacing w:after="0" w:line="275" w:lineRule="auto"/>
        <w:rPr>
          <w:sz w:val="20"/>
          <w:szCs w:val="20"/>
          <w:color w:val="auto"/>
        </w:rPr>
      </w:pPr>
      <w:r>
        <w:rPr>
          <w:rFonts w:ascii="Arial" w:cs="Arial" w:eastAsia="Arial" w:hAnsi="Arial"/>
          <w:sz w:val="18"/>
          <w:szCs w:val="18"/>
          <w:color w:val="auto"/>
        </w:rPr>
        <w:t>status and timing of services performed may vary and may result in us reporting amounts that are too high or too low for any particular period. Our clinical trial prepaid and accrual expense is dependent upon the timely and accurate reporting of study recruitment from contract research organizations and activities carried out by other third-party vendors as well as the timely processing of any change orders from the contract research organizations.</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9360"/>
          </w:cols>
          <w:pgMar w:left="1260" w:top="858" w:right="1260" w:bottom="0" w:gutter="0" w:footer="0" w:header="0"/>
          <w:type w:val="continuous"/>
        </w:sectPr>
      </w:pPr>
    </w:p>
    <w:bookmarkStart w:id="90" w:name="page91"/>
    <w:bookmarkEnd w:id="90"/>
    <w:p>
      <w:pPr>
        <w:spacing w:after="0"/>
        <w:rPr>
          <w:sz w:val="20"/>
          <w:szCs w:val="20"/>
          <w:color w:val="auto"/>
        </w:rPr>
      </w:pPr>
      <w:r>
        <w:rPr>
          <w:rFonts w:ascii="Arial" w:cs="Arial" w:eastAsia="Arial" w:hAnsi="Arial"/>
          <w:sz w:val="20"/>
          <w:szCs w:val="20"/>
          <w:b w:val="1"/>
          <w:bCs w:val="1"/>
          <w:color w:val="auto"/>
        </w:rPr>
        <w:t>Components of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We anticipate that our expenses will increase substantially if and as we:</w:t>
      </w:r>
    </w:p>
    <w:p>
      <w:pPr>
        <w:spacing w:after="0" w:line="110" w:lineRule="exact"/>
        <w:rPr>
          <w:sz w:val="20"/>
          <w:szCs w:val="20"/>
          <w:color w:val="auto"/>
        </w:rPr>
      </w:pPr>
    </w:p>
    <w:p>
      <w:pPr>
        <w:ind w:left="360" w:hanging="356"/>
        <w:spacing w:after="0" w:line="260" w:lineRule="auto"/>
        <w:tabs>
          <w:tab w:leader="none" w:pos="3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initiate and conduct clinical trials of ensifentrine for the treatment of bronchiectasis, CF, asthma or other indications;</w:t>
      </w:r>
    </w:p>
    <w:p>
      <w:pPr>
        <w:spacing w:after="0" w:line="61" w:lineRule="exact"/>
        <w:rPr>
          <w:rFonts w:ascii="Arial" w:cs="Arial" w:eastAsia="Arial" w:hAnsi="Arial"/>
          <w:sz w:val="20"/>
          <w:szCs w:val="20"/>
          <w:color w:val="auto"/>
        </w:rPr>
      </w:pPr>
    </w:p>
    <w:p>
      <w:pPr>
        <w:jc w:val="both"/>
        <w:ind w:left="360" w:hanging="356"/>
        <w:spacing w:after="0" w:line="316" w:lineRule="auto"/>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initiate and conduct other future clinical trials of ensifentrine in other formulations, including in combination with other active ingredients including fixed-dose combinations, for the treatment of COPD or other indications;</w:t>
      </w:r>
    </w:p>
    <w:p>
      <w:pPr>
        <w:spacing w:after="0" w:line="14" w:lineRule="exact"/>
        <w:rPr>
          <w:rFonts w:ascii="Arial" w:cs="Arial" w:eastAsia="Arial" w:hAnsi="Arial"/>
          <w:sz w:val="18"/>
          <w:szCs w:val="18"/>
          <w:color w:val="auto"/>
        </w:rPr>
      </w:pPr>
    </w:p>
    <w:p>
      <w:pPr>
        <w:ind w:left="360" w:hanging="356"/>
        <w:spacing w:after="0"/>
        <w:tabs>
          <w:tab w:leader="none" w:pos="3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initiate and conduct clinical pharmacology studies with any formulation;</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seek to discover and develop or in-license additional respiratory product candidates;</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conduct pre-clinical studies to support ensifentrine and potentially other future product candidates;</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develop the manufacturing processes and produce clinical and commercial supplies of the ensifentrine active pharmaceutical ingredient and formulated drug products derived from it;</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seek additional regulatory approvals of ensifentrine;</w:t>
      </w:r>
    </w:p>
    <w:p>
      <w:pPr>
        <w:spacing w:after="0" w:line="109"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maintain and potentially expand commercial infrastructure to support the commercialization of Ohtuvayre, including sales, marketing, operations, reimbursement, distribution and manufacturing capabilities to commercialize Ohtuvayre;</w:t>
      </w:r>
    </w:p>
    <w:p>
      <w:pPr>
        <w:spacing w:after="0" w:line="75" w:lineRule="exact"/>
        <w:rPr>
          <w:rFonts w:ascii="Arial" w:cs="Arial" w:eastAsia="Arial" w:hAnsi="Arial"/>
          <w:sz w:val="20"/>
          <w:szCs w:val="20"/>
          <w:color w:val="auto"/>
        </w:rPr>
      </w:pPr>
    </w:p>
    <w:p>
      <w:pPr>
        <w:ind w:left="360" w:hanging="356"/>
        <w:spacing w:after="0"/>
        <w:tabs>
          <w:tab w:leader="none" w:pos="3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maintain, expand and protect our intellectual property portfolio;</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secure, maintain or obtain freedom to operate for our in-licensed technologies and products;</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add clinical, scientific, operational, financial and management information systems and personnel, including personnel to support our product development and commercialization efforts; and</w:t>
      </w:r>
    </w:p>
    <w:p>
      <w:pPr>
        <w:spacing w:after="0" w:line="61" w:lineRule="exact"/>
        <w:rPr>
          <w:rFonts w:ascii="Arial" w:cs="Arial" w:eastAsia="Arial" w:hAnsi="Arial"/>
          <w:sz w:val="20"/>
          <w:szCs w:val="20"/>
          <w:color w:val="auto"/>
        </w:rPr>
      </w:pPr>
    </w:p>
    <w:p>
      <w:pPr>
        <w:ind w:left="360" w:hanging="356"/>
        <w:spacing w:after="0"/>
        <w:tabs>
          <w:tab w:leader="none" w:pos="3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expand our operations to support commercialization and research activities in the U.S. and elsewhere.</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To date, we have generated revenue from the sale of Ohtuvayre and from the receipt of up-front proceeds and clinical supply of ensifentrine under the Nuance Agreement.</w:t>
      </w:r>
    </w:p>
    <w:p>
      <w:pPr>
        <w:spacing w:after="0" w:line="6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We expect that revenue we generate will fluctuate from quarter to quarter. If we or our strategic partners fail to complete the development of ensifentrine in a timely manner or obtain regulatory approval for them, or if we fail to develop our own sales force or find one or more strategic partners for the commercialization of approved products, our ability to generate future revenue, and our financial condition and results of operations would be materially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 sales, net</w:t>
      </w:r>
    </w:p>
    <w:p>
      <w:pPr>
        <w:spacing w:after="0" w:line="23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With the FDA approval of Ohtuvayre and our commercial launch in the third quarter of 2024, we began to recognize product sales. We record product sales net of estimated distribution fees, government rebates and chargebacks, commercial chargebacks, product returns, co-pay assistance costs and other fees.</w:t>
      </w:r>
    </w:p>
    <w:p>
      <w:pPr>
        <w:sectPr>
          <w:pgSz w:w="11880" w:h="15480" w:orient="portrait"/>
          <w:cols w:equalWidth="0" w:num="1">
            <w:col w:w="9360"/>
          </w:cols>
          <w:pgMar w:left="1260" w:top="85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9360"/>
          </w:cols>
          <w:pgMar w:left="1260" w:top="850" w:right="1260" w:bottom="0" w:gutter="0" w:footer="0" w:header="0"/>
          <w:type w:val="continuous"/>
        </w:sectPr>
      </w:pPr>
    </w:p>
    <w:bookmarkStart w:id="91" w:name="page92"/>
    <w:bookmarkEnd w:id="91"/>
    <w:p>
      <w:pPr>
        <w:spacing w:after="0"/>
        <w:rPr>
          <w:sz w:val="20"/>
          <w:szCs w:val="20"/>
          <w:color w:val="auto"/>
        </w:rPr>
      </w:pPr>
      <w:r>
        <w:rPr>
          <w:rFonts w:ascii="Arial" w:cs="Arial" w:eastAsia="Arial" w:hAnsi="Arial"/>
          <w:sz w:val="20"/>
          <w:szCs w:val="20"/>
          <w:b w:val="1"/>
          <w:bCs w:val="1"/>
          <w:color w:val="auto"/>
        </w:rPr>
        <w:t>Operating expenses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sales</w:t>
      </w:r>
    </w:p>
    <w:p>
      <w:pPr>
        <w:spacing w:after="0" w:line="11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began to recognize cost of sales after the commercial launch of Ohtuvayre in the third quarter of 2024. Cost of sales includes the cost of producing inventory related to Ohtuvayre including manufacturing, freight and overhead as well as sales-based royalties due to Ligand.</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costs</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Research and development costs consist of salary and personnel related costs and third party costs for our research and development activities for ensifentrine. Personnel related costs include a share-based compensation charge relating to our share-based compensation. The largest component of third party costs is for clinical trials, as well as manufacturing for clinical supplies and associated development, and pre-clinical studies. Prior to obtaining regulatory approval for Ohtuvayre, we expensed costs relating to production of pre-launch inventory as research and development expense in our Consolidated Statements of Operations and Comprehensive Loss in the period incurred. All other research and development costs are expensed as incurred.</w:t>
      </w:r>
    </w:p>
    <w:p>
      <w:pPr>
        <w:spacing w:after="0" w:line="5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expect our research and development costs to increase in future years related to our additional trials for a fixed-dose combination formulation for COPD patients and nebulized ensifentrine in patients with bronchiectasis.</w:t>
      </w:r>
    </w:p>
    <w:p>
      <w:pPr>
        <w:spacing w:after="0" w:line="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Due to the nature of research and development, the expected costs are inherently uncertain and may vary significantly from our current expectations.</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general and administrative costs</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Selling, general and administrative costs consist of salary and personnel related costs, including share-based compensation, expenses relating to the launch of Ohtuvayre and other commercial activities, expenses relating to operating as a public company, including professional fees, insurance and commercial related costs, as well as other operating expenses.</w:t>
      </w:r>
    </w:p>
    <w:p>
      <w:pPr>
        <w:spacing w:after="0" w:line="8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expect commercial costs to continue to increase due to the commercial launch of Ohtuvayre including costs related to our sales force, marketing and other commercial related costs. As we continue to develop our knowledge of the market and refine our commercial operations, expected costs may vary significantly from our current expectations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income/(expense)</w:t>
      </w:r>
    </w:p>
    <w:p>
      <w:pPr>
        <w:spacing w:after="0" w:line="11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Other income/(expense) are driven by interest income and expense, foreign exchange movements on cash and cash equivalents and taxes receivable, and the U.K. research and development tax credits (the “R&amp;D tax credit”).</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participate in the U.K. Small and Medium Enterprises research and development tax relief program. The tax credits are calculated as a percentage of qualifying research and development expenditure and are payable in cash by the U.K. government to us on the basis that the company is loss making. Credits recorded related to the 2023 and 2024 financial years are expected to be received in 2025.</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Taxation</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Our effective tax rate varies from the statutory U.K. tax rate in each period presented primarily due to the recording of a valuation allowance for our deferred tax assets. We assess the available positive and negative evidence to estimate whether sufficient future taxable income will be generated to permit use of the existing deferred tax assets. A significant piece of objective negative evidence evaluated was the cumulative consolidated loss incurred over the three-year period ended December 31, 2024. Such objective evidence limits the ability to consider other subjective evidence, such as our projections for future growth. We have determined that the reversal of future taxable temporary differences corresponding to our deferred tax liabilities will not provide a sufficient source of income for realization of our deferred tax assets.</w:t>
      </w:r>
    </w:p>
    <w:p>
      <w:pPr>
        <w:spacing w:after="0" w:line="8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income taxes presented in our Consolidated Statements of Operations and Comprehensive Loss represents the current tax impact from our operating activities in the United States, which generates taxable income. The increase in the U.S. current tax expense in 2024 compared to prior periods was due to the taxability of the funds received as part of the RIPSA agreement (see Note 5 - Debt to our Consolidated Financial Statements included elsewhere in the Annual Report).</w:t>
      </w:r>
    </w:p>
    <w:p>
      <w:pPr>
        <w:sectPr>
          <w:pgSz w:w="11880" w:h="15480" w:orient="portrait"/>
          <w:cols w:equalWidth="0" w:num="1">
            <w:col w:w="9360"/>
          </w:cols>
          <w:pgMar w:left="1260" w:top="85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9360"/>
          </w:cols>
          <w:pgMar w:left="1260" w:top="850" w:right="1260" w:bottom="0" w:gutter="0" w:footer="0" w:header="0"/>
          <w:type w:val="continuous"/>
        </w:sectPr>
      </w:pPr>
    </w:p>
    <w:bookmarkStart w:id="92" w:name="page93"/>
    <w:bookmarkEnd w:id="92"/>
    <w:p>
      <w:pPr>
        <w:jc w:val="both"/>
        <w:spacing w:after="0" w:line="264" w:lineRule="auto"/>
        <w:rPr>
          <w:sz w:val="20"/>
          <w:szCs w:val="20"/>
          <w:color w:val="auto"/>
        </w:rPr>
      </w:pPr>
      <w:r>
        <w:rPr>
          <w:rFonts w:ascii="Arial" w:cs="Arial" w:eastAsia="Arial" w:hAnsi="Arial"/>
          <w:sz w:val="19"/>
          <w:szCs w:val="19"/>
          <w:color w:val="auto"/>
        </w:rPr>
        <w:t>We have $261.1 million loss carryforwards in the United Kingdom. These losses may be carried forward indefinitely to be offset against future taxable profits, subject to various utilization criteria and restrictions. The amount that can be offset each year is limited to £5.0 million plus an incremental 50% of U.K. taxable profits.</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9360"/>
          </w:cols>
          <w:pgMar w:left="1260" w:top="858" w:right="1260" w:bottom="0" w:gutter="0" w:footer="0" w:header="0"/>
          <w:type w:val="continuous"/>
        </w:sectPr>
      </w:pPr>
    </w:p>
    <w:bookmarkStart w:id="93" w:name="page94"/>
    <w:bookmarkEnd w:id="93"/>
    <w:p>
      <w:pPr>
        <w:spacing w:after="0"/>
        <w:rPr>
          <w:sz w:val="20"/>
          <w:szCs w:val="20"/>
          <w:color w:val="auto"/>
        </w:rPr>
      </w:pPr>
      <w:r>
        <w:rPr>
          <w:rFonts w:ascii="Arial" w:cs="Arial" w:eastAsia="Arial" w:hAnsi="Arial"/>
          <w:sz w:val="20"/>
          <w:szCs w:val="20"/>
          <w:b w:val="1"/>
          <w:bCs w:val="1"/>
          <w:color w:val="auto"/>
        </w:rPr>
        <w:t>Results of operations for the years ended December 31, 2024 and 2023</w:t>
      </w:r>
    </w:p>
    <w:p>
      <w:pPr>
        <w:spacing w:after="0" w:line="2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shows our statements of operations for the years ended December 31, 2024 and 2023 (in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6"/>
                <w:szCs w:val="16"/>
                <w:b w:val="1"/>
                <w:bCs w:val="1"/>
                <w:color w:val="auto"/>
                <w:w w:val="93"/>
              </w:rPr>
              <w:t>Year ended December 31,</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w w:val="98"/>
              </w:rPr>
              <w:t>Variance</w:t>
            </w:r>
          </w:p>
        </w:tc>
        <w:tc>
          <w:tcPr>
            <w:tcW w:w="0" w:type="dxa"/>
            <w:vAlign w:val="bottom"/>
          </w:tcPr>
          <w:p>
            <w:pPr>
              <w:spacing w:after="0"/>
              <w:rPr>
                <w:sz w:val="1"/>
                <w:szCs w:val="1"/>
                <w:color w:val="auto"/>
              </w:rPr>
            </w:pPr>
          </w:p>
        </w:tc>
      </w:tr>
      <w:tr>
        <w:trPr>
          <w:trHeight w:val="227"/>
        </w:trPr>
        <w:tc>
          <w:tcPr>
            <w:tcW w:w="5680" w:type="dxa"/>
            <w:vAlign w:val="bottom"/>
          </w:tcPr>
          <w:p>
            <w:pPr>
              <w:spacing w:after="0" w:line="227" w:lineRule="exact"/>
              <w:rPr>
                <w:sz w:val="20"/>
                <w:szCs w:val="20"/>
                <w:color w:val="auto"/>
              </w:rPr>
            </w:pPr>
            <w:r>
              <w:rPr>
                <w:rFonts w:ascii="Arial" w:cs="Arial" w:eastAsia="Arial" w:hAnsi="Arial"/>
                <w:sz w:val="20"/>
                <w:szCs w:val="20"/>
                <w:b w:val="1"/>
                <w:bCs w:val="1"/>
                <w:color w:val="auto"/>
              </w:rPr>
              <w:t>Revenue: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680" w:type="dxa"/>
            <w:vAlign w:val="bottom"/>
          </w:tcPr>
          <w:p>
            <w:pPr>
              <w:ind w:left="240"/>
              <w:spacing w:after="0"/>
              <w:rPr>
                <w:sz w:val="20"/>
                <w:szCs w:val="20"/>
                <w:color w:val="auto"/>
              </w:rPr>
            </w:pPr>
            <w:r>
              <w:rPr>
                <w:rFonts w:ascii="Arial" w:cs="Arial" w:eastAsia="Arial" w:hAnsi="Arial"/>
                <w:sz w:val="20"/>
                <w:szCs w:val="20"/>
                <w:color w:val="auto"/>
              </w:rPr>
              <w:t>Product sales, net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42,261</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42,261</w:t>
            </w:r>
          </w:p>
        </w:tc>
        <w:tc>
          <w:tcPr>
            <w:tcW w:w="0" w:type="dxa"/>
            <w:vAlign w:val="bottom"/>
          </w:tcPr>
          <w:p>
            <w:pPr>
              <w:spacing w:after="0"/>
              <w:rPr>
                <w:sz w:val="1"/>
                <w:szCs w:val="1"/>
                <w:color w:val="auto"/>
              </w:rPr>
            </w:pPr>
          </w:p>
        </w:tc>
      </w:tr>
      <w:tr>
        <w:trPr>
          <w:trHeight w:val="263"/>
        </w:trPr>
        <w:tc>
          <w:tcPr>
            <w:tcW w:w="5680" w:type="dxa"/>
            <w:vAlign w:val="bottom"/>
          </w:tcPr>
          <w:p>
            <w:pPr>
              <w:ind w:left="240"/>
              <w:spacing w:after="0"/>
              <w:rPr>
                <w:sz w:val="20"/>
                <w:szCs w:val="20"/>
                <w:color w:val="auto"/>
              </w:rPr>
            </w:pPr>
            <w:r>
              <w:rPr>
                <w:rFonts w:ascii="Arial" w:cs="Arial" w:eastAsia="Arial" w:hAnsi="Arial"/>
                <w:sz w:val="20"/>
                <w:szCs w:val="20"/>
                <w:color w:val="auto"/>
              </w:rPr>
              <w:t>Other revenue</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35"/>
        </w:trPr>
        <w:tc>
          <w:tcPr>
            <w:tcW w:w="5680" w:type="dxa"/>
            <w:vAlign w:val="bottom"/>
          </w:tcPr>
          <w:p>
            <w:pPr>
              <w:spacing w:after="0"/>
              <w:rPr>
                <w:sz w:val="20"/>
                <w:szCs w:val="20"/>
                <w:color w:val="auto"/>
              </w:rPr>
            </w:pPr>
            <w:r>
              <w:rPr>
                <w:rFonts w:ascii="Arial" w:cs="Arial" w:eastAsia="Arial" w:hAnsi="Arial"/>
                <w:sz w:val="20"/>
                <w:szCs w:val="20"/>
                <w:b w:val="1"/>
                <w:bCs w:val="1"/>
                <w:color w:val="auto"/>
              </w:rPr>
              <w:t>Total revenue, net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42,279</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42,279</w:t>
            </w:r>
          </w:p>
        </w:tc>
        <w:tc>
          <w:tcPr>
            <w:tcW w:w="0" w:type="dxa"/>
            <w:vAlign w:val="bottom"/>
          </w:tcPr>
          <w:p>
            <w:pPr>
              <w:spacing w:after="0"/>
              <w:rPr>
                <w:sz w:val="1"/>
                <w:szCs w:val="1"/>
                <w:color w:val="auto"/>
              </w:rPr>
            </w:pPr>
          </w:p>
        </w:tc>
      </w:tr>
      <w:tr>
        <w:trPr>
          <w:trHeight w:val="244"/>
        </w:trPr>
        <w:tc>
          <w:tcPr>
            <w:tcW w:w="5680" w:type="dxa"/>
            <w:vAlign w:val="bottom"/>
          </w:tcPr>
          <w:p>
            <w:pPr>
              <w:spacing w:after="0"/>
              <w:rPr>
                <w:sz w:val="20"/>
                <w:szCs w:val="20"/>
                <w:color w:val="auto"/>
              </w:rPr>
            </w:pPr>
            <w:r>
              <w:rPr>
                <w:rFonts w:ascii="Arial" w:cs="Arial" w:eastAsia="Arial" w:hAnsi="Arial"/>
                <w:sz w:val="20"/>
                <w:szCs w:val="20"/>
                <w:b w:val="1"/>
                <w:bCs w:val="1"/>
                <w:color w:val="auto"/>
              </w:rPr>
              <w:t>Operating expenses:</w:t>
            </w:r>
          </w:p>
        </w:tc>
        <w:tc>
          <w:tcPr>
            <w:tcW w:w="240" w:type="dxa"/>
            <w:vAlign w:val="bottom"/>
          </w:tcPr>
          <w:p>
            <w:pPr>
              <w:spacing w:after="0"/>
              <w:rPr>
                <w:sz w:val="21"/>
                <w:szCs w:val="21"/>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2,582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2,582</w:t>
            </w:r>
          </w:p>
        </w:tc>
        <w:tc>
          <w:tcPr>
            <w:tcW w:w="0" w:type="dxa"/>
            <w:vAlign w:val="bottom"/>
          </w:tcPr>
          <w:p>
            <w:pPr>
              <w:spacing w:after="0"/>
              <w:rPr>
                <w:sz w:val="1"/>
                <w:szCs w:val="1"/>
                <w:color w:val="auto"/>
              </w:rPr>
            </w:pPr>
          </w:p>
        </w:tc>
      </w:tr>
      <w:tr>
        <w:trPr>
          <w:trHeight w:val="288"/>
        </w:trPr>
        <w:tc>
          <w:tcPr>
            <w:tcW w:w="5680" w:type="dxa"/>
            <w:vAlign w:val="bottom"/>
          </w:tcPr>
          <w:p>
            <w:pPr>
              <w:ind w:left="240"/>
              <w:spacing w:after="0"/>
              <w:rPr>
                <w:sz w:val="20"/>
                <w:szCs w:val="20"/>
                <w:color w:val="auto"/>
              </w:rPr>
            </w:pPr>
            <w:r>
              <w:rPr>
                <w:rFonts w:ascii="Arial" w:cs="Arial" w:eastAsia="Arial" w:hAnsi="Arial"/>
                <w:sz w:val="20"/>
                <w:szCs w:val="20"/>
                <w:color w:val="auto"/>
              </w:rPr>
              <w:t>Cost of sales</w:t>
            </w:r>
          </w:p>
        </w:tc>
        <w:tc>
          <w:tcPr>
            <w:tcW w:w="2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680" w:type="dxa"/>
            <w:vAlign w:val="bottom"/>
          </w:tcPr>
          <w:p>
            <w:pPr>
              <w:ind w:left="240"/>
              <w:spacing w:after="0"/>
              <w:rPr>
                <w:sz w:val="20"/>
                <w:szCs w:val="20"/>
                <w:color w:val="auto"/>
              </w:rPr>
            </w:pPr>
            <w:r>
              <w:rPr>
                <w:rFonts w:ascii="Arial" w:cs="Arial" w:eastAsia="Arial" w:hAnsi="Arial"/>
                <w:sz w:val="20"/>
                <w:szCs w:val="20"/>
                <w:color w:val="auto"/>
              </w:rPr>
              <w:t>Research and development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44,574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17,216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27,358</w:t>
            </w:r>
          </w:p>
        </w:tc>
        <w:tc>
          <w:tcPr>
            <w:tcW w:w="0" w:type="dxa"/>
            <w:vAlign w:val="bottom"/>
          </w:tcPr>
          <w:p>
            <w:pPr>
              <w:spacing w:after="0"/>
              <w:rPr>
                <w:sz w:val="1"/>
                <w:szCs w:val="1"/>
                <w:color w:val="auto"/>
              </w:rPr>
            </w:pPr>
          </w:p>
        </w:tc>
      </w:tr>
      <w:tr>
        <w:trPr>
          <w:trHeight w:val="321"/>
        </w:trPr>
        <w:tc>
          <w:tcPr>
            <w:tcW w:w="5680" w:type="dxa"/>
            <w:vAlign w:val="bottom"/>
          </w:tcPr>
          <w:p>
            <w:pPr>
              <w:ind w:left="240"/>
              <w:spacing w:after="0"/>
              <w:rPr>
                <w:sz w:val="20"/>
                <w:szCs w:val="20"/>
                <w:color w:val="auto"/>
              </w:rPr>
            </w:pPr>
            <w:r>
              <w:rPr>
                <w:rFonts w:ascii="Arial" w:cs="Arial" w:eastAsia="Arial" w:hAnsi="Arial"/>
                <w:sz w:val="20"/>
                <w:szCs w:val="20"/>
                <w:color w:val="auto"/>
              </w:rPr>
              <w:t>Selling, general and administrative</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149,750</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50,353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99,397</w:t>
            </w:r>
          </w:p>
        </w:tc>
        <w:tc>
          <w:tcPr>
            <w:tcW w:w="0" w:type="dxa"/>
            <w:vAlign w:val="bottom"/>
          </w:tcPr>
          <w:p>
            <w:pPr>
              <w:spacing w:after="0"/>
              <w:rPr>
                <w:sz w:val="1"/>
                <w:szCs w:val="1"/>
                <w:color w:val="auto"/>
              </w:rPr>
            </w:pPr>
          </w:p>
        </w:tc>
      </w:tr>
      <w:tr>
        <w:trPr>
          <w:trHeight w:val="280"/>
        </w:trPr>
        <w:tc>
          <w:tcPr>
            <w:tcW w:w="5680" w:type="dxa"/>
            <w:vAlign w:val="bottom"/>
          </w:tcPr>
          <w:p>
            <w:pPr>
              <w:spacing w:after="0"/>
              <w:rPr>
                <w:sz w:val="20"/>
                <w:szCs w:val="20"/>
                <w:color w:val="auto"/>
              </w:rPr>
            </w:pPr>
            <w:r>
              <w:rPr>
                <w:rFonts w:ascii="Arial" w:cs="Arial" w:eastAsia="Arial" w:hAnsi="Arial"/>
                <w:sz w:val="20"/>
                <w:szCs w:val="20"/>
                <w:b w:val="1"/>
                <w:bCs w:val="1"/>
                <w:color w:val="auto"/>
              </w:rPr>
              <w:t>Total operating expenses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196,906</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67,569</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129,337</w:t>
            </w:r>
          </w:p>
        </w:tc>
        <w:tc>
          <w:tcPr>
            <w:tcW w:w="0" w:type="dxa"/>
            <w:vAlign w:val="bottom"/>
          </w:tcPr>
          <w:p>
            <w:pPr>
              <w:spacing w:after="0"/>
              <w:rPr>
                <w:sz w:val="1"/>
                <w:szCs w:val="1"/>
                <w:color w:val="auto"/>
              </w:rPr>
            </w:pPr>
          </w:p>
        </w:tc>
      </w:tr>
      <w:tr>
        <w:trPr>
          <w:trHeight w:val="260"/>
        </w:trPr>
        <w:tc>
          <w:tcPr>
            <w:tcW w:w="5680" w:type="dxa"/>
            <w:vAlign w:val="bottom"/>
          </w:tcPr>
          <w:p>
            <w:pPr>
              <w:spacing w:after="0"/>
              <w:rPr>
                <w:sz w:val="20"/>
                <w:szCs w:val="20"/>
                <w:color w:val="auto"/>
              </w:rPr>
            </w:pPr>
            <w:r>
              <w:rPr>
                <w:rFonts w:ascii="Arial" w:cs="Arial" w:eastAsia="Arial" w:hAnsi="Arial"/>
                <w:sz w:val="20"/>
                <w:szCs w:val="20"/>
                <w:b w:val="1"/>
                <w:bCs w:val="1"/>
                <w:color w:val="auto"/>
              </w:rPr>
              <w:t>Operating loss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(154,627)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(67,569)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(87,058)</w:t>
            </w:r>
          </w:p>
        </w:tc>
        <w:tc>
          <w:tcPr>
            <w:tcW w:w="0" w:type="dxa"/>
            <w:vAlign w:val="bottom"/>
          </w:tcPr>
          <w:p>
            <w:pPr>
              <w:spacing w:after="0"/>
              <w:rPr>
                <w:sz w:val="1"/>
                <w:szCs w:val="1"/>
                <w:color w:val="auto"/>
              </w:rPr>
            </w:pPr>
          </w:p>
        </w:tc>
      </w:tr>
      <w:tr>
        <w:trPr>
          <w:trHeight w:val="278"/>
        </w:trPr>
        <w:tc>
          <w:tcPr>
            <w:tcW w:w="5680" w:type="dxa"/>
            <w:vAlign w:val="bottom"/>
          </w:tcPr>
          <w:p>
            <w:pPr>
              <w:spacing w:after="0"/>
              <w:rPr>
                <w:sz w:val="20"/>
                <w:szCs w:val="20"/>
                <w:color w:val="auto"/>
              </w:rPr>
            </w:pPr>
            <w:r>
              <w:rPr>
                <w:rFonts w:ascii="Arial" w:cs="Arial" w:eastAsia="Arial" w:hAnsi="Arial"/>
                <w:sz w:val="20"/>
                <w:szCs w:val="20"/>
                <w:b w:val="1"/>
                <w:bCs w:val="1"/>
                <w:color w:val="auto"/>
              </w:rPr>
              <w:t>Other income/(expense):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680" w:type="dxa"/>
            <w:vAlign w:val="bottom"/>
          </w:tcPr>
          <w:p>
            <w:pPr>
              <w:ind w:left="240"/>
              <w:spacing w:after="0"/>
              <w:rPr>
                <w:sz w:val="20"/>
                <w:szCs w:val="20"/>
                <w:color w:val="auto"/>
              </w:rPr>
            </w:pPr>
            <w:r>
              <w:rPr>
                <w:rFonts w:ascii="Arial" w:cs="Arial" w:eastAsia="Arial" w:hAnsi="Arial"/>
                <w:sz w:val="20"/>
                <w:szCs w:val="20"/>
                <w:color w:val="auto"/>
              </w:rPr>
              <w:t>Research and development tax credit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3,600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1,104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2,496</w:t>
            </w:r>
          </w:p>
        </w:tc>
        <w:tc>
          <w:tcPr>
            <w:tcW w:w="0" w:type="dxa"/>
            <w:vAlign w:val="bottom"/>
          </w:tcPr>
          <w:p>
            <w:pPr>
              <w:spacing w:after="0"/>
              <w:rPr>
                <w:sz w:val="1"/>
                <w:szCs w:val="1"/>
                <w:color w:val="auto"/>
              </w:rPr>
            </w:pPr>
          </w:p>
        </w:tc>
      </w:tr>
      <w:tr>
        <w:trPr>
          <w:trHeight w:val="300"/>
        </w:trPr>
        <w:tc>
          <w:tcPr>
            <w:tcW w:w="5680" w:type="dxa"/>
            <w:vAlign w:val="bottom"/>
          </w:tcPr>
          <w:p>
            <w:pPr>
              <w:ind w:left="240"/>
              <w:spacing w:after="0"/>
              <w:rPr>
                <w:sz w:val="20"/>
                <w:szCs w:val="20"/>
                <w:color w:val="auto"/>
              </w:rPr>
            </w:pPr>
            <w:r>
              <w:rPr>
                <w:rFonts w:ascii="Arial" w:cs="Arial" w:eastAsia="Arial" w:hAnsi="Arial"/>
                <w:sz w:val="20"/>
                <w:szCs w:val="20"/>
                <w:color w:val="auto"/>
              </w:rPr>
              <w:t>Loss on extinguishment of debt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(3,653)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(3,653)</w:t>
            </w:r>
          </w:p>
        </w:tc>
        <w:tc>
          <w:tcPr>
            <w:tcW w:w="0" w:type="dxa"/>
            <w:vAlign w:val="bottom"/>
          </w:tcPr>
          <w:p>
            <w:pPr>
              <w:spacing w:after="0"/>
              <w:rPr>
                <w:sz w:val="1"/>
                <w:szCs w:val="1"/>
                <w:color w:val="auto"/>
              </w:rPr>
            </w:pPr>
          </w:p>
        </w:tc>
      </w:tr>
      <w:tr>
        <w:trPr>
          <w:trHeight w:val="300"/>
        </w:trPr>
        <w:tc>
          <w:tcPr>
            <w:tcW w:w="5680" w:type="dxa"/>
            <w:vAlign w:val="bottom"/>
          </w:tcPr>
          <w:p>
            <w:pPr>
              <w:ind w:left="240"/>
              <w:spacing w:after="0"/>
              <w:rPr>
                <w:sz w:val="20"/>
                <w:szCs w:val="20"/>
                <w:color w:val="auto"/>
              </w:rPr>
            </w:pPr>
            <w:r>
              <w:rPr>
                <w:rFonts w:ascii="Arial" w:cs="Arial" w:eastAsia="Arial" w:hAnsi="Arial"/>
                <w:sz w:val="20"/>
                <w:szCs w:val="20"/>
                <w:color w:val="auto"/>
              </w:rPr>
              <w:t>Interest income</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15,262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12,761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2,501</w:t>
            </w:r>
          </w:p>
        </w:tc>
        <w:tc>
          <w:tcPr>
            <w:tcW w:w="0" w:type="dxa"/>
            <w:vAlign w:val="bottom"/>
          </w:tcPr>
          <w:p>
            <w:pPr>
              <w:spacing w:after="0"/>
              <w:rPr>
                <w:sz w:val="1"/>
                <w:szCs w:val="1"/>
                <w:color w:val="auto"/>
              </w:rPr>
            </w:pPr>
          </w:p>
        </w:tc>
      </w:tr>
      <w:tr>
        <w:trPr>
          <w:trHeight w:val="300"/>
        </w:trPr>
        <w:tc>
          <w:tcPr>
            <w:tcW w:w="5680" w:type="dxa"/>
            <w:vAlign w:val="bottom"/>
          </w:tcPr>
          <w:p>
            <w:pPr>
              <w:ind w:left="240"/>
              <w:spacing w:after="0"/>
              <w:rPr>
                <w:sz w:val="20"/>
                <w:szCs w:val="20"/>
                <w:color w:val="auto"/>
              </w:rPr>
            </w:pPr>
            <w:r>
              <w:rPr>
                <w:rFonts w:ascii="Arial" w:cs="Arial" w:eastAsia="Arial" w:hAnsi="Arial"/>
                <w:sz w:val="20"/>
                <w:szCs w:val="20"/>
                <w:color w:val="auto"/>
              </w:rPr>
              <w:t>Interest expense</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(23,542)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(2,057)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(21,485)</w:t>
            </w:r>
          </w:p>
        </w:tc>
        <w:tc>
          <w:tcPr>
            <w:tcW w:w="0" w:type="dxa"/>
            <w:vAlign w:val="bottom"/>
          </w:tcPr>
          <w:p>
            <w:pPr>
              <w:spacing w:after="0"/>
              <w:rPr>
                <w:sz w:val="1"/>
                <w:szCs w:val="1"/>
                <w:color w:val="auto"/>
              </w:rPr>
            </w:pPr>
          </w:p>
        </w:tc>
      </w:tr>
      <w:tr>
        <w:trPr>
          <w:trHeight w:val="300"/>
        </w:trPr>
        <w:tc>
          <w:tcPr>
            <w:tcW w:w="5680" w:type="dxa"/>
            <w:vAlign w:val="bottom"/>
          </w:tcPr>
          <w:p>
            <w:pPr>
              <w:ind w:left="240"/>
              <w:spacing w:after="0"/>
              <w:rPr>
                <w:sz w:val="20"/>
                <w:szCs w:val="20"/>
                <w:color w:val="auto"/>
              </w:rPr>
            </w:pPr>
            <w:r>
              <w:rPr>
                <w:rFonts w:ascii="Arial" w:cs="Arial" w:eastAsia="Arial" w:hAnsi="Arial"/>
                <w:sz w:val="20"/>
                <w:szCs w:val="20"/>
                <w:color w:val="auto"/>
              </w:rPr>
              <w:t>Foreign exchange (loss)/gain</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(169)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1,866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(2,035)</w:t>
            </w:r>
          </w:p>
        </w:tc>
        <w:tc>
          <w:tcPr>
            <w:tcW w:w="0" w:type="dxa"/>
            <w:vAlign w:val="bottom"/>
          </w:tcPr>
          <w:p>
            <w:pPr>
              <w:spacing w:after="0"/>
              <w:rPr>
                <w:sz w:val="1"/>
                <w:szCs w:val="1"/>
                <w:color w:val="auto"/>
              </w:rPr>
            </w:pPr>
          </w:p>
        </w:tc>
      </w:tr>
      <w:tr>
        <w:trPr>
          <w:trHeight w:val="21"/>
        </w:trPr>
        <w:tc>
          <w:tcPr>
            <w:tcW w:w="5680" w:type="dxa"/>
            <w:vAlign w:val="bottom"/>
            <w:vMerge w:val="restart"/>
          </w:tcPr>
          <w:p>
            <w:pPr>
              <w:spacing w:after="0"/>
              <w:rPr>
                <w:sz w:val="20"/>
                <w:szCs w:val="20"/>
                <w:color w:val="auto"/>
              </w:rPr>
            </w:pPr>
            <w:r>
              <w:rPr>
                <w:rFonts w:ascii="Arial" w:cs="Arial" w:eastAsia="Arial" w:hAnsi="Arial"/>
                <w:sz w:val="20"/>
                <w:szCs w:val="20"/>
                <w:b w:val="1"/>
                <w:bCs w:val="1"/>
                <w:color w:val="auto"/>
              </w:rPr>
              <w:t>Total other (expense)/income, net</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0"/>
        </w:trPr>
        <w:tc>
          <w:tcPr>
            <w:tcW w:w="5680" w:type="dxa"/>
            <w:vAlign w:val="bottom"/>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(8,502)</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13,674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(22,176)</w:t>
            </w:r>
          </w:p>
        </w:tc>
        <w:tc>
          <w:tcPr>
            <w:tcW w:w="0" w:type="dxa"/>
            <w:vAlign w:val="bottom"/>
          </w:tcPr>
          <w:p>
            <w:pPr>
              <w:spacing w:after="0"/>
              <w:rPr>
                <w:sz w:val="1"/>
                <w:szCs w:val="1"/>
                <w:color w:val="auto"/>
              </w:rPr>
            </w:pPr>
          </w:p>
        </w:tc>
      </w:tr>
      <w:tr>
        <w:trPr>
          <w:trHeight w:val="260"/>
        </w:trPr>
        <w:tc>
          <w:tcPr>
            <w:tcW w:w="5680" w:type="dxa"/>
            <w:vAlign w:val="bottom"/>
          </w:tcPr>
          <w:p>
            <w:pPr>
              <w:spacing w:after="0"/>
              <w:rPr>
                <w:sz w:val="20"/>
                <w:szCs w:val="20"/>
                <w:color w:val="auto"/>
              </w:rPr>
            </w:pPr>
            <w:r>
              <w:rPr>
                <w:rFonts w:ascii="Arial" w:cs="Arial" w:eastAsia="Arial" w:hAnsi="Arial"/>
                <w:sz w:val="20"/>
                <w:szCs w:val="20"/>
                <w:b w:val="1"/>
                <w:bCs w:val="1"/>
                <w:color w:val="auto"/>
              </w:rPr>
              <w:t>Loss before income taxes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(163,129)</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(53,895)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(109,234)</w:t>
            </w:r>
          </w:p>
        </w:tc>
        <w:tc>
          <w:tcPr>
            <w:tcW w:w="0" w:type="dxa"/>
            <w:vAlign w:val="bottom"/>
          </w:tcPr>
          <w:p>
            <w:pPr>
              <w:spacing w:after="0"/>
              <w:rPr>
                <w:sz w:val="1"/>
                <w:szCs w:val="1"/>
                <w:color w:val="auto"/>
              </w:rPr>
            </w:pPr>
          </w:p>
        </w:tc>
      </w:tr>
      <w:tr>
        <w:trPr>
          <w:trHeight w:val="299"/>
        </w:trPr>
        <w:tc>
          <w:tcPr>
            <w:tcW w:w="5680" w:type="dxa"/>
            <w:vAlign w:val="bottom"/>
          </w:tcPr>
          <w:p>
            <w:pPr>
              <w:ind w:left="240"/>
              <w:spacing w:after="0"/>
              <w:rPr>
                <w:sz w:val="20"/>
                <w:szCs w:val="20"/>
                <w:color w:val="auto"/>
              </w:rPr>
            </w:pPr>
            <w:r>
              <w:rPr>
                <w:rFonts w:ascii="Arial" w:cs="Arial" w:eastAsia="Arial" w:hAnsi="Arial"/>
                <w:sz w:val="20"/>
                <w:szCs w:val="20"/>
                <w:color w:val="auto"/>
              </w:rPr>
              <w:t>Income tax expense</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(10,289)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(474)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(9,815)</w:t>
            </w:r>
          </w:p>
        </w:tc>
        <w:tc>
          <w:tcPr>
            <w:tcW w:w="0" w:type="dxa"/>
            <w:vAlign w:val="bottom"/>
          </w:tcPr>
          <w:p>
            <w:pPr>
              <w:spacing w:after="0"/>
              <w:rPr>
                <w:sz w:val="1"/>
                <w:szCs w:val="1"/>
                <w:color w:val="auto"/>
              </w:rPr>
            </w:pPr>
          </w:p>
        </w:tc>
      </w:tr>
      <w:tr>
        <w:trPr>
          <w:trHeight w:val="21"/>
        </w:trPr>
        <w:tc>
          <w:tcPr>
            <w:tcW w:w="5680" w:type="dxa"/>
            <w:vAlign w:val="bottom"/>
            <w:vMerge w:val="restart"/>
          </w:tcPr>
          <w:p>
            <w:pPr>
              <w:spacing w:after="0"/>
              <w:rPr>
                <w:sz w:val="20"/>
                <w:szCs w:val="20"/>
                <w:color w:val="auto"/>
              </w:rPr>
            </w:pPr>
            <w:r>
              <w:rPr>
                <w:rFonts w:ascii="Arial" w:cs="Arial" w:eastAsia="Arial" w:hAnsi="Arial"/>
                <w:sz w:val="20"/>
                <w:szCs w:val="20"/>
                <w:b w:val="1"/>
                <w:bCs w:val="1"/>
                <w:color w:val="auto"/>
              </w:rPr>
              <w:t>Net loss</w:t>
            </w: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5680" w:type="dxa"/>
            <w:vAlign w:val="bottom"/>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(173,418)</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(54,369)</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(119,049)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-3695065</wp:posOffset>
            </wp:positionV>
            <wp:extent cx="5964555" cy="3702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4555" cy="370205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Product sales, net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Ohtuvayre received FDA approval on June 26, 2024 and the product was commercially available on August 6, 2024.</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Product sales, net for Ohtuvayre was $42.3 million for the year ended December 31, 2024.</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sales</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Cost of sales was $2.6 million for the year ended December 31, 2024 which includes Ohtuvayre manufacturing costs incurred after FDA approval, inventory overhead costs and sales-based royalties due to Ligand. Prior to obtaining initial regulatory approval for Ohtuvayre, we expensed costs relating to production of pre-launch inventory as R&amp;D expense in the period incurred.</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costs</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Research and development costs were $44.6 million for the year ended December 31, 2024, compared to $17.2 million for the year ended December 31, 2023, an increase of $27.4 million. This increase was primarily due to an increase of $17.5 million in clinical trial and other development costs as we initiated two Phase 2 studies in the third quarter of 2024 related to the combination of ensifentrine and glycopyrrolate for the treatment of COPD and nebulized ensifentrine for the treatment of patients with bronchiectasis, the payment of the $6.3 million First Approval Milestone, $3.1 million increase in share-based compensation, $2.0 million increase for people-related costs and $1.1 million related to pre-launch manufacturing costs. The increase in clinical trial and other development costs from the prior year also includes the impact in 2023 of a reversal of $1.5 million of costs which were expensed in the year ended December 31, 2022 related to the resolution of the matter with a Phase 3 ENHANCE program supplier. This was partially offset by a decrease of $1.3 million in consultant and professional fee costs which were higher in 2023 due to service costs associated with our New Drug Application and the related approval process.</w:t>
      </w:r>
    </w:p>
    <w:p>
      <w:pPr>
        <w:sectPr>
          <w:pgSz w:w="11880" w:h="15480" w:orient="portrait"/>
          <w:cols w:equalWidth="0" w:num="1">
            <w:col w:w="9360"/>
          </w:cols>
          <w:pgMar w:left="1260" w:top="85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9360"/>
          </w:cols>
          <w:pgMar w:left="1260" w:top="850" w:right="1260" w:bottom="0" w:gutter="0" w:footer="0" w:header="0"/>
          <w:type w:val="continuous"/>
        </w:sectPr>
      </w:pPr>
    </w:p>
    <w:bookmarkStart w:id="94" w:name="page95"/>
    <w:bookmarkEnd w:id="94"/>
    <w:p>
      <w:pPr>
        <w:spacing w:after="0"/>
        <w:rPr>
          <w:sz w:val="20"/>
          <w:szCs w:val="20"/>
          <w:color w:val="auto"/>
        </w:rPr>
      </w:pPr>
      <w:r>
        <w:rPr>
          <w:rFonts w:ascii="Arial" w:cs="Arial" w:eastAsia="Arial" w:hAnsi="Arial"/>
          <w:sz w:val="20"/>
          <w:szCs w:val="20"/>
          <w:b w:val="1"/>
          <w:bCs w:val="1"/>
          <w:i w:val="1"/>
          <w:iCs w:val="1"/>
          <w:color w:val="auto"/>
        </w:rPr>
        <w:t>Selling, general and administrative costs</w:t>
      </w:r>
    </w:p>
    <w:p>
      <w:pPr>
        <w:spacing w:after="0" w:line="11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Selling, general and administrative costs were $149.8 million for the year ended December 31, 2024 compared to $50.4 million for the year ended December 31, 2023, an increase of $99.4 million. This increase was driven primarily by an increase of $29.7 million in marketing and other commercial related activities, including travel, primarily related to the launch of Ohtuvayre, an increase of $26.8 million in people-related costs as we built out our commercial organization largely in the second quarter of 2024, a charge of $15.0 million for the First Sale Milestone and an increase of $7.3 million in professional and consulting fees, information technology costs and other support costs. Additionally, share-based compensation increased by $18.8 million.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(expense)/income</w:t>
      </w:r>
    </w:p>
    <w:p>
      <w:pPr>
        <w:spacing w:after="0" w:line="11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Other (expense)/income for the year ended December 31, 2024 was expense of $8.5 million compared to income of $13.7 million for the year ended December 31, 2023, a change of $22.2 million. This change was primarily due to an increase in interest expense of $21.5 million related to our higher average debt balance and the noncash interest expense recognized on the RIPSA as well as the recognition of a $3.7 million loss on the extinguishment of our 2023 Term Loan. This change was partially offset by an increase in our research and development tax credit of $2.5 million relating to higher qualifying clinical trial and other development costs in 2024 and a $2.5 million increase in interest income due to our higher average cash balance.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2024 and 2023 (in thousands):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6"/>
                <w:szCs w:val="16"/>
                <w:b w:val="1"/>
                <w:bCs w:val="1"/>
                <w:color w:val="auto"/>
                <w:w w:val="93"/>
              </w:rPr>
              <w:t>Year ended December 31,</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80"/>
        </w:trPr>
        <w:tc>
          <w:tcPr>
            <w:tcW w:w="5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b w:val="1"/>
                <w:bCs w:val="1"/>
                <w:color w:val="auto"/>
                <w:w w:val="98"/>
              </w:rPr>
              <w:t>Variance</w:t>
            </w:r>
          </w:p>
        </w:tc>
      </w:tr>
      <w:tr>
        <w:trPr>
          <w:trHeight w:val="260"/>
        </w:trPr>
        <w:tc>
          <w:tcPr>
            <w:tcW w:w="5680" w:type="dxa"/>
            <w:vAlign w:val="bottom"/>
          </w:tcPr>
          <w:p>
            <w:pPr>
              <w:spacing w:after="0"/>
              <w:rPr>
                <w:sz w:val="20"/>
                <w:szCs w:val="20"/>
                <w:color w:val="auto"/>
              </w:rPr>
            </w:pPr>
            <w:r>
              <w:rPr>
                <w:rFonts w:ascii="Arial" w:cs="Arial" w:eastAsia="Arial" w:hAnsi="Arial"/>
                <w:sz w:val="20"/>
                <w:szCs w:val="20"/>
                <w:b w:val="1"/>
                <w:bCs w:val="1"/>
                <w:color w:val="auto"/>
              </w:rPr>
              <w:t>Cash and cash equivalents at beginning of the year</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271,772</w:t>
            </w:r>
          </w:p>
        </w:tc>
        <w:tc>
          <w:tcPr>
            <w:tcW w:w="8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227,827</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43,945</w:t>
            </w:r>
          </w:p>
        </w:tc>
      </w:tr>
      <w:tr>
        <w:trPr>
          <w:trHeight w:val="281"/>
        </w:trPr>
        <w:tc>
          <w:tcPr>
            <w:tcW w:w="5680" w:type="dxa"/>
            <w:vAlign w:val="bottom"/>
          </w:tcPr>
          <w:p>
            <w:pPr>
              <w:ind w:left="240"/>
              <w:spacing w:after="0"/>
              <w:rPr>
                <w:sz w:val="20"/>
                <w:szCs w:val="20"/>
                <w:color w:val="auto"/>
              </w:rPr>
            </w:pPr>
            <w:r>
              <w:rPr>
                <w:rFonts w:ascii="Arial" w:cs="Arial" w:eastAsia="Arial" w:hAnsi="Arial"/>
                <w:sz w:val="20"/>
                <w:szCs w:val="20"/>
                <w:color w:val="auto"/>
              </w:rPr>
              <w:t>Net cash used in operating activities</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(122,203)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(50,222)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(71,981)</w:t>
            </w:r>
          </w:p>
        </w:tc>
      </w:tr>
      <w:tr>
        <w:trPr>
          <w:trHeight w:val="300"/>
        </w:trPr>
        <w:tc>
          <w:tcPr>
            <w:tcW w:w="5680" w:type="dxa"/>
            <w:vAlign w:val="bottom"/>
          </w:tcPr>
          <w:p>
            <w:pPr>
              <w:ind w:left="240"/>
              <w:spacing w:after="0"/>
              <w:rPr>
                <w:sz w:val="20"/>
                <w:szCs w:val="20"/>
                <w:color w:val="auto"/>
              </w:rPr>
            </w:pPr>
            <w:r>
              <w:rPr>
                <w:rFonts w:ascii="Arial" w:cs="Arial" w:eastAsia="Arial" w:hAnsi="Arial"/>
                <w:sz w:val="20"/>
                <w:szCs w:val="20"/>
                <w:color w:val="auto"/>
              </w:rPr>
              <w:t>Net cash used in investing activities</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(580)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(580)</w:t>
            </w:r>
          </w:p>
        </w:tc>
      </w:tr>
      <w:tr>
        <w:trPr>
          <w:trHeight w:val="300"/>
        </w:trPr>
        <w:tc>
          <w:tcPr>
            <w:tcW w:w="5680" w:type="dxa"/>
            <w:vAlign w:val="bottom"/>
          </w:tcPr>
          <w:p>
            <w:pPr>
              <w:ind w:left="240"/>
              <w:spacing w:after="0"/>
              <w:rPr>
                <w:sz w:val="20"/>
                <w:szCs w:val="20"/>
                <w:color w:val="auto"/>
              </w:rPr>
            </w:pPr>
            <w:r>
              <w:rPr>
                <w:rFonts w:ascii="Arial" w:cs="Arial" w:eastAsia="Arial" w:hAnsi="Arial"/>
                <w:sz w:val="20"/>
                <w:szCs w:val="20"/>
                <w:color w:val="auto"/>
              </w:rPr>
              <w:t>Net cash provided by financing activities</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250,779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92,869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157,910</w:t>
            </w:r>
          </w:p>
        </w:tc>
      </w:tr>
      <w:tr>
        <w:trPr>
          <w:trHeight w:val="308"/>
        </w:trPr>
        <w:tc>
          <w:tcPr>
            <w:tcW w:w="5680" w:type="dxa"/>
            <w:vAlign w:val="bottom"/>
          </w:tcPr>
          <w:p>
            <w:pPr>
              <w:ind w:left="240"/>
              <w:spacing w:after="0"/>
              <w:rPr>
                <w:sz w:val="20"/>
                <w:szCs w:val="20"/>
                <w:color w:val="auto"/>
              </w:rPr>
            </w:pPr>
            <w:r>
              <w:rPr>
                <w:rFonts w:ascii="Arial" w:cs="Arial" w:eastAsia="Arial" w:hAnsi="Arial"/>
                <w:sz w:val="20"/>
                <w:szCs w:val="20"/>
                <w:color w:val="auto"/>
                <w:w w:val="97"/>
              </w:rPr>
              <w:t>Effect of exchange rate changes on cash and cash equivalents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1,298</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(1,309)</w:t>
            </w:r>
          </w:p>
        </w:tc>
      </w:tr>
      <w:tr>
        <w:trPr>
          <w:trHeight w:val="245"/>
        </w:trPr>
        <w:tc>
          <w:tcPr>
            <w:tcW w:w="5680" w:type="dxa"/>
            <w:vAlign w:val="bottom"/>
          </w:tcPr>
          <w:p>
            <w:pPr>
              <w:spacing w:after="0"/>
              <w:rPr>
                <w:sz w:val="20"/>
                <w:szCs w:val="20"/>
                <w:color w:val="auto"/>
              </w:rPr>
            </w:pPr>
            <w:r>
              <w:rPr>
                <w:rFonts w:ascii="Arial" w:cs="Arial" w:eastAsia="Arial" w:hAnsi="Arial"/>
                <w:sz w:val="20"/>
                <w:szCs w:val="20"/>
                <w:b w:val="1"/>
                <w:bCs w:val="1"/>
                <w:color w:val="auto"/>
              </w:rPr>
              <w:t>Cash and cash equivalents at end of the year</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399,757</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271,772</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127,985</w:t>
            </w: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-1144905</wp:posOffset>
            </wp:positionV>
            <wp:extent cx="5964555" cy="1151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4555" cy="115189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1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Net cash used in operating activities was $122.2 million in the year ended December 31, 2024 compared to $50.2 million during the year ended December 31, 2023, a increase of $72.0 million. The increase in cash used in operating activities was primarily due to the increase of costs incurred for the commercial launch of Ohtuvayre and the related increase in people-related costs for the field sales team and commercial and corporate support functions as well as spend related to the two Phase 2 studies which were initiated in the third quarter of 2024. Additionally, we made milestone payments of $21.3 million to Ligand. This was partially offset by $17.6 million received from customers related to product sales of Ohtuvayre as well as $8.7 million related to the 2022 R&amp;D tax credit received from HMRC.</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1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increase in cash provided by financing activities was primarily due to net proceeds received of $163.3 million in the year ended December 31, 2024 from the 2024 Term Loans and the RIPSA partially offset by the repayment of the 2023 Term Loans and debt issuance costs. Additionally, we received $97.5 million in proceeds from “at the market” equity offering program (the “ATM Program”). This was partially offset by the payment of withholding taxes from share-based awards of $15.5 million.</w:t>
      </w:r>
    </w:p>
    <w:p>
      <w:pPr>
        <w:spacing w:after="0" w:line="8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the year ended December 31, 2023, we received $56.9 million related to ATM Program sales as well as $10.0 million of proceeds from our prior term loan with Oxford Finance Luxembourg S.À R.L.</w:t>
      </w:r>
    </w:p>
    <w:p>
      <w:pPr>
        <w:sectPr>
          <w:pgSz w:w="11880" w:h="15480" w:orient="portrait"/>
          <w:cols w:equalWidth="0" w:num="1">
            <w:col w:w="9360"/>
          </w:cols>
          <w:pgMar w:left="1260" w:top="85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9360"/>
          </w:cols>
          <w:pgMar w:left="1260" w:top="854" w:right="1260" w:bottom="0" w:gutter="0" w:footer="0" w:header="0"/>
          <w:type w:val="continuous"/>
        </w:sectPr>
      </w:pPr>
    </w:p>
    <w:bookmarkStart w:id="95" w:name="page96"/>
    <w:bookmarkEnd w:id="95"/>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To date, we have financed our operations primarily through the issuances of our equity securities, from borrowings under our term loan facilities and RIPSA, from product sales and from upfront payments received under the Nuance Agreement. See “Significant Agreements” for additional information.</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incurred recurring losses since inception, including net losses of $173.4 million for the year ended December 31, 2024. In addition, as of December 31, 2024, we had an accumulated deficit of $562.4 million. We expect to incur additional losses and negative cash flows from operations until we reach profitability, if at all, and we may continue to incur significant operating losses for the foreseeable future as we have increased our headcount significantly in 2024 and have increased spending to support our commercial launch of Ohtuvayre. Additionally, we have expanded our research and development efforts, and may continue to advance our clinical development of ensifentrine in other formulations or for other indications, bring on additional assets and development programs, and seek to obtain regulatory approval for and commercialize any related product candidates.</w:t>
      </w:r>
    </w:p>
    <w:p>
      <w:pPr>
        <w:spacing w:after="0" w:line="6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have no ongoing material financial commitments, such as lines of credit or guarantees, that are expected to affect our liquidity over the next five years, other than leases, our 2024 Term Loans and RIPSA.</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2024 Financing and Capital Transactions</w:t>
      </w:r>
    </w:p>
    <w:p>
      <w:pPr>
        <w:spacing w:after="0" w:line="114" w:lineRule="exact"/>
        <w:rPr>
          <w:sz w:val="20"/>
          <w:szCs w:val="20"/>
          <w:color w:val="auto"/>
        </w:rPr>
      </w:pPr>
    </w:p>
    <w:p>
      <w:pPr>
        <w:ind w:left="360" w:hanging="356"/>
        <w:spacing w:after="0"/>
        <w:tabs>
          <w:tab w:leader="none" w:pos="3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Entered into the 2024 Term Loans and RIPSA and drew an aggregate of $225 million;</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Repaid the 2023 Term Loans of $50 million in full;</w:t>
      </w:r>
    </w:p>
    <w:p>
      <w:pPr>
        <w:spacing w:after="0" w:line="109" w:lineRule="exact"/>
        <w:rPr>
          <w:rFonts w:ascii="Arial" w:cs="Arial" w:eastAsia="Arial" w:hAnsi="Arial"/>
          <w:sz w:val="20"/>
          <w:szCs w:val="20"/>
          <w:color w:val="auto"/>
        </w:rPr>
      </w:pPr>
    </w:p>
    <w:p>
      <w:pPr>
        <w:jc w:val="both"/>
        <w:ind w:left="360" w:hanging="356"/>
        <w:spacing w:after="0" w:line="256" w:lineRule="auto"/>
        <w:tabs>
          <w:tab w:leader="none" w:pos="3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Sold 20,329,832 ordinary shares (equivalent to 2,541,229 ADSs) under the ATM Program, at an average price of approximately $4.92 per share (equivalent to $39.35 per ADS), raising aggregate net proceeds of approximately $97.5 million after deducting issuance costs. As of December 31, 2024, there remained $100.0 million of ordinary shares, in the form of ADSs, available for sale under the ATM Program.</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2024 Term Loan requires, among others, that we maintain certain financial covenants, and we were in compliance with all of these covenants as of December 31, 2024.</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Refer to Note 5 - Debt to our Consolidated Financial Statements and related notes included elsewhere in this Annual Report for additional information regarding the 2024 Term Loans and RIPSA and Note 1 - Organization and Description of Business Operations to our Consolidated Financial Statements for additional information regarding the ATM program.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Funding requirements</w:t>
      </w:r>
    </w:p>
    <w:p>
      <w:pPr>
        <w:spacing w:after="0" w:line="23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We believe that our cash and cash equivalents as of December 31, 2024, our product sales and funding expected to become available under the 2024 Term Loan and RIPSA, will be sufficient to fund our operating expenses and capital expenditure requirements for at least the next 12 months from the date of issuance of our Consolidated Financial Statements included elsewhere in this Annual Report. Future advances under the 2024 Term Loans and the RIPSA are contingent upon achievement of certain commercial milestones and other specified conditions.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 We maintain the majority of our cash and cash equivalents in accounts with major U.S. and multi-national financial institutions, and our deposits at these institutions may exceed insured limits.</w:t>
      </w:r>
    </w:p>
    <w:p>
      <w:pPr>
        <w:spacing w:after="0" w:line="8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may require additional capital for the continued commercial launch of Ohtuvayre or to continue our research and develop additional indications or additional formulations of or with ensifentrine. In addition, we may seek to initiate or conduct preclinical or clinical studies with ensifentrine in additional indications or to discover or in-license and develop additional product candidates. We may need to seek additional funding through public or private financings, debt financings, collaboration or licensing agreements and other arrangements. However, there is no guarantee that we will be successful in securing additional capital on acceptable terms, or at all.</w:t>
      </w:r>
    </w:p>
    <w:p>
      <w:pPr>
        <w:spacing w:after="0" w:line="5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securities offerings, debt financings, license and collaboration agreements and research grants. If we raise capital through equity securities offerings, the ownership interest of our ADS holders and</w:t>
      </w:r>
    </w:p>
    <w:p>
      <w:pPr>
        <w:sectPr>
          <w:pgSz w:w="11880" w:h="15480" w:orient="portrait"/>
          <w:cols w:equalWidth="0" w:num="1">
            <w:col w:w="9360"/>
          </w:cols>
          <w:pgMar w:left="1260" w:top="85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9360"/>
          </w:cols>
          <w:pgMar w:left="1260" w:top="850" w:right="1260" w:bottom="0" w:gutter="0" w:footer="0" w:header="0"/>
          <w:type w:val="continuous"/>
        </w:sectPr>
      </w:pPr>
    </w:p>
    <w:bookmarkStart w:id="96" w:name="page97"/>
    <w:bookmarkEnd w:id="96"/>
    <w:p>
      <w:pPr>
        <w:jc w:val="both"/>
        <w:spacing w:after="0" w:line="260" w:lineRule="auto"/>
        <w:rPr>
          <w:sz w:val="20"/>
          <w:szCs w:val="20"/>
          <w:color w:val="auto"/>
        </w:rPr>
      </w:pPr>
      <w:r>
        <w:rPr>
          <w:rFonts w:ascii="Arial" w:cs="Arial" w:eastAsia="Arial" w:hAnsi="Arial"/>
          <w:sz w:val="18"/>
          <w:szCs w:val="18"/>
          <w:color w:val="auto"/>
        </w:rPr>
        <w:t>shareholders will be diluted, and the terms of these securities may include liquidation or other preferences that adversely affect these holders’ rights as holders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to decline.</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future capital requirements for ensifentrine or any future product candidates will depend on many factors, including:</w:t>
      </w:r>
    </w:p>
    <w:p>
      <w:pPr>
        <w:spacing w:after="0" w:line="61" w:lineRule="exact"/>
        <w:rPr>
          <w:sz w:val="20"/>
          <w:szCs w:val="20"/>
          <w:color w:val="auto"/>
        </w:rPr>
      </w:pPr>
    </w:p>
    <w:p>
      <w:pPr>
        <w:ind w:left="360" w:hanging="356"/>
        <w:spacing w:after="0" w:line="287" w:lineRule="auto"/>
        <w:tabs>
          <w:tab w:leader="none" w:pos="3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cost, progress and results of any studies required to support the commercial positioning of Ohtuvayre for the maintenance treatment of COPD in adult patients and any future product candidates;</w:t>
      </w:r>
    </w:p>
    <w:p>
      <w:pPr>
        <w:spacing w:after="0" w:line="37" w:lineRule="exact"/>
        <w:rPr>
          <w:rFonts w:ascii="Arial" w:cs="Arial" w:eastAsia="Arial" w:hAnsi="Arial"/>
          <w:sz w:val="19"/>
          <w:szCs w:val="19"/>
          <w:color w:val="auto"/>
        </w:rPr>
      </w:pPr>
    </w:p>
    <w:p>
      <w:pPr>
        <w:ind w:left="360" w:hanging="356"/>
        <w:spacing w:after="0"/>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number of potential new product candidates we decide to in-license and develop;</w:t>
      </w:r>
    </w:p>
    <w:p>
      <w:pPr>
        <w:spacing w:after="0" w:line="109"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cost, progress and results of any clinical trials evaluating ensifentrine for the treatment of bronchiectasis, CF, asthma or other targeted indications, or for other formulations of ensifentrine, including fixed-dose combination products;</w:t>
      </w:r>
    </w:p>
    <w:p>
      <w:pPr>
        <w:spacing w:after="0" w:line="75"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cost of manufacturing clinical and commercial supplies of the ensifentrine active ingredient and derived formulated drug products and for other formulations of ensifentrine in development;</w:t>
      </w:r>
    </w:p>
    <w:p>
      <w:pPr>
        <w:spacing w:after="0" w:line="61" w:lineRule="exact"/>
        <w:rPr>
          <w:rFonts w:ascii="Arial" w:cs="Arial" w:eastAsia="Arial" w:hAnsi="Arial"/>
          <w:sz w:val="20"/>
          <w:szCs w:val="20"/>
          <w:color w:val="auto"/>
        </w:rPr>
      </w:pPr>
    </w:p>
    <w:p>
      <w:pPr>
        <w:jc w:val="both"/>
        <w:ind w:left="360" w:hanging="356"/>
        <w:spacing w:after="0" w:line="239" w:lineRule="auto"/>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scope, progress, results and costs of pre-clinical development, laboratory testing and clinical trials for ensifentrine in other target indications and of the development of DPI and pMDI formulations of ensifentrine, or fixed-dose combination formulations of ensifentrine for the maintenance treatment of COPD and potentially bronchiectasis, CF, asthma and other respiratory diseases;</w:t>
      </w:r>
    </w:p>
    <w:p>
      <w:pPr>
        <w:spacing w:after="0" w:line="83"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costs involved in growing our organization to the size needed to allow for the research, development and commercialization of ensifentrine or any future product candidates;</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costs, timing and outcomes of current and future commercialization activities, including manufacturing, marketing, sales and distribution, for Ohtuvayre;</w:t>
      </w:r>
    </w:p>
    <w:p>
      <w:pPr>
        <w:spacing w:after="0" w:line="61"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75" w:lineRule="exact"/>
        <w:rPr>
          <w:rFonts w:ascii="Arial" w:cs="Arial" w:eastAsia="Arial" w:hAnsi="Arial"/>
          <w:sz w:val="20"/>
          <w:szCs w:val="20"/>
          <w:color w:val="auto"/>
        </w:rPr>
      </w:pPr>
    </w:p>
    <w:p>
      <w:pPr>
        <w:ind w:left="360" w:hanging="356"/>
        <w:spacing w:after="0"/>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sales price and availability of adequate third-party coverage and reimbursement for Ohtuvayre;</w:t>
      </w:r>
    </w:p>
    <w:p>
      <w:pPr>
        <w:spacing w:after="0" w:line="109" w:lineRule="exact"/>
        <w:rPr>
          <w:rFonts w:ascii="Arial" w:cs="Arial" w:eastAsia="Arial" w:hAnsi="Arial"/>
          <w:sz w:val="20"/>
          <w:szCs w:val="20"/>
          <w:color w:val="auto"/>
        </w:rPr>
      </w:pPr>
    </w:p>
    <w:p>
      <w:pPr>
        <w:ind w:left="360" w:hanging="356"/>
        <w:spacing w:after="0"/>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effect of competing technological and market developments;</w:t>
      </w:r>
    </w:p>
    <w:p>
      <w:pPr>
        <w:spacing w:after="0" w:line="109"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extent to which we acquire or invest in businesses, products and technologies, including entering into licensing or collaboration arrangements for our products;</w:t>
      </w:r>
    </w:p>
    <w:p>
      <w:pPr>
        <w:spacing w:after="0" w:line="61"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any licensing or milestone fees we might have to pay during future development of ensifentrine or any future product candidates;</w:t>
      </w:r>
    </w:p>
    <w:p>
      <w:pPr>
        <w:spacing w:after="0" w:line="61" w:lineRule="exact"/>
        <w:rPr>
          <w:rFonts w:ascii="Arial" w:cs="Arial" w:eastAsia="Arial" w:hAnsi="Arial"/>
          <w:sz w:val="20"/>
          <w:szCs w:val="20"/>
          <w:color w:val="auto"/>
        </w:rPr>
      </w:pPr>
    </w:p>
    <w:p>
      <w:pPr>
        <w:jc w:val="both"/>
        <w:ind w:left="360" w:hanging="356"/>
        <w:spacing w:after="0" w:line="245" w:lineRule="auto"/>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selling and marketing activities undertaken in connection with the commercialization of Ohtuvayre, potential commercialization of ensifentrine in other indications or any future product candidates, if approved, and costs involved in the creation of an effective sales and marketing organization;</w:t>
      </w:r>
    </w:p>
    <w:p>
      <w:pPr>
        <w:spacing w:after="0" w:line="75" w:lineRule="exact"/>
        <w:rPr>
          <w:rFonts w:ascii="Arial" w:cs="Arial" w:eastAsia="Arial" w:hAnsi="Arial"/>
          <w:sz w:val="20"/>
          <w:szCs w:val="20"/>
          <w:color w:val="auto"/>
        </w:rPr>
      </w:pPr>
    </w:p>
    <w:p>
      <w:pPr>
        <w:ind w:left="360" w:hanging="356"/>
        <w:spacing w:after="0" w:line="260" w:lineRule="auto"/>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amount of revenue we may derive either directly or in the form of royalty payments from future sales of Ohtuvayre or any future product candidates, including ensifentrine in other indications;</w:t>
      </w:r>
    </w:p>
    <w:p>
      <w:pPr>
        <w:spacing w:after="0" w:line="61" w:lineRule="exact"/>
        <w:rPr>
          <w:rFonts w:ascii="Arial" w:cs="Arial" w:eastAsia="Arial" w:hAnsi="Arial"/>
          <w:sz w:val="20"/>
          <w:szCs w:val="20"/>
          <w:color w:val="auto"/>
        </w:rPr>
      </w:pPr>
    </w:p>
    <w:p>
      <w:pPr>
        <w:ind w:left="360" w:hanging="356"/>
        <w:spacing w:after="0" w:line="316" w:lineRule="auto"/>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fully develop a sales, marketing and distribution infrastructure and scale up external manufacturing capabilities to commercialize Ohtuvayre and any product candidates for which we may obtain regulatory approval; and</w:t>
      </w:r>
    </w:p>
    <w:p>
      <w:pPr>
        <w:spacing w:after="0" w:line="14" w:lineRule="exact"/>
        <w:rPr>
          <w:rFonts w:ascii="Arial" w:cs="Arial" w:eastAsia="Arial" w:hAnsi="Arial"/>
          <w:sz w:val="18"/>
          <w:szCs w:val="18"/>
          <w:color w:val="auto"/>
        </w:rPr>
      </w:pPr>
    </w:p>
    <w:p>
      <w:pPr>
        <w:ind w:left="360" w:hanging="356"/>
        <w:spacing w:after="0"/>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our ability to continue to operate as a public company.</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9360"/>
          </w:cols>
          <w:pgMar w:left="1260" w:top="858" w:right="1260" w:bottom="0" w:gutter="0" w:footer="0" w:header="0"/>
          <w:type w:val="continuous"/>
        </w:sectPr>
      </w:pPr>
    </w:p>
    <w:bookmarkStart w:id="97" w:name="page98"/>
    <w:bookmarkEnd w:id="97"/>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3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For a discussion of pending and recently adopted accounting pronouncements, see Note 2 - Basis of Presentation and Summary of Significant Accounting Policie</w:t>
      </w:r>
      <w:r>
        <w:rPr>
          <w:rFonts w:ascii="Arial" w:cs="Arial" w:eastAsia="Arial" w:hAnsi="Arial"/>
          <w:sz w:val="20"/>
          <w:szCs w:val="20"/>
          <w:b w:val="1"/>
          <w:bCs w:val="1"/>
          <w:color w:val="auto"/>
        </w:rPr>
        <w:t>s</w:t>
      </w:r>
      <w:r>
        <w:rPr>
          <w:rFonts w:ascii="Arial" w:cs="Arial" w:eastAsia="Arial" w:hAnsi="Arial"/>
          <w:sz w:val="20"/>
          <w:szCs w:val="20"/>
          <w:color w:val="auto"/>
        </w:rPr>
        <w:t xml:space="preserve"> to our Consolidated Financial Statements included elsewhere in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119"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We are exposed to market risk related to changes in interest rates. As of December 31, 2024 and December 31, 2023, we had cash and cash equivalents of $399.8 million and $271.8 million, respectively, consisting primarily of money market funds. Our cash equivalents are subject to interest rate risk and the rate of return would be negatively impacted by a decrease in interest rates. Due to the short-term nature of our cash equivalents, a sudden change in interest rates would not be expected to have a material effect on our business, financial condition or results of operations. There has been no material change to our interest rate sensitivity during the year ended December 31, 2024.</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Exchange Risk</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 is exposed to foreign exchange risk as a result of transactions in currencies other than its functional currency, the U.S. dollar. The Company’s expenses in the year ended December 31, 2024 were incurred primarily in U.S. dollars, but also included euros and pound sterling. At December 31, 2024, approximately 4% of cash and cash equivalents and 7% of accounts payable were denominated in foreign currencies. In addition, the R&amp;D tax credit receivable is in pound sterling. Due to the relative magnitude of our foreign currency holdings, a change of 1% in foreign exchange rates would not have a material effect on our business, financial condition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financial statements required to be filed pursuant to this Item 8 are appended to this Annual Report. An index of those financial statements is found in Item 15 of Part IV of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9 was previously reported in the Company’s Current Report on Form 8-K that was filed with the Securities and Exchange Commission on December 18, 2023.</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Disclosure 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Limitations on Effectiveness of Controls and Procedures</w:t>
      </w:r>
    </w:p>
    <w:p>
      <w:pPr>
        <w:spacing w:after="0" w:line="11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Evaluation of Disclosure Controls and Procedures</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Our management, with the participation of our principal executive officer and principal financial officer, has evaluated the effectiveness of our disclosure controls and procedures (as defined in Rules 13a- 15(e) and 15d- 15(e) under the Exchange Act), as of the end of the period covered by this Annual Report. Based on such evaluation, our principal executive officer and principal financial officer have concluded that, as of December 31, 2024,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Annual Report on Internal Control Over Financial Reporting</w:t>
      </w:r>
    </w:p>
    <w:p>
      <w:pPr>
        <w:spacing w:after="0" w:line="11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Our management, including our principal executive officer and principal financial officer, is responsible for establishing and maintaining adequate internal control over our financial reporting, as such term is defined in Rules 13a-15(f) and 15d-15(f) under the Exchange Act.</w:t>
      </w:r>
    </w:p>
    <w:p>
      <w:pPr>
        <w:sectPr>
          <w:pgSz w:w="11880" w:h="15480" w:orient="portrait"/>
          <w:cols w:equalWidth="0" w:num="1">
            <w:col w:w="9360"/>
          </w:cols>
          <w:pgMar w:left="1260" w:top="85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9360"/>
          </w:cols>
          <w:pgMar w:left="1260" w:top="850" w:right="1260" w:bottom="0" w:gutter="0" w:footer="0" w:header="0"/>
          <w:type w:val="continuous"/>
        </w:sectPr>
      </w:pPr>
    </w:p>
    <w:bookmarkStart w:id="98" w:name="page99"/>
    <w:bookmarkEnd w:id="98"/>
    <w:p>
      <w:pPr>
        <w:jc w:val="both"/>
        <w:spacing w:after="0" w:line="245" w:lineRule="auto"/>
        <w:rPr>
          <w:sz w:val="20"/>
          <w:szCs w:val="20"/>
          <w:color w:val="auto"/>
        </w:rPr>
      </w:pPr>
      <w:r>
        <w:rPr>
          <w:rFonts w:ascii="Arial" w:cs="Arial" w:eastAsia="Arial" w:hAnsi="Arial"/>
          <w:sz w:val="20"/>
          <w:szCs w:val="20"/>
          <w:color w:val="auto"/>
        </w:rPr>
        <w:t>Our management conducted an assessment of the effectiveness of our internal control over financial reporting as of December 31, 2024 based on the criteria established in “Internal Control – Integrated Framework (2013)” issued by the Committee of Sponsoring Organizations of the Treadway Commission.</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Based on this assessment, our management concluded that, as of December 31, 2024, our internal control over financial reporting was effective.</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Attestation Report of the Registered Public Accounting Firm</w:t>
      </w:r>
    </w:p>
    <w:p>
      <w:pPr>
        <w:spacing w:after="0" w:line="11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Our independent registered public accounting firm, Ernst &amp; Young LLP, has audited the effectiveness of the Company’s internal control over financial reporting as of December 31, 2024, as stated in their report that appears on page F-2 of this Annual Report.</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Internal Control over Financial Reporting</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There were no changes in our internal control over financial reporting (as defined in Rules 13a-15(f) and 15d-15(f) under the Exchange Act) identified in management’s evaluation pursuant to Rules 13a-15(d) or 15d-15(d) of the Exchange Act that occurred during the quarter ended December 31, 2024 that materially affected, or are reasonably likely to materially affect, our internal control over financial reporting.</w:t>
      </w:r>
    </w:p>
    <w:p>
      <w:pPr>
        <w:spacing w:after="0" w:line="196"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Rule 10b5-1 Trading Plans</w:t>
      </w:r>
    </w:p>
    <w:p>
      <w:pPr>
        <w:spacing w:after="0" w:line="11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From time to time, our officers (as defined in Rule 16a-1(f)) and directors may enter into Rule 10b5-1 trading plans or non-Rule 10b5-1 trading arrangements (as each such term is defined in Item 408 of Regulation S-K). During the three months ended December 31, 2024, our officers and directors took the following actions with respect to 10b5-1 trading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79375</wp:posOffset>
            </wp:positionV>
            <wp:extent cx="5935980" cy="24047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35980" cy="24047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20"/>
                <w:szCs w:val="20"/>
                <w:color w:val="auto"/>
                <w:w w:val="91"/>
              </w:rPr>
              <w:t>Aggregate Number</w:t>
            </w:r>
          </w:p>
        </w:tc>
        <w:tc>
          <w:tcPr>
            <w:tcW w:w="0" w:type="dxa"/>
            <w:vAlign w:val="bottom"/>
          </w:tcPr>
          <w:p>
            <w:pPr>
              <w:spacing w:after="0"/>
              <w:rPr>
                <w:sz w:val="1"/>
                <w:szCs w:val="1"/>
                <w:color w:val="auto"/>
              </w:rPr>
            </w:pPr>
          </w:p>
        </w:tc>
      </w:tr>
      <w:tr>
        <w:trPr>
          <w:trHeight w:val="200"/>
        </w:trPr>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Pr>
          <w:p>
            <w:pPr>
              <w:jc w:val="center"/>
              <w:spacing w:after="0" w:line="200" w:lineRule="exact"/>
              <w:rPr>
                <w:sz w:val="20"/>
                <w:szCs w:val="20"/>
                <w:color w:val="auto"/>
              </w:rPr>
            </w:pPr>
            <w:r>
              <w:rPr>
                <w:rFonts w:ascii="Arial" w:cs="Arial" w:eastAsia="Arial" w:hAnsi="Arial"/>
                <w:sz w:val="20"/>
                <w:szCs w:val="20"/>
                <w:color w:val="auto"/>
                <w:w w:val="93"/>
              </w:rPr>
              <w:t>of ADS to be Sold</w:t>
            </w:r>
          </w:p>
        </w:tc>
        <w:tc>
          <w:tcPr>
            <w:tcW w:w="0" w:type="dxa"/>
            <w:vAlign w:val="bottom"/>
          </w:tcPr>
          <w:p>
            <w:pPr>
              <w:spacing w:after="0"/>
              <w:rPr>
                <w:sz w:val="1"/>
                <w:szCs w:val="1"/>
                <w:color w:val="auto"/>
              </w:rPr>
            </w:pPr>
          </w:p>
        </w:tc>
      </w:tr>
      <w:tr>
        <w:trPr>
          <w:trHeight w:val="200"/>
        </w:trPr>
        <w:tc>
          <w:tcPr>
            <w:tcW w:w="1820" w:type="dxa"/>
            <w:vAlign w:val="bottom"/>
            <w:vMerge w:val="restart"/>
          </w:tcPr>
          <w:p>
            <w:pPr>
              <w:ind w:left="280"/>
              <w:spacing w:after="0"/>
              <w:rPr>
                <w:sz w:val="20"/>
                <w:szCs w:val="20"/>
                <w:color w:val="auto"/>
              </w:rPr>
            </w:pPr>
            <w:r>
              <w:rPr>
                <w:rFonts w:ascii="Arial" w:cs="Arial" w:eastAsia="Arial" w:hAnsi="Arial"/>
                <w:sz w:val="20"/>
                <w:szCs w:val="20"/>
                <w:color w:val="auto"/>
              </w:rPr>
              <w:t>Name and Title</w:t>
            </w:r>
          </w:p>
        </w:tc>
        <w:tc>
          <w:tcPr>
            <w:tcW w:w="60" w:type="dxa"/>
            <w:vAlign w:val="bottom"/>
          </w:tcPr>
          <w:p>
            <w:pPr>
              <w:spacing w:after="0"/>
              <w:rPr>
                <w:sz w:val="17"/>
                <w:szCs w:val="17"/>
                <w:color w:val="auto"/>
              </w:rPr>
            </w:pPr>
          </w:p>
        </w:tc>
        <w:tc>
          <w:tcPr>
            <w:tcW w:w="1820" w:type="dxa"/>
            <w:vAlign w:val="bottom"/>
            <w:vMerge w:val="restart"/>
          </w:tcPr>
          <w:p>
            <w:pPr>
              <w:ind w:left="640"/>
              <w:spacing w:after="0"/>
              <w:rPr>
                <w:sz w:val="20"/>
                <w:szCs w:val="20"/>
                <w:color w:val="auto"/>
              </w:rPr>
            </w:pPr>
            <w:r>
              <w:rPr>
                <w:rFonts w:ascii="Arial" w:cs="Arial" w:eastAsia="Arial" w:hAnsi="Arial"/>
                <w:sz w:val="20"/>
                <w:szCs w:val="20"/>
                <w:color w:val="auto"/>
              </w:rPr>
              <w:t>Action</w:t>
            </w:r>
          </w:p>
        </w:tc>
        <w:tc>
          <w:tcPr>
            <w:tcW w:w="60" w:type="dxa"/>
            <w:vAlign w:val="bottom"/>
          </w:tcPr>
          <w:p>
            <w:pPr>
              <w:spacing w:after="0"/>
              <w:rPr>
                <w:sz w:val="17"/>
                <w:szCs w:val="17"/>
                <w:color w:val="auto"/>
              </w:rPr>
            </w:pPr>
          </w:p>
        </w:tc>
        <w:tc>
          <w:tcPr>
            <w:tcW w:w="1800" w:type="dxa"/>
            <w:vAlign w:val="bottom"/>
            <w:vMerge w:val="restart"/>
          </w:tcPr>
          <w:p>
            <w:pPr>
              <w:jc w:val="right"/>
              <w:ind w:right="620"/>
              <w:spacing w:after="0"/>
              <w:rPr>
                <w:sz w:val="20"/>
                <w:szCs w:val="20"/>
                <w:color w:val="auto"/>
              </w:rPr>
            </w:pPr>
            <w:r>
              <w:rPr>
                <w:rFonts w:ascii="Arial" w:cs="Arial" w:eastAsia="Arial" w:hAnsi="Arial"/>
                <w:sz w:val="20"/>
                <w:szCs w:val="20"/>
                <w:color w:val="auto"/>
              </w:rPr>
              <w:t>Date</w:t>
            </w:r>
          </w:p>
        </w:tc>
        <w:tc>
          <w:tcPr>
            <w:tcW w:w="60" w:type="dxa"/>
            <w:vAlign w:val="bottom"/>
          </w:tcPr>
          <w:p>
            <w:pPr>
              <w:spacing w:after="0"/>
              <w:rPr>
                <w:sz w:val="17"/>
                <w:szCs w:val="17"/>
                <w:color w:val="auto"/>
              </w:rPr>
            </w:pPr>
          </w:p>
        </w:tc>
        <w:tc>
          <w:tcPr>
            <w:tcW w:w="1820" w:type="dxa"/>
            <w:vAlign w:val="bottom"/>
            <w:vMerge w:val="restart"/>
          </w:tcPr>
          <w:p>
            <w:pPr>
              <w:jc w:val="right"/>
              <w:ind w:right="440"/>
              <w:spacing w:after="0"/>
              <w:rPr>
                <w:sz w:val="20"/>
                <w:szCs w:val="20"/>
                <w:color w:val="auto"/>
              </w:rPr>
            </w:pPr>
            <w:r>
              <w:rPr>
                <w:rFonts w:ascii="Arial" w:cs="Arial" w:eastAsia="Arial" w:hAnsi="Arial"/>
                <w:sz w:val="20"/>
                <w:szCs w:val="20"/>
                <w:color w:val="auto"/>
              </w:rPr>
              <w:t>End Date</w:t>
            </w:r>
          </w:p>
        </w:tc>
        <w:tc>
          <w:tcPr>
            <w:tcW w:w="60" w:type="dxa"/>
            <w:vAlign w:val="bottom"/>
          </w:tcPr>
          <w:p>
            <w:pPr>
              <w:spacing w:after="0"/>
              <w:rPr>
                <w:sz w:val="17"/>
                <w:szCs w:val="17"/>
                <w:color w:val="auto"/>
              </w:rPr>
            </w:pPr>
          </w:p>
        </w:tc>
        <w:tc>
          <w:tcPr>
            <w:tcW w:w="1820" w:type="dxa"/>
            <w:vAlign w:val="bottom"/>
          </w:tcPr>
          <w:p>
            <w:pPr>
              <w:jc w:val="center"/>
              <w:spacing w:after="0" w:line="200" w:lineRule="exact"/>
              <w:rPr>
                <w:sz w:val="20"/>
                <w:szCs w:val="20"/>
                <w:color w:val="auto"/>
              </w:rPr>
            </w:pPr>
            <w:r>
              <w:rPr>
                <w:rFonts w:ascii="Arial" w:cs="Arial" w:eastAsia="Arial" w:hAnsi="Arial"/>
                <w:sz w:val="20"/>
                <w:szCs w:val="20"/>
                <w:color w:val="auto"/>
                <w:w w:val="89"/>
              </w:rPr>
              <w:t>Pursuant to Trading</w:t>
            </w:r>
          </w:p>
        </w:tc>
        <w:tc>
          <w:tcPr>
            <w:tcW w:w="0" w:type="dxa"/>
            <w:vAlign w:val="bottom"/>
          </w:tcPr>
          <w:p>
            <w:pPr>
              <w:spacing w:after="0"/>
              <w:rPr>
                <w:sz w:val="1"/>
                <w:szCs w:val="1"/>
                <w:color w:val="auto"/>
              </w:rPr>
            </w:pPr>
          </w:p>
        </w:tc>
      </w:tr>
      <w:tr>
        <w:trPr>
          <w:trHeight w:val="263"/>
        </w:trPr>
        <w:tc>
          <w:tcPr>
            <w:tcW w:w="18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Arrangement</w:t>
            </w:r>
          </w:p>
        </w:tc>
        <w:tc>
          <w:tcPr>
            <w:tcW w:w="0" w:type="dxa"/>
            <w:vAlign w:val="bottom"/>
          </w:tcPr>
          <w:p>
            <w:pPr>
              <w:spacing w:after="0"/>
              <w:rPr>
                <w:sz w:val="1"/>
                <w:szCs w:val="1"/>
                <w:color w:val="auto"/>
              </w:rPr>
            </w:pPr>
          </w:p>
        </w:tc>
      </w:tr>
      <w:tr>
        <w:trPr>
          <w:trHeight w:val="286"/>
        </w:trPr>
        <w:tc>
          <w:tcPr>
            <w:tcW w:w="1820" w:type="dxa"/>
            <w:vAlign w:val="bottom"/>
          </w:tcPr>
          <w:p>
            <w:pPr>
              <w:ind w:left="60"/>
              <w:spacing w:after="0"/>
              <w:rPr>
                <w:sz w:val="20"/>
                <w:szCs w:val="20"/>
                <w:color w:val="auto"/>
              </w:rPr>
            </w:pPr>
            <w:r>
              <w:rPr>
                <w:rFonts w:ascii="Arial" w:cs="Arial" w:eastAsia="Arial" w:hAnsi="Arial"/>
                <w:sz w:val="20"/>
                <w:szCs w:val="20"/>
                <w:color w:val="auto"/>
              </w:rPr>
              <w:t>Vikas Sinha, Non-</w:t>
            </w:r>
          </w:p>
        </w:tc>
        <w:tc>
          <w:tcPr>
            <w:tcW w:w="60" w:type="dxa"/>
            <w:vAlign w:val="bottom"/>
          </w:tcPr>
          <w:p>
            <w:pPr>
              <w:spacing w:after="0"/>
              <w:rPr>
                <w:sz w:val="24"/>
                <w:szCs w:val="24"/>
                <w:color w:val="auto"/>
              </w:rPr>
            </w:pPr>
          </w:p>
        </w:tc>
        <w:tc>
          <w:tcPr>
            <w:tcW w:w="1820" w:type="dxa"/>
            <w:vAlign w:val="bottom"/>
            <w:vMerge w:val="restart"/>
          </w:tcPr>
          <w:p>
            <w:pPr>
              <w:ind w:left="40"/>
              <w:spacing w:after="0"/>
              <w:rPr>
                <w:sz w:val="20"/>
                <w:szCs w:val="20"/>
                <w:color w:val="auto"/>
              </w:rPr>
            </w:pPr>
            <w:r>
              <w:rPr>
                <w:rFonts w:ascii="Arial" w:cs="Arial" w:eastAsia="Arial" w:hAnsi="Arial"/>
                <w:sz w:val="20"/>
                <w:szCs w:val="20"/>
                <w:color w:val="auto"/>
              </w:rPr>
              <w:t>Adopt</w:t>
            </w:r>
          </w:p>
        </w:tc>
        <w:tc>
          <w:tcPr>
            <w:tcW w:w="60" w:type="dxa"/>
            <w:vAlign w:val="bottom"/>
          </w:tcPr>
          <w:p>
            <w:pPr>
              <w:spacing w:after="0"/>
              <w:rPr>
                <w:sz w:val="24"/>
                <w:szCs w:val="24"/>
                <w:color w:val="auto"/>
              </w:rPr>
            </w:pPr>
          </w:p>
        </w:tc>
        <w:tc>
          <w:tcPr>
            <w:tcW w:w="1800" w:type="dxa"/>
            <w:vAlign w:val="bottom"/>
            <w:vMerge w:val="restart"/>
          </w:tcPr>
          <w:p>
            <w:pPr>
              <w:jc w:val="right"/>
              <w:spacing w:after="0"/>
              <w:rPr>
                <w:sz w:val="20"/>
                <w:szCs w:val="20"/>
                <w:color w:val="auto"/>
              </w:rPr>
            </w:pPr>
            <w:r>
              <w:rPr>
                <w:rFonts w:ascii="Arial" w:cs="Arial" w:eastAsia="Arial" w:hAnsi="Arial"/>
                <w:sz w:val="20"/>
                <w:szCs w:val="20"/>
                <w:color w:val="auto"/>
              </w:rPr>
              <w:t>November 6, 2024</w:t>
            </w:r>
          </w:p>
        </w:tc>
        <w:tc>
          <w:tcPr>
            <w:tcW w:w="60" w:type="dxa"/>
            <w:vAlign w:val="bottom"/>
          </w:tcPr>
          <w:p>
            <w:pPr>
              <w:spacing w:after="0"/>
              <w:rPr>
                <w:sz w:val="24"/>
                <w:szCs w:val="24"/>
                <w:color w:val="auto"/>
              </w:rPr>
            </w:pPr>
          </w:p>
        </w:tc>
        <w:tc>
          <w:tcPr>
            <w:tcW w:w="1820" w:type="dxa"/>
            <w:vAlign w:val="bottom"/>
            <w:vMerge w:val="restart"/>
          </w:tcPr>
          <w:p>
            <w:pPr>
              <w:jc w:val="right"/>
              <w:spacing w:after="0"/>
              <w:rPr>
                <w:sz w:val="20"/>
                <w:szCs w:val="20"/>
                <w:color w:val="auto"/>
              </w:rPr>
            </w:pPr>
            <w:r>
              <w:rPr>
                <w:rFonts w:ascii="Arial" w:cs="Arial" w:eastAsia="Arial" w:hAnsi="Arial"/>
                <w:sz w:val="20"/>
                <w:szCs w:val="20"/>
                <w:color w:val="auto"/>
                <w:w w:val="99"/>
              </w:rPr>
              <w:t>December 31, 2025</w:t>
            </w:r>
          </w:p>
        </w:tc>
        <w:tc>
          <w:tcPr>
            <w:tcW w:w="1880" w:type="dxa"/>
            <w:vAlign w:val="bottom"/>
            <w:gridSpan w:val="2"/>
            <w:vMerge w:val="restart"/>
          </w:tcPr>
          <w:p>
            <w:pPr>
              <w:jc w:val="right"/>
              <w:spacing w:after="0"/>
              <w:rPr>
                <w:sz w:val="20"/>
                <w:szCs w:val="20"/>
                <w:color w:val="auto"/>
              </w:rPr>
            </w:pPr>
            <w:r>
              <w:rPr>
                <w:rFonts w:ascii="Arial" w:cs="Arial" w:eastAsia="Arial" w:hAnsi="Arial"/>
                <w:sz w:val="20"/>
                <w:szCs w:val="20"/>
                <w:color w:val="auto"/>
              </w:rPr>
              <w:t>40,000</w:t>
            </w:r>
          </w:p>
        </w:tc>
        <w:tc>
          <w:tcPr>
            <w:tcW w:w="0" w:type="dxa"/>
            <w:vAlign w:val="bottom"/>
          </w:tcPr>
          <w:p>
            <w:pPr>
              <w:spacing w:after="0"/>
              <w:rPr>
                <w:sz w:val="1"/>
                <w:szCs w:val="1"/>
                <w:color w:val="auto"/>
              </w:rPr>
            </w:pPr>
          </w:p>
        </w:tc>
      </w:tr>
      <w:tr>
        <w:trPr>
          <w:trHeight w:val="160"/>
        </w:trPr>
        <w:tc>
          <w:tcPr>
            <w:tcW w:w="1820" w:type="dxa"/>
            <w:vAlign w:val="bottom"/>
            <w:vMerge w:val="restart"/>
          </w:tcPr>
          <w:p>
            <w:pPr>
              <w:ind w:left="60"/>
              <w:spacing w:after="0"/>
              <w:rPr>
                <w:sz w:val="20"/>
                <w:szCs w:val="20"/>
                <w:color w:val="auto"/>
              </w:rPr>
            </w:pPr>
            <w:r>
              <w:rPr>
                <w:rFonts w:ascii="Arial" w:cs="Arial" w:eastAsia="Arial" w:hAnsi="Arial"/>
                <w:sz w:val="20"/>
                <w:szCs w:val="20"/>
                <w:color w:val="auto"/>
              </w:rPr>
              <w:t>Executive Director</w:t>
            </w:r>
          </w:p>
        </w:tc>
        <w:tc>
          <w:tcPr>
            <w:tcW w:w="60" w:type="dxa"/>
            <w:vAlign w:val="bottom"/>
          </w:tcPr>
          <w:p>
            <w:pPr>
              <w:spacing w:after="0"/>
              <w:rPr>
                <w:sz w:val="13"/>
                <w:szCs w:val="13"/>
                <w:color w:val="auto"/>
              </w:rPr>
            </w:pPr>
          </w:p>
        </w:tc>
        <w:tc>
          <w:tcPr>
            <w:tcW w:w="1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8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1820" w:type="dxa"/>
            <w:vAlign w:val="bottom"/>
          </w:tcPr>
          <w:p>
            <w:pPr>
              <w:ind w:left="60"/>
              <w:spacing w:after="0"/>
              <w:rPr>
                <w:sz w:val="20"/>
                <w:szCs w:val="20"/>
                <w:color w:val="auto"/>
              </w:rPr>
            </w:pPr>
            <w:r>
              <w:rPr>
                <w:rFonts w:ascii="Arial" w:cs="Arial" w:eastAsia="Arial" w:hAnsi="Arial"/>
                <w:sz w:val="20"/>
                <w:szCs w:val="20"/>
                <w:color w:val="auto"/>
              </w:rPr>
              <w:t>Kathleen Rickard,</w:t>
            </w:r>
          </w:p>
        </w:tc>
        <w:tc>
          <w:tcPr>
            <w:tcW w:w="60" w:type="dxa"/>
            <w:vAlign w:val="bottom"/>
          </w:tcPr>
          <w:p>
            <w:pPr>
              <w:spacing w:after="0"/>
              <w:rPr>
                <w:sz w:val="24"/>
                <w:szCs w:val="24"/>
                <w:color w:val="auto"/>
              </w:rPr>
            </w:pPr>
          </w:p>
        </w:tc>
        <w:tc>
          <w:tcPr>
            <w:tcW w:w="1820" w:type="dxa"/>
            <w:vAlign w:val="bottom"/>
            <w:vMerge w:val="restart"/>
          </w:tcPr>
          <w:p>
            <w:pPr>
              <w:ind w:left="40"/>
              <w:spacing w:after="0"/>
              <w:rPr>
                <w:sz w:val="20"/>
                <w:szCs w:val="20"/>
                <w:color w:val="auto"/>
              </w:rPr>
            </w:pPr>
            <w:r>
              <w:rPr>
                <w:rFonts w:ascii="Arial" w:cs="Arial" w:eastAsia="Arial" w:hAnsi="Arial"/>
                <w:sz w:val="20"/>
                <w:szCs w:val="20"/>
                <w:color w:val="auto"/>
              </w:rPr>
              <w:t>Adopt</w:t>
            </w:r>
          </w:p>
        </w:tc>
        <w:tc>
          <w:tcPr>
            <w:tcW w:w="60" w:type="dxa"/>
            <w:vAlign w:val="bottom"/>
          </w:tcPr>
          <w:p>
            <w:pPr>
              <w:spacing w:after="0"/>
              <w:rPr>
                <w:sz w:val="24"/>
                <w:szCs w:val="24"/>
                <w:color w:val="auto"/>
              </w:rPr>
            </w:pPr>
          </w:p>
        </w:tc>
        <w:tc>
          <w:tcPr>
            <w:tcW w:w="1800" w:type="dxa"/>
            <w:vAlign w:val="bottom"/>
            <w:vMerge w:val="restart"/>
          </w:tcPr>
          <w:p>
            <w:pPr>
              <w:jc w:val="right"/>
              <w:spacing w:after="0"/>
              <w:rPr>
                <w:sz w:val="20"/>
                <w:szCs w:val="20"/>
                <w:color w:val="auto"/>
              </w:rPr>
            </w:pPr>
            <w:r>
              <w:rPr>
                <w:rFonts w:ascii="Arial" w:cs="Arial" w:eastAsia="Arial" w:hAnsi="Arial"/>
                <w:sz w:val="20"/>
                <w:szCs w:val="20"/>
                <w:color w:val="auto"/>
                <w:w w:val="99"/>
              </w:rPr>
              <w:t>December 11, 2024</w:t>
            </w:r>
          </w:p>
        </w:tc>
        <w:tc>
          <w:tcPr>
            <w:tcW w:w="60" w:type="dxa"/>
            <w:vAlign w:val="bottom"/>
          </w:tcPr>
          <w:p>
            <w:pPr>
              <w:spacing w:after="0"/>
              <w:rPr>
                <w:sz w:val="24"/>
                <w:szCs w:val="24"/>
                <w:color w:val="auto"/>
              </w:rPr>
            </w:pPr>
          </w:p>
        </w:tc>
        <w:tc>
          <w:tcPr>
            <w:tcW w:w="1820" w:type="dxa"/>
            <w:vAlign w:val="bottom"/>
            <w:vMerge w:val="restart"/>
          </w:tcPr>
          <w:p>
            <w:pPr>
              <w:jc w:val="right"/>
              <w:spacing w:after="0"/>
              <w:rPr>
                <w:sz w:val="20"/>
                <w:szCs w:val="20"/>
                <w:color w:val="auto"/>
              </w:rPr>
            </w:pPr>
            <w:r>
              <w:rPr>
                <w:rFonts w:ascii="Arial" w:cs="Arial" w:eastAsia="Arial" w:hAnsi="Arial"/>
                <w:sz w:val="20"/>
                <w:szCs w:val="20"/>
                <w:color w:val="auto"/>
                <w:w w:val="99"/>
              </w:rPr>
              <w:t>December 31, 2025</w:t>
            </w:r>
          </w:p>
        </w:tc>
        <w:tc>
          <w:tcPr>
            <w:tcW w:w="1880" w:type="dxa"/>
            <w:vAlign w:val="bottom"/>
            <w:gridSpan w:val="2"/>
            <w:vMerge w:val="restart"/>
          </w:tcPr>
          <w:p>
            <w:pPr>
              <w:jc w:val="right"/>
              <w:spacing w:after="0"/>
              <w:rPr>
                <w:sz w:val="20"/>
                <w:szCs w:val="20"/>
                <w:color w:val="auto"/>
              </w:rPr>
            </w:pPr>
            <w:r>
              <w:rPr>
                <w:rFonts w:ascii="Arial" w:cs="Arial" w:eastAsia="Arial" w:hAnsi="Arial"/>
                <w:sz w:val="20"/>
                <w:szCs w:val="20"/>
                <w:color w:val="auto"/>
              </w:rPr>
              <w:t>106,627</w:t>
            </w:r>
          </w:p>
        </w:tc>
        <w:tc>
          <w:tcPr>
            <w:tcW w:w="0" w:type="dxa"/>
            <w:vAlign w:val="bottom"/>
          </w:tcPr>
          <w:p>
            <w:pPr>
              <w:spacing w:after="0"/>
              <w:rPr>
                <w:sz w:val="1"/>
                <w:szCs w:val="1"/>
                <w:color w:val="auto"/>
              </w:rPr>
            </w:pPr>
          </w:p>
        </w:tc>
      </w:tr>
      <w:tr>
        <w:trPr>
          <w:trHeight w:val="200"/>
        </w:trPr>
        <w:tc>
          <w:tcPr>
            <w:tcW w:w="1820" w:type="dxa"/>
            <w:vAlign w:val="bottom"/>
          </w:tcPr>
          <w:p>
            <w:pPr>
              <w:ind w:left="60"/>
              <w:spacing w:after="0" w:line="200" w:lineRule="exact"/>
              <w:rPr>
                <w:sz w:val="20"/>
                <w:szCs w:val="20"/>
                <w:color w:val="auto"/>
              </w:rPr>
            </w:pPr>
            <w:r>
              <w:rPr>
                <w:rFonts w:ascii="Arial" w:cs="Arial" w:eastAsia="Arial" w:hAnsi="Arial"/>
                <w:sz w:val="20"/>
                <w:szCs w:val="20"/>
                <w:color w:val="auto"/>
              </w:rPr>
              <w:t>Chief Medical</w:t>
            </w:r>
          </w:p>
        </w:tc>
        <w:tc>
          <w:tcPr>
            <w:tcW w:w="6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820" w:type="dxa"/>
            <w:vAlign w:val="bottom"/>
          </w:tcPr>
          <w:p>
            <w:pPr>
              <w:ind w:left="60"/>
              <w:spacing w:after="0"/>
              <w:rPr>
                <w:sz w:val="20"/>
                <w:szCs w:val="20"/>
                <w:color w:val="auto"/>
              </w:rPr>
            </w:pPr>
            <w:r>
              <w:rPr>
                <w:rFonts w:ascii="Arial" w:cs="Arial" w:eastAsia="Arial" w:hAnsi="Arial"/>
                <w:sz w:val="20"/>
                <w:szCs w:val="20"/>
                <w:color w:val="auto"/>
              </w:rPr>
              <w:t>Officer</w:t>
            </w:r>
          </w:p>
        </w:tc>
        <w:tc>
          <w:tcPr>
            <w:tcW w:w="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820" w:type="dxa"/>
            <w:vAlign w:val="bottom"/>
          </w:tcPr>
          <w:p>
            <w:pPr>
              <w:ind w:left="60"/>
              <w:spacing w:after="0" w:line="207" w:lineRule="exact"/>
              <w:rPr>
                <w:sz w:val="20"/>
                <w:szCs w:val="20"/>
                <w:color w:val="auto"/>
              </w:rPr>
            </w:pPr>
            <w:r>
              <w:rPr>
                <w:rFonts w:ascii="Arial" w:cs="Arial" w:eastAsia="Arial" w:hAnsi="Arial"/>
                <w:sz w:val="20"/>
                <w:szCs w:val="20"/>
                <w:color w:val="auto"/>
              </w:rPr>
              <w:t>David Zaccardelli,</w:t>
            </w:r>
          </w:p>
        </w:tc>
        <w:tc>
          <w:tcPr>
            <w:tcW w:w="60" w:type="dxa"/>
            <w:vAlign w:val="bottom"/>
          </w:tcPr>
          <w:p>
            <w:pPr>
              <w:spacing w:after="0"/>
              <w:rPr>
                <w:sz w:val="17"/>
                <w:szCs w:val="17"/>
                <w:color w:val="auto"/>
              </w:rPr>
            </w:pPr>
          </w:p>
        </w:tc>
        <w:tc>
          <w:tcPr>
            <w:tcW w:w="1820" w:type="dxa"/>
            <w:vAlign w:val="bottom"/>
            <w:vMerge w:val="restart"/>
          </w:tcPr>
          <w:p>
            <w:pPr>
              <w:ind w:left="40"/>
              <w:spacing w:after="0"/>
              <w:rPr>
                <w:sz w:val="20"/>
                <w:szCs w:val="20"/>
                <w:color w:val="auto"/>
              </w:rPr>
            </w:pPr>
            <w:r>
              <w:rPr>
                <w:rFonts w:ascii="Arial" w:cs="Arial" w:eastAsia="Arial" w:hAnsi="Arial"/>
                <w:sz w:val="20"/>
                <w:szCs w:val="20"/>
                <w:color w:val="auto"/>
              </w:rPr>
              <w:t>Terminate</w:t>
            </w:r>
          </w:p>
        </w:tc>
        <w:tc>
          <w:tcPr>
            <w:tcW w:w="60" w:type="dxa"/>
            <w:vAlign w:val="bottom"/>
          </w:tcPr>
          <w:p>
            <w:pPr>
              <w:spacing w:after="0"/>
              <w:rPr>
                <w:sz w:val="17"/>
                <w:szCs w:val="17"/>
                <w:color w:val="auto"/>
              </w:rPr>
            </w:pPr>
          </w:p>
        </w:tc>
        <w:tc>
          <w:tcPr>
            <w:tcW w:w="1800" w:type="dxa"/>
            <w:vAlign w:val="bottom"/>
            <w:vMerge w:val="restart"/>
          </w:tcPr>
          <w:p>
            <w:pPr>
              <w:jc w:val="right"/>
              <w:spacing w:after="0"/>
              <w:rPr>
                <w:sz w:val="20"/>
                <w:szCs w:val="20"/>
                <w:color w:val="auto"/>
              </w:rPr>
            </w:pPr>
            <w:r>
              <w:rPr>
                <w:rFonts w:ascii="Arial" w:cs="Arial" w:eastAsia="Arial" w:hAnsi="Arial"/>
                <w:sz w:val="20"/>
                <w:szCs w:val="20"/>
                <w:color w:val="auto"/>
                <w:w w:val="99"/>
              </w:rPr>
              <w:t>December 23, 2024</w:t>
            </w:r>
          </w:p>
        </w:tc>
        <w:tc>
          <w:tcPr>
            <w:tcW w:w="60" w:type="dxa"/>
            <w:vAlign w:val="bottom"/>
          </w:tcPr>
          <w:p>
            <w:pPr>
              <w:spacing w:after="0"/>
              <w:rPr>
                <w:sz w:val="17"/>
                <w:szCs w:val="17"/>
                <w:color w:val="auto"/>
              </w:rPr>
            </w:pPr>
          </w:p>
        </w:tc>
        <w:tc>
          <w:tcPr>
            <w:tcW w:w="1820" w:type="dxa"/>
            <w:vAlign w:val="bottom"/>
            <w:vMerge w:val="restart"/>
          </w:tcPr>
          <w:p>
            <w:pPr>
              <w:jc w:val="right"/>
              <w:spacing w:after="0"/>
              <w:rPr>
                <w:sz w:val="20"/>
                <w:szCs w:val="20"/>
                <w:color w:val="auto"/>
              </w:rPr>
            </w:pPr>
            <w:r>
              <w:rPr>
                <w:rFonts w:ascii="Arial" w:cs="Arial" w:eastAsia="Arial" w:hAnsi="Arial"/>
                <w:sz w:val="20"/>
                <w:szCs w:val="20"/>
                <w:color w:val="auto"/>
              </w:rPr>
              <w:t>N/A</w:t>
            </w:r>
          </w:p>
        </w:tc>
        <w:tc>
          <w:tcPr>
            <w:tcW w:w="1880" w:type="dxa"/>
            <w:vAlign w:val="bottom"/>
            <w:gridSpan w:val="2"/>
            <w:vMerge w:val="restart"/>
          </w:tcPr>
          <w:p>
            <w:pPr>
              <w:jc w:val="right"/>
              <w:spacing w:after="0"/>
              <w:rPr>
                <w:sz w:val="20"/>
                <w:szCs w:val="20"/>
                <w:color w:val="auto"/>
              </w:rPr>
            </w:pPr>
            <w:r>
              <w:rPr>
                <w:rFonts w:ascii="Arial" w:cs="Arial" w:eastAsia="Arial" w:hAnsi="Arial"/>
                <w:sz w:val="20"/>
                <w:szCs w:val="20"/>
                <w:color w:val="auto"/>
              </w:rPr>
              <w:t>900,000</w:t>
            </w:r>
          </w:p>
        </w:tc>
        <w:tc>
          <w:tcPr>
            <w:tcW w:w="0" w:type="dxa"/>
            <w:vAlign w:val="bottom"/>
          </w:tcPr>
          <w:p>
            <w:pPr>
              <w:spacing w:after="0"/>
              <w:rPr>
                <w:sz w:val="1"/>
                <w:szCs w:val="1"/>
                <w:color w:val="auto"/>
              </w:rPr>
            </w:pPr>
          </w:p>
        </w:tc>
      </w:tr>
      <w:tr>
        <w:trPr>
          <w:trHeight w:val="200"/>
        </w:trPr>
        <w:tc>
          <w:tcPr>
            <w:tcW w:w="1820" w:type="dxa"/>
            <w:vAlign w:val="bottom"/>
          </w:tcPr>
          <w:p>
            <w:pPr>
              <w:ind w:left="60"/>
              <w:spacing w:after="0" w:line="200" w:lineRule="exact"/>
              <w:rPr>
                <w:sz w:val="20"/>
                <w:szCs w:val="20"/>
                <w:color w:val="auto"/>
              </w:rPr>
            </w:pPr>
            <w:r>
              <w:rPr>
                <w:rFonts w:ascii="Arial" w:cs="Arial" w:eastAsia="Arial" w:hAnsi="Arial"/>
                <w:sz w:val="20"/>
                <w:szCs w:val="20"/>
                <w:color w:val="auto"/>
                <w:w w:val="99"/>
              </w:rPr>
              <w:t>President and Chief</w:t>
            </w:r>
          </w:p>
        </w:tc>
        <w:tc>
          <w:tcPr>
            <w:tcW w:w="6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820" w:type="dxa"/>
            <w:vAlign w:val="bottom"/>
          </w:tcPr>
          <w:p>
            <w:pPr>
              <w:ind w:left="60"/>
              <w:spacing w:after="0"/>
              <w:rPr>
                <w:sz w:val="20"/>
                <w:szCs w:val="20"/>
                <w:color w:val="auto"/>
              </w:rPr>
            </w:pPr>
            <w:r>
              <w:rPr>
                <w:rFonts w:ascii="Arial" w:cs="Arial" w:eastAsia="Arial" w:hAnsi="Arial"/>
                <w:sz w:val="20"/>
                <w:szCs w:val="20"/>
                <w:color w:val="auto"/>
              </w:rPr>
              <w:t>Executive Officer</w:t>
            </w:r>
          </w:p>
        </w:tc>
        <w:tc>
          <w:tcPr>
            <w:tcW w:w="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820" w:type="dxa"/>
            <w:vAlign w:val="bottom"/>
          </w:tcPr>
          <w:p>
            <w:pPr>
              <w:ind w:left="60"/>
              <w:spacing w:after="0" w:line="209" w:lineRule="exact"/>
              <w:rPr>
                <w:sz w:val="20"/>
                <w:szCs w:val="20"/>
                <w:color w:val="auto"/>
              </w:rPr>
            </w:pPr>
            <w:r>
              <w:rPr>
                <w:rFonts w:ascii="Arial" w:cs="Arial" w:eastAsia="Arial" w:hAnsi="Arial"/>
                <w:sz w:val="20"/>
                <w:szCs w:val="20"/>
                <w:color w:val="auto"/>
              </w:rPr>
              <w:t>Mark Hahn, Chief</w:t>
            </w:r>
          </w:p>
        </w:tc>
        <w:tc>
          <w:tcPr>
            <w:tcW w:w="60" w:type="dxa"/>
            <w:vAlign w:val="bottom"/>
          </w:tcPr>
          <w:p>
            <w:pPr>
              <w:spacing w:after="0"/>
              <w:rPr>
                <w:sz w:val="18"/>
                <w:szCs w:val="18"/>
                <w:color w:val="auto"/>
              </w:rPr>
            </w:pPr>
          </w:p>
        </w:tc>
        <w:tc>
          <w:tcPr>
            <w:tcW w:w="1820" w:type="dxa"/>
            <w:vAlign w:val="bottom"/>
            <w:vMerge w:val="restart"/>
          </w:tcPr>
          <w:p>
            <w:pPr>
              <w:ind w:left="40"/>
              <w:spacing w:after="0"/>
              <w:rPr>
                <w:sz w:val="20"/>
                <w:szCs w:val="20"/>
                <w:color w:val="auto"/>
              </w:rPr>
            </w:pPr>
            <w:r>
              <w:rPr>
                <w:rFonts w:ascii="Arial" w:cs="Arial" w:eastAsia="Arial" w:hAnsi="Arial"/>
                <w:sz w:val="20"/>
                <w:szCs w:val="20"/>
                <w:color w:val="auto"/>
              </w:rPr>
              <w:t>Terminate</w:t>
            </w:r>
          </w:p>
        </w:tc>
        <w:tc>
          <w:tcPr>
            <w:tcW w:w="60" w:type="dxa"/>
            <w:vAlign w:val="bottom"/>
          </w:tcPr>
          <w:p>
            <w:pPr>
              <w:spacing w:after="0"/>
              <w:rPr>
                <w:sz w:val="18"/>
                <w:szCs w:val="18"/>
                <w:color w:val="auto"/>
              </w:rPr>
            </w:pPr>
          </w:p>
        </w:tc>
        <w:tc>
          <w:tcPr>
            <w:tcW w:w="1800" w:type="dxa"/>
            <w:vAlign w:val="bottom"/>
            <w:vMerge w:val="restart"/>
          </w:tcPr>
          <w:p>
            <w:pPr>
              <w:jc w:val="right"/>
              <w:spacing w:after="0"/>
              <w:rPr>
                <w:sz w:val="20"/>
                <w:szCs w:val="20"/>
                <w:color w:val="auto"/>
              </w:rPr>
            </w:pPr>
            <w:r>
              <w:rPr>
                <w:rFonts w:ascii="Arial" w:cs="Arial" w:eastAsia="Arial" w:hAnsi="Arial"/>
                <w:sz w:val="20"/>
                <w:szCs w:val="20"/>
                <w:color w:val="auto"/>
                <w:w w:val="99"/>
              </w:rPr>
              <w:t>December 23, 2024</w:t>
            </w:r>
          </w:p>
        </w:tc>
        <w:tc>
          <w:tcPr>
            <w:tcW w:w="60" w:type="dxa"/>
            <w:vAlign w:val="bottom"/>
          </w:tcPr>
          <w:p>
            <w:pPr>
              <w:spacing w:after="0"/>
              <w:rPr>
                <w:sz w:val="18"/>
                <w:szCs w:val="18"/>
                <w:color w:val="auto"/>
              </w:rPr>
            </w:pPr>
          </w:p>
        </w:tc>
        <w:tc>
          <w:tcPr>
            <w:tcW w:w="1820" w:type="dxa"/>
            <w:vAlign w:val="bottom"/>
            <w:vMerge w:val="restart"/>
          </w:tcPr>
          <w:p>
            <w:pPr>
              <w:jc w:val="right"/>
              <w:spacing w:after="0"/>
              <w:rPr>
                <w:sz w:val="20"/>
                <w:szCs w:val="20"/>
                <w:color w:val="auto"/>
              </w:rPr>
            </w:pPr>
            <w:r>
              <w:rPr>
                <w:rFonts w:ascii="Arial" w:cs="Arial" w:eastAsia="Arial" w:hAnsi="Arial"/>
                <w:sz w:val="20"/>
                <w:szCs w:val="20"/>
                <w:color w:val="auto"/>
              </w:rPr>
              <w:t>N/A</w:t>
            </w:r>
          </w:p>
        </w:tc>
        <w:tc>
          <w:tcPr>
            <w:tcW w:w="1880" w:type="dxa"/>
            <w:vAlign w:val="bottom"/>
            <w:gridSpan w:val="2"/>
            <w:vMerge w:val="restart"/>
          </w:tcPr>
          <w:p>
            <w:pPr>
              <w:jc w:val="right"/>
              <w:spacing w:after="0"/>
              <w:rPr>
                <w:sz w:val="20"/>
                <w:szCs w:val="20"/>
                <w:color w:val="auto"/>
              </w:rPr>
            </w:pPr>
            <w:r>
              <w:rPr>
                <w:rFonts w:ascii="Arial" w:cs="Arial" w:eastAsia="Arial" w:hAnsi="Arial"/>
                <w:sz w:val="20"/>
                <w:szCs w:val="20"/>
                <w:color w:val="auto"/>
              </w:rPr>
              <w:t>900,000</w:t>
            </w:r>
          </w:p>
        </w:tc>
        <w:tc>
          <w:tcPr>
            <w:tcW w:w="0" w:type="dxa"/>
            <w:vAlign w:val="bottom"/>
          </w:tcPr>
          <w:p>
            <w:pPr>
              <w:spacing w:after="0"/>
              <w:rPr>
                <w:sz w:val="1"/>
                <w:szCs w:val="1"/>
                <w:color w:val="auto"/>
              </w:rPr>
            </w:pPr>
          </w:p>
        </w:tc>
      </w:tr>
      <w:tr>
        <w:trPr>
          <w:trHeight w:val="160"/>
        </w:trPr>
        <w:tc>
          <w:tcPr>
            <w:tcW w:w="1820" w:type="dxa"/>
            <w:vAlign w:val="bottom"/>
            <w:vMerge w:val="restart"/>
          </w:tcPr>
          <w:p>
            <w:pPr>
              <w:ind w:left="60"/>
              <w:spacing w:after="0"/>
              <w:rPr>
                <w:sz w:val="20"/>
                <w:szCs w:val="20"/>
                <w:color w:val="auto"/>
              </w:rPr>
            </w:pPr>
            <w:r>
              <w:rPr>
                <w:rFonts w:ascii="Arial" w:cs="Arial" w:eastAsia="Arial" w:hAnsi="Arial"/>
                <w:sz w:val="20"/>
                <w:szCs w:val="20"/>
                <w:color w:val="auto"/>
              </w:rPr>
              <w:t>Financial Officer</w:t>
            </w:r>
          </w:p>
        </w:tc>
        <w:tc>
          <w:tcPr>
            <w:tcW w:w="60" w:type="dxa"/>
            <w:vAlign w:val="bottom"/>
          </w:tcPr>
          <w:p>
            <w:pPr>
              <w:spacing w:after="0"/>
              <w:rPr>
                <w:sz w:val="13"/>
                <w:szCs w:val="13"/>
                <w:color w:val="auto"/>
              </w:rPr>
            </w:pPr>
          </w:p>
        </w:tc>
        <w:tc>
          <w:tcPr>
            <w:tcW w:w="1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8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360"/>
          </w:cols>
          <w:pgMar w:left="1260" w:top="85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9360"/>
          </w:cols>
          <w:pgMar w:left="1260" w:top="858" w:right="1260" w:bottom="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24"/>
          <w:szCs w:val="24"/>
          <w:b w:val="1"/>
          <w:bCs w:val="1"/>
          <w:color w:val="auto"/>
        </w:rPr>
        <w:t>PART III</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Ethics</w:t>
      </w: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Our board of directors has adopted a written Code of Business Conduct and Ethics applicable to all officers, directors and employees, including our principal executive officer, principal financial officer, principal accounting officer or controller, or persons performing similar functions. We have posted a current copy of our Code of Business Conduct and Ethics on our website at www.veronapharma.com in the “Investors” section under “Corporate Governance.” We intend to satisfy the disclosure requirement under Item 5.05 of Form 8-K regarding amendments to, or waivers from, a provision of our Code of Business Conduct and Ethics, as well as Nasdaq’s requirement to disclose waivers with respect to directors and executive officers, by posting such information on our website at the address and location specified above. The information contained on our website is not incorporated by reference into this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Insider Trading Compliance Policy</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Additionally, our board of directors has adopted an Insider Trading Compliance Policy, which applies to all of our directors, officers, employees and other covered persons, governing the purchase, sale, and other dispositions of our securities. We believe our Insider Trading Compliance Policy and procedures are reasonably designed to promote compliance with insider trading laws, rules and regulations, and listing standards applicable to us. A copy of our Insider Trading Compliance Policy is filed as Exhibit 19.1 to this Annual Report.</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remaining information required by this item will be included in our definitive proxy statement for the 2025 Annual General Meeting of Shareholders and is incorporated herein by reference to such proxy statement.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will be included in our definitive proxy statement for the 2025 Annual General Meeting of Shareholders and is incorporated herein by reference to such proxy statement.</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will be included in our definitive proxy statement for the 2025 Annual General Meeting of Shareholders and is incorporated herein by reference to such proxy statement.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will be included in our definitive proxy statement for the 2025 Annual General Meeting of Shareholders and is incorporated herein by reference to such proxy statement.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will be included in our definitive proxy statement for the 2025 Annual General Meeting of Shareholders and is incorporated herein by reference to such proxy statement.</w:t>
      </w:r>
    </w:p>
    <w:p>
      <w:pPr>
        <w:sectPr>
          <w:pgSz w:w="11880" w:h="15480" w:orient="portrait"/>
          <w:cols w:equalWidth="0" w:num="1">
            <w:col w:w="9360"/>
          </w:cols>
          <w:pgMar w:left="1260" w:top="8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9360"/>
          </w:cols>
          <w:pgMar w:left="1260" w:top="836" w:right="1260" w:bottom="0" w:gutter="0" w:footer="0" w:header="0"/>
          <w:type w:val="continuous"/>
        </w:sectPr>
      </w:pPr>
    </w:p>
    <w:bookmarkStart w:id="100" w:name="page101"/>
    <w:bookmarkEnd w:id="100"/>
    <w:p>
      <w:pPr>
        <w:ind w:left="4200"/>
        <w:spacing w:after="0"/>
        <w:rPr>
          <w:sz w:val="20"/>
          <w:szCs w:val="20"/>
          <w:color w:val="auto"/>
        </w:rPr>
      </w:pPr>
      <w:r>
        <w:rPr>
          <w:rFonts w:ascii="Arial" w:cs="Arial" w:eastAsia="Arial" w:hAnsi="Arial"/>
          <w:sz w:val="24"/>
          <w:szCs w:val="24"/>
          <w:b w:val="1"/>
          <w:bCs w:val="1"/>
          <w:color w:val="auto"/>
        </w:rPr>
        <w:t>PART IV</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w:t>
      </w:r>
      <w:r>
        <w:rPr>
          <w:rFonts w:ascii="Arial" w:cs="Arial" w:eastAsia="Arial" w:hAnsi="Arial"/>
          <w:sz w:val="20"/>
          <w:szCs w:val="20"/>
          <w:color w:val="auto"/>
        </w:rPr>
        <w: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(a)(1) Financial Statements</w:t>
      </w:r>
    </w:p>
    <w:p>
      <w:pPr>
        <w:spacing w:after="0" w:line="11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following financial statements and the Report of Independent Registered Accounting Firm are filed as part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65405</wp:posOffset>
            </wp:positionV>
            <wp:extent cx="5964555" cy="1614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4555" cy="1614805"/>
                    </a:xfrm>
                    <a:prstGeom prst="rect">
                      <a:avLst/>
                    </a:prstGeom>
                    <a:noFill/>
                  </pic:spPr>
                </pic:pic>
              </a:graphicData>
            </a:graphic>
          </wp:anchor>
        </w:drawing>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850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 (PCAOB ID: 42)</w:t>
            </w:r>
          </w:p>
        </w:tc>
        <w:tc>
          <w:tcPr>
            <w:tcW w:w="740" w:type="dxa"/>
            <w:vAlign w:val="bottom"/>
          </w:tcPr>
          <w:p>
            <w:pPr>
              <w:jc w:val="right"/>
              <w:spacing w:after="0"/>
              <w:rPr>
                <w:sz w:val="20"/>
                <w:szCs w:val="20"/>
                <w:color w:val="auto"/>
              </w:rPr>
            </w:pPr>
            <w:r>
              <w:rPr>
                <w:rFonts w:ascii="Arial" w:cs="Arial" w:eastAsia="Arial" w:hAnsi="Arial"/>
                <w:sz w:val="20"/>
                <w:szCs w:val="20"/>
                <w:color w:val="auto"/>
              </w:rPr>
              <w:t>F-2</w:t>
            </w:r>
          </w:p>
        </w:tc>
        <w:tc>
          <w:tcPr>
            <w:tcW w:w="0" w:type="dxa"/>
            <w:vAlign w:val="bottom"/>
          </w:tcPr>
          <w:p>
            <w:pPr>
              <w:spacing w:after="0"/>
              <w:rPr>
                <w:sz w:val="1"/>
                <w:szCs w:val="1"/>
                <w:color w:val="auto"/>
              </w:rPr>
            </w:pPr>
          </w:p>
        </w:tc>
      </w:tr>
      <w:tr>
        <w:trPr>
          <w:trHeight w:val="315"/>
        </w:trPr>
        <w:tc>
          <w:tcPr>
            <w:tcW w:w="850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 (PCAOB ID: 876)</w:t>
            </w:r>
          </w:p>
        </w:tc>
        <w:tc>
          <w:tcPr>
            <w:tcW w:w="740" w:type="dxa"/>
            <w:vAlign w:val="bottom"/>
          </w:tcPr>
          <w:p>
            <w:pPr>
              <w:jc w:val="right"/>
              <w:spacing w:after="0"/>
              <w:rPr>
                <w:sz w:val="20"/>
                <w:szCs w:val="20"/>
                <w:color w:val="auto"/>
              </w:rPr>
            </w:pPr>
            <w:r>
              <w:rPr>
                <w:rFonts w:ascii="Arial" w:cs="Arial" w:eastAsia="Arial" w:hAnsi="Arial"/>
                <w:sz w:val="20"/>
                <w:szCs w:val="20"/>
                <w:color w:val="auto"/>
              </w:rPr>
              <w:t>F-6</w:t>
            </w:r>
          </w:p>
        </w:tc>
        <w:tc>
          <w:tcPr>
            <w:tcW w:w="0" w:type="dxa"/>
            <w:vAlign w:val="bottom"/>
          </w:tcPr>
          <w:p>
            <w:pPr>
              <w:spacing w:after="0"/>
              <w:rPr>
                <w:sz w:val="1"/>
                <w:szCs w:val="1"/>
                <w:color w:val="auto"/>
              </w:rPr>
            </w:pPr>
          </w:p>
        </w:tc>
      </w:tr>
      <w:tr>
        <w:trPr>
          <w:trHeight w:val="315"/>
        </w:trPr>
        <w:tc>
          <w:tcPr>
            <w:tcW w:w="8500" w:type="dxa"/>
            <w:vAlign w:val="bottom"/>
          </w:tcPr>
          <w:p>
            <w:pPr>
              <w:spacing w:after="0"/>
              <w:rPr>
                <w:sz w:val="20"/>
                <w:szCs w:val="20"/>
                <w:color w:val="auto"/>
              </w:rPr>
            </w:pPr>
            <w:r>
              <w:rPr>
                <w:rFonts w:ascii="Arial" w:cs="Arial" w:eastAsia="Arial" w:hAnsi="Arial"/>
                <w:sz w:val="20"/>
                <w:szCs w:val="20"/>
                <w:color w:val="auto"/>
              </w:rPr>
              <w:t>Consolidated Balance Sheets as of December 31, 2024 and 2023</w:t>
            </w:r>
          </w:p>
        </w:tc>
        <w:tc>
          <w:tcPr>
            <w:tcW w:w="740" w:type="dxa"/>
            <w:vAlign w:val="bottom"/>
          </w:tcPr>
          <w:p>
            <w:pPr>
              <w:jc w:val="right"/>
              <w:spacing w:after="0"/>
              <w:rPr>
                <w:sz w:val="20"/>
                <w:szCs w:val="20"/>
                <w:color w:val="auto"/>
              </w:rPr>
            </w:pPr>
            <w:r>
              <w:rPr>
                <w:rFonts w:ascii="Arial" w:cs="Arial" w:eastAsia="Arial" w:hAnsi="Arial"/>
                <w:sz w:val="20"/>
                <w:szCs w:val="20"/>
                <w:color w:val="auto"/>
              </w:rPr>
              <w:t>F-7</w:t>
            </w:r>
          </w:p>
        </w:tc>
        <w:tc>
          <w:tcPr>
            <w:tcW w:w="0" w:type="dxa"/>
            <w:vAlign w:val="bottom"/>
          </w:tcPr>
          <w:p>
            <w:pPr>
              <w:spacing w:after="0"/>
              <w:rPr>
                <w:sz w:val="1"/>
                <w:szCs w:val="1"/>
                <w:color w:val="auto"/>
              </w:rPr>
            </w:pPr>
          </w:p>
        </w:tc>
      </w:tr>
      <w:tr>
        <w:trPr>
          <w:trHeight w:val="205"/>
        </w:trPr>
        <w:tc>
          <w:tcPr>
            <w:tcW w:w="8500" w:type="dxa"/>
            <w:vAlign w:val="bottom"/>
          </w:tcPr>
          <w:p>
            <w:pPr>
              <w:spacing w:after="0" w:line="205" w:lineRule="exact"/>
              <w:rPr>
                <w:sz w:val="20"/>
                <w:szCs w:val="20"/>
                <w:color w:val="auto"/>
              </w:rPr>
            </w:pPr>
            <w:r>
              <w:rPr>
                <w:rFonts w:ascii="Arial" w:cs="Arial" w:eastAsia="Arial" w:hAnsi="Arial"/>
                <w:sz w:val="20"/>
                <w:szCs w:val="20"/>
                <w:color w:val="auto"/>
                <w:w w:val="95"/>
              </w:rPr>
              <w:t>Consolidated Statements of Operations and Comprehensive Loss for the years ended December 31,</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F-8</w:t>
            </w:r>
          </w:p>
        </w:tc>
        <w:tc>
          <w:tcPr>
            <w:tcW w:w="0" w:type="dxa"/>
            <w:vAlign w:val="bottom"/>
          </w:tcPr>
          <w:p>
            <w:pPr>
              <w:spacing w:after="0"/>
              <w:rPr>
                <w:sz w:val="1"/>
                <w:szCs w:val="1"/>
                <w:color w:val="auto"/>
              </w:rPr>
            </w:pPr>
          </w:p>
        </w:tc>
      </w:tr>
      <w:tr>
        <w:trPr>
          <w:trHeight w:val="260"/>
        </w:trPr>
        <w:tc>
          <w:tcPr>
            <w:tcW w:w="8500" w:type="dxa"/>
            <w:vAlign w:val="bottom"/>
          </w:tcPr>
          <w:p>
            <w:pPr>
              <w:spacing w:after="0"/>
              <w:rPr>
                <w:sz w:val="20"/>
                <w:szCs w:val="20"/>
                <w:color w:val="auto"/>
              </w:rPr>
            </w:pPr>
            <w:r>
              <w:rPr>
                <w:rFonts w:ascii="Arial" w:cs="Arial" w:eastAsia="Arial" w:hAnsi="Arial"/>
                <w:sz w:val="20"/>
                <w:szCs w:val="20"/>
                <w:color w:val="auto"/>
              </w:rPr>
              <w:t>2024, 2023 and 2022</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500" w:type="dxa"/>
            <w:vAlign w:val="bottom"/>
          </w:tcPr>
          <w:p>
            <w:pPr>
              <w:spacing w:after="0" w:line="205" w:lineRule="exact"/>
              <w:rPr>
                <w:sz w:val="20"/>
                <w:szCs w:val="20"/>
                <w:color w:val="auto"/>
              </w:rPr>
            </w:pPr>
            <w:r>
              <w:rPr>
                <w:rFonts w:ascii="Arial" w:cs="Arial" w:eastAsia="Arial" w:hAnsi="Arial"/>
                <w:sz w:val="20"/>
                <w:szCs w:val="20"/>
                <w:color w:val="auto"/>
                <w:w w:val="93"/>
              </w:rPr>
              <w:t>Consolidated Statements of Changes in Shareholders’ Equity for the years ended December 31, 2024,</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F-9</w:t>
            </w:r>
          </w:p>
        </w:tc>
        <w:tc>
          <w:tcPr>
            <w:tcW w:w="0" w:type="dxa"/>
            <w:vAlign w:val="bottom"/>
          </w:tcPr>
          <w:p>
            <w:pPr>
              <w:spacing w:after="0"/>
              <w:rPr>
                <w:sz w:val="1"/>
                <w:szCs w:val="1"/>
                <w:color w:val="auto"/>
              </w:rPr>
            </w:pPr>
          </w:p>
        </w:tc>
      </w:tr>
      <w:tr>
        <w:trPr>
          <w:trHeight w:val="260"/>
        </w:trPr>
        <w:tc>
          <w:tcPr>
            <w:tcW w:w="8500" w:type="dxa"/>
            <w:vAlign w:val="bottom"/>
          </w:tcPr>
          <w:p>
            <w:pPr>
              <w:spacing w:after="0"/>
              <w:rPr>
                <w:sz w:val="20"/>
                <w:szCs w:val="20"/>
                <w:color w:val="auto"/>
              </w:rPr>
            </w:pPr>
            <w:r>
              <w:rPr>
                <w:rFonts w:ascii="Arial" w:cs="Arial" w:eastAsia="Arial" w:hAnsi="Arial"/>
                <w:sz w:val="20"/>
                <w:szCs w:val="20"/>
                <w:color w:val="auto"/>
              </w:rPr>
              <w:t>2023 and 2022</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8500" w:type="dxa"/>
            <w:vAlign w:val="bottom"/>
          </w:tcPr>
          <w:p>
            <w:pPr>
              <w:spacing w:after="0"/>
              <w:rPr>
                <w:sz w:val="20"/>
                <w:szCs w:val="20"/>
                <w:color w:val="auto"/>
              </w:rPr>
            </w:pPr>
            <w:r>
              <w:rPr>
                <w:rFonts w:ascii="Arial" w:cs="Arial" w:eastAsia="Arial" w:hAnsi="Arial"/>
                <w:sz w:val="20"/>
                <w:szCs w:val="20"/>
                <w:color w:val="auto"/>
                <w:w w:val="98"/>
              </w:rPr>
              <w:t>Consolidated Statements of Cash Flows for the years ended December 31, 2024, 2023 and 2022</w:t>
            </w:r>
          </w:p>
        </w:tc>
        <w:tc>
          <w:tcPr>
            <w:tcW w:w="740" w:type="dxa"/>
            <w:vAlign w:val="bottom"/>
          </w:tcPr>
          <w:p>
            <w:pPr>
              <w:jc w:val="right"/>
              <w:spacing w:after="0"/>
              <w:rPr>
                <w:sz w:val="20"/>
                <w:szCs w:val="20"/>
                <w:color w:val="auto"/>
              </w:rPr>
            </w:pPr>
            <w:r>
              <w:rPr>
                <w:rFonts w:ascii="Arial" w:cs="Arial" w:eastAsia="Arial" w:hAnsi="Arial"/>
                <w:sz w:val="20"/>
                <w:szCs w:val="20"/>
                <w:color w:val="auto"/>
              </w:rPr>
              <w:t>F-11</w:t>
            </w:r>
          </w:p>
        </w:tc>
        <w:tc>
          <w:tcPr>
            <w:tcW w:w="0" w:type="dxa"/>
            <w:vAlign w:val="bottom"/>
          </w:tcPr>
          <w:p>
            <w:pPr>
              <w:spacing w:after="0"/>
              <w:rPr>
                <w:sz w:val="1"/>
                <w:szCs w:val="1"/>
                <w:color w:val="auto"/>
              </w:rPr>
            </w:pPr>
          </w:p>
        </w:tc>
      </w:tr>
      <w:tr>
        <w:trPr>
          <w:trHeight w:val="315"/>
        </w:trPr>
        <w:tc>
          <w:tcPr>
            <w:tcW w:w="8500" w:type="dxa"/>
            <w:vAlign w:val="bottom"/>
          </w:tcPr>
          <w:p>
            <w:pPr>
              <w:spacing w:after="0"/>
              <w:rPr>
                <w:sz w:val="20"/>
                <w:szCs w:val="20"/>
                <w:color w:val="auto"/>
              </w:rPr>
            </w:pPr>
            <w:r>
              <w:rPr>
                <w:rFonts w:ascii="Arial" w:cs="Arial" w:eastAsia="Arial" w:hAnsi="Arial"/>
                <w:sz w:val="20"/>
                <w:szCs w:val="20"/>
                <w:color w:val="auto"/>
              </w:rPr>
              <w:t>Notes to Consolidated Financial Statements</w:t>
            </w:r>
          </w:p>
        </w:tc>
        <w:tc>
          <w:tcPr>
            <w:tcW w:w="740" w:type="dxa"/>
            <w:vAlign w:val="bottom"/>
          </w:tcPr>
          <w:p>
            <w:pPr>
              <w:jc w:val="right"/>
              <w:spacing w:after="0"/>
              <w:rPr>
                <w:sz w:val="20"/>
                <w:szCs w:val="20"/>
                <w:color w:val="auto"/>
              </w:rPr>
            </w:pPr>
            <w:r>
              <w:rPr>
                <w:rFonts w:ascii="Arial" w:cs="Arial" w:eastAsia="Arial" w:hAnsi="Arial"/>
                <w:sz w:val="20"/>
                <w:szCs w:val="20"/>
                <w:color w:val="auto"/>
              </w:rPr>
              <w:t>F-12</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(a)(2) Financial Statement Schedules.</w:t>
      </w:r>
    </w:p>
    <w:p>
      <w:pPr>
        <w:spacing w:after="0" w:line="11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All financial statement schedules have been omitted because they are not applicable, not required or the information required is shown in the financial statements or the notes thereto.</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(a)(3) Exhibits.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list of exhibits filed as part of this Annual Report.</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263"/>
        </w:trPr>
        <w:tc>
          <w:tcPr>
            <w:tcW w:w="78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0"/>
                <w:szCs w:val="20"/>
                <w:color w:val="auto"/>
                <w:w w:val="95"/>
              </w:rPr>
              <w:t>Incorporated by Reference to Filings Indicated</w:t>
            </w:r>
          </w:p>
        </w:tc>
        <w:tc>
          <w:tcPr>
            <w:tcW w:w="0" w:type="dxa"/>
            <w:vAlign w:val="bottom"/>
          </w:tcPr>
          <w:p>
            <w:pPr>
              <w:spacing w:after="0"/>
              <w:rPr>
                <w:sz w:val="1"/>
                <w:szCs w:val="1"/>
                <w:color w:val="auto"/>
              </w:rPr>
            </w:pPr>
          </w:p>
        </w:tc>
      </w:tr>
      <w:tr>
        <w:trPr>
          <w:trHeight w:val="477"/>
        </w:trPr>
        <w:tc>
          <w:tcPr>
            <w:tcW w:w="780" w:type="dxa"/>
            <w:vAlign w:val="bottom"/>
            <w:vMerge w:val="restart"/>
          </w:tcPr>
          <w:p>
            <w:pPr>
              <w:spacing w:after="0"/>
              <w:rPr>
                <w:sz w:val="20"/>
                <w:szCs w:val="20"/>
                <w:color w:val="auto"/>
              </w:rPr>
            </w:pPr>
            <w:r>
              <w:rPr>
                <w:rFonts w:ascii="Arial" w:cs="Arial" w:eastAsia="Arial" w:hAnsi="Arial"/>
                <w:sz w:val="20"/>
                <w:szCs w:val="20"/>
                <w:color w:val="auto"/>
              </w:rPr>
              <w:t>Exhibit</w:t>
            </w:r>
          </w:p>
        </w:tc>
        <w:tc>
          <w:tcPr>
            <w:tcW w:w="3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Filed /</w:t>
            </w:r>
          </w:p>
        </w:tc>
        <w:tc>
          <w:tcPr>
            <w:tcW w:w="0" w:type="dxa"/>
            <w:vAlign w:val="bottom"/>
          </w:tcPr>
          <w:p>
            <w:pPr>
              <w:spacing w:after="0"/>
              <w:rPr>
                <w:sz w:val="1"/>
                <w:szCs w:val="1"/>
                <w:color w:val="auto"/>
              </w:rPr>
            </w:pPr>
          </w:p>
        </w:tc>
      </w:tr>
      <w:tr>
        <w:trPr>
          <w:trHeight w:val="200"/>
        </w:trPr>
        <w:tc>
          <w:tcPr>
            <w:tcW w:w="780" w:type="dxa"/>
            <w:vAlign w:val="bottom"/>
            <w:vMerge w:val="continue"/>
          </w:tcPr>
          <w:p>
            <w:pPr>
              <w:spacing w:after="0"/>
              <w:rPr>
                <w:sz w:val="17"/>
                <w:szCs w:val="17"/>
                <w:color w:val="auto"/>
              </w:rPr>
            </w:pPr>
          </w:p>
        </w:tc>
        <w:tc>
          <w:tcPr>
            <w:tcW w:w="3860" w:type="dxa"/>
            <w:vAlign w:val="bottom"/>
            <w:vMerge w:val="restart"/>
          </w:tcPr>
          <w:p>
            <w:pPr>
              <w:ind w:left="140"/>
              <w:spacing w:after="0"/>
              <w:rPr>
                <w:sz w:val="20"/>
                <w:szCs w:val="20"/>
                <w:color w:val="auto"/>
              </w:rPr>
            </w:pPr>
            <w:r>
              <w:rPr>
                <w:rFonts w:ascii="Arial" w:cs="Arial" w:eastAsia="Arial" w:hAnsi="Arial"/>
                <w:sz w:val="20"/>
                <w:szCs w:val="20"/>
                <w:color w:val="auto"/>
              </w:rPr>
              <w:t>Exhibit Description</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Form</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File No.</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Exhibit No.</w:t>
            </w:r>
          </w:p>
        </w:tc>
        <w:tc>
          <w:tcPr>
            <w:tcW w:w="1960" w:type="dxa"/>
            <w:vAlign w:val="bottom"/>
          </w:tcPr>
          <w:p>
            <w:pPr>
              <w:jc w:val="right"/>
              <w:spacing w:after="0" w:line="200" w:lineRule="exact"/>
              <w:rPr>
                <w:sz w:val="20"/>
                <w:szCs w:val="20"/>
                <w:color w:val="auto"/>
              </w:rPr>
            </w:pPr>
            <w:r>
              <w:rPr>
                <w:rFonts w:ascii="Arial" w:cs="Arial" w:eastAsia="Arial" w:hAnsi="Arial"/>
                <w:sz w:val="20"/>
                <w:szCs w:val="20"/>
                <w:color w:val="auto"/>
              </w:rPr>
              <w:t>Furnished</w:t>
            </w:r>
          </w:p>
        </w:tc>
        <w:tc>
          <w:tcPr>
            <w:tcW w:w="0" w:type="dxa"/>
            <w:vAlign w:val="bottom"/>
          </w:tcPr>
          <w:p>
            <w:pPr>
              <w:spacing w:after="0"/>
              <w:rPr>
                <w:sz w:val="1"/>
                <w:szCs w:val="1"/>
                <w:color w:val="auto"/>
              </w:rPr>
            </w:pPr>
          </w:p>
        </w:tc>
      </w:tr>
      <w:tr>
        <w:trPr>
          <w:trHeight w:val="256"/>
        </w:trPr>
        <w:tc>
          <w:tcPr>
            <w:tcW w:w="780" w:type="dxa"/>
            <w:vAlign w:val="bottom"/>
          </w:tcPr>
          <w:p>
            <w:pPr>
              <w:spacing w:after="0"/>
              <w:rPr>
                <w:sz w:val="20"/>
                <w:szCs w:val="20"/>
                <w:color w:val="auto"/>
              </w:rPr>
            </w:pPr>
            <w:r>
              <w:rPr>
                <w:rFonts w:ascii="Arial" w:cs="Arial" w:eastAsia="Arial" w:hAnsi="Arial"/>
                <w:sz w:val="20"/>
                <w:szCs w:val="20"/>
                <w:color w:val="auto"/>
              </w:rPr>
              <w:t>Number</w:t>
            </w:r>
          </w:p>
        </w:tc>
        <w:tc>
          <w:tcPr>
            <w:tcW w:w="386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Filing date  Herewith</w:t>
            </w:r>
          </w:p>
        </w:tc>
        <w:tc>
          <w:tcPr>
            <w:tcW w:w="0" w:type="dxa"/>
            <w:vAlign w:val="bottom"/>
          </w:tcPr>
          <w:p>
            <w:pPr>
              <w:spacing w:after="0"/>
              <w:rPr>
                <w:sz w:val="1"/>
                <w:szCs w:val="1"/>
                <w:color w:val="auto"/>
              </w:rPr>
            </w:pPr>
          </w:p>
        </w:tc>
      </w:tr>
      <w:tr>
        <w:trPr>
          <w:trHeight w:val="219"/>
        </w:trPr>
        <w:tc>
          <w:tcPr>
            <w:tcW w:w="780" w:type="dxa"/>
            <w:vAlign w:val="bottom"/>
          </w:tcPr>
          <w:p>
            <w:pPr>
              <w:spacing w:after="0"/>
              <w:rPr>
                <w:sz w:val="19"/>
                <w:szCs w:val="19"/>
                <w:color w:val="auto"/>
              </w:rPr>
            </w:pPr>
          </w:p>
        </w:tc>
        <w:tc>
          <w:tcPr>
            <w:tcW w:w="3860" w:type="dxa"/>
            <w:vAlign w:val="bottom"/>
          </w:tcPr>
          <w:p>
            <w:pPr>
              <w:ind w:left="140"/>
              <w:spacing w:after="0" w:line="218" w:lineRule="exact"/>
              <w:rPr>
                <w:sz w:val="20"/>
                <w:szCs w:val="20"/>
                <w:color w:val="auto"/>
              </w:rPr>
            </w:pPr>
            <w:r>
              <w:rPr>
                <w:rFonts w:ascii="Arial" w:cs="Arial" w:eastAsia="Arial" w:hAnsi="Arial"/>
                <w:sz w:val="20"/>
                <w:szCs w:val="20"/>
                <w:color w:val="auto"/>
                <w:w w:val="92"/>
              </w:rPr>
              <w:t>Open Market Sale Agreement</w:t>
            </w:r>
            <w:r>
              <w:rPr>
                <w:rFonts w:ascii="Arial" w:cs="Arial" w:eastAsia="Arial" w:hAnsi="Arial"/>
                <w:sz w:val="25"/>
                <w:szCs w:val="25"/>
                <w:color w:val="auto"/>
                <w:w w:val="92"/>
                <w:vertAlign w:val="superscript"/>
              </w:rPr>
              <w:t>SM</w:t>
            </w:r>
            <w:r>
              <w:rPr>
                <w:rFonts w:ascii="Arial" w:cs="Arial" w:eastAsia="Arial" w:hAnsi="Arial"/>
                <w:sz w:val="20"/>
                <w:szCs w:val="20"/>
                <w:color w:val="auto"/>
                <w:w w:val="92"/>
              </w:rPr>
              <w:t>, dated as of</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S-3AS</w:t>
            </w:r>
          </w:p>
        </w:tc>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80" w:type="dxa"/>
            <w:vAlign w:val="bottom"/>
            <w:vMerge w:val="restart"/>
          </w:tcPr>
          <w:p>
            <w:pPr>
              <w:spacing w:after="0"/>
              <w:rPr>
                <w:sz w:val="20"/>
                <w:szCs w:val="20"/>
                <w:color w:val="auto"/>
              </w:rPr>
            </w:pPr>
            <w:r>
              <w:rPr>
                <w:rFonts w:ascii="Arial" w:cs="Arial" w:eastAsia="Arial" w:hAnsi="Arial"/>
                <w:sz w:val="20"/>
                <w:szCs w:val="20"/>
                <w:color w:val="auto"/>
              </w:rPr>
              <w:t>1.1</w:t>
            </w:r>
          </w:p>
        </w:tc>
        <w:tc>
          <w:tcPr>
            <w:tcW w:w="3860" w:type="dxa"/>
            <w:vAlign w:val="bottom"/>
          </w:tcPr>
          <w:p>
            <w:pPr>
              <w:ind w:left="140"/>
              <w:spacing w:after="0" w:line="200" w:lineRule="exact"/>
              <w:rPr>
                <w:sz w:val="20"/>
                <w:szCs w:val="20"/>
                <w:color w:val="auto"/>
              </w:rPr>
            </w:pPr>
            <w:r>
              <w:rPr>
                <w:rFonts w:ascii="Arial" w:cs="Arial" w:eastAsia="Arial" w:hAnsi="Arial"/>
                <w:sz w:val="20"/>
                <w:szCs w:val="20"/>
                <w:color w:val="auto"/>
                <w:w w:val="91"/>
              </w:rPr>
              <w:t>March 19, 2021, between Verona Pharma plc</w:t>
            </w:r>
          </w:p>
        </w:tc>
        <w:tc>
          <w:tcPr>
            <w:tcW w:w="680" w:type="dxa"/>
            <w:vAlign w:val="bottom"/>
            <w:vMerge w:val="continue"/>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w w:val="95"/>
              </w:rPr>
              <w:t>333-270339</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1.2</w:t>
            </w:r>
          </w:p>
        </w:tc>
        <w:tc>
          <w:tcPr>
            <w:tcW w:w="1960" w:type="dxa"/>
            <w:vAlign w:val="bottom"/>
            <w:vMerge w:val="restart"/>
          </w:tcPr>
          <w:p>
            <w:pPr>
              <w:jc w:val="right"/>
              <w:ind w:right="900"/>
              <w:spacing w:after="0"/>
              <w:rPr>
                <w:sz w:val="20"/>
                <w:szCs w:val="20"/>
                <w:color w:val="auto"/>
              </w:rPr>
            </w:pPr>
            <w:r>
              <w:rPr>
                <w:rFonts w:ascii="Arial" w:cs="Arial" w:eastAsia="Arial" w:hAnsi="Arial"/>
                <w:sz w:val="20"/>
                <w:szCs w:val="20"/>
                <w:color w:val="auto"/>
              </w:rPr>
              <w:t>3/7/2023</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860" w:type="dxa"/>
            <w:vAlign w:val="bottom"/>
          </w:tcPr>
          <w:p>
            <w:pPr>
              <w:ind w:left="140"/>
              <w:spacing w:after="0"/>
              <w:rPr>
                <w:sz w:val="20"/>
                <w:szCs w:val="20"/>
                <w:color w:val="auto"/>
              </w:rPr>
            </w:pPr>
            <w:r>
              <w:rPr>
                <w:rFonts w:ascii="Arial" w:cs="Arial" w:eastAsia="Arial" w:hAnsi="Arial"/>
                <w:sz w:val="20"/>
                <w:szCs w:val="20"/>
                <w:color w:val="auto"/>
              </w:rPr>
              <w:t>and Jefferies LLC, and as amended</w:t>
            </w:r>
          </w:p>
        </w:tc>
        <w:tc>
          <w:tcPr>
            <w:tcW w:w="680" w:type="dxa"/>
            <w:vAlign w:val="bottom"/>
          </w:tcPr>
          <w:p>
            <w:pPr>
              <w:jc w:val="right"/>
              <w:spacing w:after="0"/>
              <w:rPr>
                <w:sz w:val="20"/>
                <w:szCs w:val="20"/>
                <w:color w:val="auto"/>
              </w:rPr>
            </w:pPr>
            <w:r>
              <w:rPr>
                <w:rFonts w:ascii="Arial" w:cs="Arial" w:eastAsia="Arial" w:hAnsi="Arial"/>
                <w:sz w:val="20"/>
                <w:szCs w:val="20"/>
                <w:color w:val="auto"/>
              </w:rPr>
              <w:t>R</w:t>
            </w:r>
          </w:p>
        </w:tc>
        <w:tc>
          <w:tcPr>
            <w:tcW w:w="112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80" w:type="dxa"/>
            <w:vAlign w:val="bottom"/>
            <w:vMerge w:val="restart"/>
          </w:tcPr>
          <w:p>
            <w:pPr>
              <w:spacing w:after="0"/>
              <w:rPr>
                <w:sz w:val="20"/>
                <w:szCs w:val="20"/>
                <w:color w:val="auto"/>
              </w:rPr>
            </w:pPr>
            <w:r>
              <w:rPr>
                <w:rFonts w:ascii="Arial" w:cs="Arial" w:eastAsia="Arial" w:hAnsi="Arial"/>
                <w:sz w:val="20"/>
                <w:szCs w:val="20"/>
                <w:color w:val="auto"/>
              </w:rPr>
              <w:t>3.1</w:t>
            </w:r>
          </w:p>
        </w:tc>
        <w:tc>
          <w:tcPr>
            <w:tcW w:w="3860" w:type="dxa"/>
            <w:vAlign w:val="bottom"/>
          </w:tcPr>
          <w:p>
            <w:pPr>
              <w:ind w:left="140"/>
              <w:spacing w:after="0" w:line="205" w:lineRule="exact"/>
              <w:rPr>
                <w:sz w:val="20"/>
                <w:szCs w:val="20"/>
                <w:color w:val="auto"/>
              </w:rPr>
            </w:pPr>
            <w:r>
              <w:rPr>
                <w:rFonts w:ascii="Arial" w:cs="Arial" w:eastAsia="Arial" w:hAnsi="Arial"/>
                <w:sz w:val="20"/>
                <w:szCs w:val="20"/>
                <w:color w:val="auto"/>
                <w:w w:val="96"/>
              </w:rPr>
              <w:t>Articles of Association, as amended and as</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6-K</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001-38067</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1960" w:type="dxa"/>
            <w:vAlign w:val="bottom"/>
            <w:vMerge w:val="restart"/>
          </w:tcPr>
          <w:p>
            <w:pPr>
              <w:jc w:val="right"/>
              <w:ind w:right="900"/>
              <w:spacing w:after="0"/>
              <w:rPr>
                <w:sz w:val="20"/>
                <w:szCs w:val="20"/>
                <w:color w:val="auto"/>
              </w:rPr>
            </w:pPr>
            <w:r>
              <w:rPr>
                <w:rFonts w:ascii="Arial" w:cs="Arial" w:eastAsia="Arial" w:hAnsi="Arial"/>
                <w:sz w:val="20"/>
                <w:szCs w:val="20"/>
                <w:color w:val="auto"/>
                <w:w w:val="93"/>
              </w:rPr>
              <w:t>12/30/2020</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860" w:type="dxa"/>
            <w:vAlign w:val="bottom"/>
          </w:tcPr>
          <w:p>
            <w:pPr>
              <w:ind w:left="140"/>
              <w:spacing w:after="0"/>
              <w:rPr>
                <w:sz w:val="20"/>
                <w:szCs w:val="20"/>
                <w:color w:val="auto"/>
              </w:rPr>
            </w:pPr>
            <w:r>
              <w:rPr>
                <w:rFonts w:ascii="Arial" w:cs="Arial" w:eastAsia="Arial" w:hAnsi="Arial"/>
                <w:sz w:val="20"/>
                <w:szCs w:val="20"/>
                <w:color w:val="auto"/>
              </w:rPr>
              <w:t>currently in effect</w:t>
            </w: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80" w:type="dxa"/>
            <w:vAlign w:val="bottom"/>
          </w:tcPr>
          <w:p>
            <w:pPr>
              <w:spacing w:after="0"/>
              <w:rPr>
                <w:sz w:val="20"/>
                <w:szCs w:val="20"/>
                <w:color w:val="auto"/>
              </w:rPr>
            </w:pPr>
            <w:r>
              <w:rPr>
                <w:rFonts w:ascii="Arial" w:cs="Arial" w:eastAsia="Arial" w:hAnsi="Arial"/>
                <w:sz w:val="20"/>
                <w:szCs w:val="20"/>
                <w:color w:val="auto"/>
              </w:rPr>
              <w:t>4.1</w:t>
            </w:r>
          </w:p>
        </w:tc>
        <w:tc>
          <w:tcPr>
            <w:tcW w:w="3860" w:type="dxa"/>
            <w:vAlign w:val="bottom"/>
          </w:tcPr>
          <w:p>
            <w:pPr>
              <w:ind w:left="140"/>
              <w:spacing w:after="0"/>
              <w:rPr>
                <w:sz w:val="20"/>
                <w:szCs w:val="20"/>
                <w:color w:val="auto"/>
              </w:rPr>
            </w:pPr>
            <w:r>
              <w:rPr>
                <w:rFonts w:ascii="Arial" w:cs="Arial" w:eastAsia="Arial" w:hAnsi="Arial"/>
                <w:sz w:val="20"/>
                <w:szCs w:val="20"/>
                <w:color w:val="auto"/>
              </w:rPr>
              <w:t>Deposit Agreement</w:t>
            </w:r>
          </w:p>
        </w:tc>
        <w:tc>
          <w:tcPr>
            <w:tcW w:w="680" w:type="dxa"/>
            <w:vAlign w:val="bottom"/>
          </w:tcPr>
          <w:p>
            <w:pPr>
              <w:jc w:val="right"/>
              <w:spacing w:after="0"/>
              <w:rPr>
                <w:sz w:val="20"/>
                <w:szCs w:val="20"/>
                <w:color w:val="auto"/>
              </w:rPr>
            </w:pPr>
            <w:r>
              <w:rPr>
                <w:rFonts w:ascii="Arial" w:cs="Arial" w:eastAsia="Arial" w:hAnsi="Arial"/>
                <w:sz w:val="20"/>
                <w:szCs w:val="20"/>
                <w:color w:val="auto"/>
              </w:rPr>
              <w:t>20-F</w:t>
            </w:r>
          </w:p>
        </w:tc>
        <w:tc>
          <w:tcPr>
            <w:tcW w:w="1120" w:type="dxa"/>
            <w:vAlign w:val="bottom"/>
          </w:tcPr>
          <w:p>
            <w:pPr>
              <w:jc w:val="right"/>
              <w:spacing w:after="0"/>
              <w:rPr>
                <w:sz w:val="20"/>
                <w:szCs w:val="20"/>
                <w:color w:val="auto"/>
              </w:rPr>
            </w:pPr>
            <w:r>
              <w:rPr>
                <w:rFonts w:ascii="Arial" w:cs="Arial" w:eastAsia="Arial" w:hAnsi="Arial"/>
                <w:sz w:val="20"/>
                <w:szCs w:val="20"/>
                <w:color w:val="auto"/>
              </w:rPr>
              <w:t>001-38067</w:t>
            </w:r>
          </w:p>
        </w:tc>
        <w:tc>
          <w:tcPr>
            <w:tcW w:w="1060" w:type="dxa"/>
            <w:vAlign w:val="bottom"/>
          </w:tcPr>
          <w:p>
            <w:pPr>
              <w:jc w:val="right"/>
              <w:spacing w:after="0"/>
              <w:rPr>
                <w:sz w:val="20"/>
                <w:szCs w:val="20"/>
                <w:color w:val="auto"/>
              </w:rPr>
            </w:pPr>
            <w:r>
              <w:rPr>
                <w:rFonts w:ascii="Arial" w:cs="Arial" w:eastAsia="Arial" w:hAnsi="Arial"/>
                <w:sz w:val="20"/>
                <w:szCs w:val="20"/>
                <w:color w:val="auto"/>
              </w:rPr>
              <w:t>2.1</w:t>
            </w:r>
          </w:p>
        </w:tc>
        <w:tc>
          <w:tcPr>
            <w:tcW w:w="1960" w:type="dxa"/>
            <w:vAlign w:val="bottom"/>
          </w:tcPr>
          <w:p>
            <w:pPr>
              <w:jc w:val="right"/>
              <w:ind w:right="900"/>
              <w:spacing w:after="0"/>
              <w:rPr>
                <w:sz w:val="20"/>
                <w:szCs w:val="20"/>
                <w:color w:val="auto"/>
              </w:rPr>
            </w:pPr>
            <w:r>
              <w:rPr>
                <w:rFonts w:ascii="Arial" w:cs="Arial" w:eastAsia="Arial" w:hAnsi="Arial"/>
                <w:sz w:val="20"/>
                <w:szCs w:val="20"/>
                <w:color w:val="auto"/>
              </w:rPr>
              <w:t>2/27/2018</w:t>
            </w:r>
          </w:p>
        </w:tc>
        <w:tc>
          <w:tcPr>
            <w:tcW w:w="0" w:type="dxa"/>
            <w:vAlign w:val="bottom"/>
          </w:tcPr>
          <w:p>
            <w:pPr>
              <w:spacing w:after="0"/>
              <w:rPr>
                <w:sz w:val="1"/>
                <w:szCs w:val="1"/>
                <w:color w:val="auto"/>
              </w:rPr>
            </w:pPr>
          </w:p>
        </w:tc>
      </w:tr>
      <w:tr>
        <w:trPr>
          <w:trHeight w:val="205"/>
        </w:trPr>
        <w:tc>
          <w:tcPr>
            <w:tcW w:w="780" w:type="dxa"/>
            <w:vAlign w:val="bottom"/>
            <w:vMerge w:val="restart"/>
          </w:tcPr>
          <w:p>
            <w:pPr>
              <w:spacing w:after="0"/>
              <w:rPr>
                <w:sz w:val="20"/>
                <w:szCs w:val="20"/>
                <w:color w:val="auto"/>
              </w:rPr>
            </w:pPr>
            <w:r>
              <w:rPr>
                <w:rFonts w:ascii="Arial" w:cs="Arial" w:eastAsia="Arial" w:hAnsi="Arial"/>
                <w:sz w:val="20"/>
                <w:szCs w:val="20"/>
                <w:color w:val="auto"/>
              </w:rPr>
              <w:t>4.2</w:t>
            </w:r>
          </w:p>
        </w:tc>
        <w:tc>
          <w:tcPr>
            <w:tcW w:w="3860" w:type="dxa"/>
            <w:vAlign w:val="bottom"/>
          </w:tcPr>
          <w:p>
            <w:pPr>
              <w:ind w:left="140"/>
              <w:spacing w:after="0" w:line="205" w:lineRule="exact"/>
              <w:rPr>
                <w:sz w:val="20"/>
                <w:szCs w:val="20"/>
                <w:color w:val="auto"/>
              </w:rPr>
            </w:pPr>
            <w:r>
              <w:rPr>
                <w:rFonts w:ascii="Arial" w:cs="Arial" w:eastAsia="Arial" w:hAnsi="Arial"/>
                <w:sz w:val="20"/>
                <w:szCs w:val="20"/>
                <w:color w:val="auto"/>
              </w:rPr>
              <w:t>Form of American Depositary Receipt</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20-F</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001-38067</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2.2</w:t>
            </w:r>
          </w:p>
        </w:tc>
        <w:tc>
          <w:tcPr>
            <w:tcW w:w="1960" w:type="dxa"/>
            <w:vAlign w:val="bottom"/>
            <w:vMerge w:val="restart"/>
          </w:tcPr>
          <w:p>
            <w:pPr>
              <w:jc w:val="right"/>
              <w:ind w:right="900"/>
              <w:spacing w:after="0"/>
              <w:rPr>
                <w:sz w:val="20"/>
                <w:szCs w:val="20"/>
                <w:color w:val="auto"/>
              </w:rPr>
            </w:pPr>
            <w:r>
              <w:rPr>
                <w:rFonts w:ascii="Arial" w:cs="Arial" w:eastAsia="Arial" w:hAnsi="Arial"/>
                <w:sz w:val="20"/>
                <w:szCs w:val="20"/>
                <w:color w:val="auto"/>
              </w:rPr>
              <w:t>2/27/2018</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860" w:type="dxa"/>
            <w:vAlign w:val="bottom"/>
          </w:tcPr>
          <w:p>
            <w:pPr>
              <w:ind w:left="140"/>
              <w:spacing w:after="0"/>
              <w:rPr>
                <w:sz w:val="20"/>
                <w:szCs w:val="20"/>
                <w:color w:val="auto"/>
              </w:rPr>
            </w:pPr>
            <w:r>
              <w:rPr>
                <w:rFonts w:ascii="Arial" w:cs="Arial" w:eastAsia="Arial" w:hAnsi="Arial"/>
                <w:sz w:val="20"/>
                <w:szCs w:val="20"/>
                <w:color w:val="auto"/>
              </w:rPr>
              <w:t>(included in Exhibit 4.1)</w:t>
            </w: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80" w:type="dxa"/>
            <w:vAlign w:val="bottom"/>
          </w:tcPr>
          <w:p>
            <w:pPr>
              <w:spacing w:after="0"/>
              <w:rPr>
                <w:sz w:val="20"/>
                <w:szCs w:val="20"/>
                <w:color w:val="auto"/>
              </w:rPr>
            </w:pPr>
            <w:r>
              <w:rPr>
                <w:rFonts w:ascii="Arial" w:cs="Arial" w:eastAsia="Arial" w:hAnsi="Arial"/>
                <w:sz w:val="20"/>
                <w:szCs w:val="20"/>
                <w:color w:val="auto"/>
              </w:rPr>
              <w:t>4.3</w:t>
            </w:r>
          </w:p>
        </w:tc>
        <w:tc>
          <w:tcPr>
            <w:tcW w:w="3860" w:type="dxa"/>
            <w:vAlign w:val="bottom"/>
          </w:tcPr>
          <w:p>
            <w:pPr>
              <w:ind w:left="140"/>
              <w:spacing w:after="0"/>
              <w:rPr>
                <w:sz w:val="20"/>
                <w:szCs w:val="20"/>
                <w:color w:val="auto"/>
              </w:rPr>
            </w:pPr>
            <w:r>
              <w:rPr>
                <w:rFonts w:ascii="Arial" w:cs="Arial" w:eastAsia="Arial" w:hAnsi="Arial"/>
                <w:sz w:val="20"/>
                <w:szCs w:val="20"/>
                <w:color w:val="auto"/>
              </w:rPr>
              <w:t>Description of Securities</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60" w:type="dxa"/>
            <w:vAlign w:val="bottom"/>
          </w:tcPr>
          <w:p>
            <w:pPr>
              <w:jc w:val="right"/>
              <w:ind w:right="3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5"/>
        </w:trPr>
        <w:tc>
          <w:tcPr>
            <w:tcW w:w="780" w:type="dxa"/>
            <w:vAlign w:val="bottom"/>
          </w:tcPr>
          <w:p>
            <w:pPr>
              <w:spacing w:after="0"/>
              <w:rPr>
                <w:sz w:val="18"/>
                <w:szCs w:val="18"/>
                <w:color w:val="auto"/>
              </w:rPr>
            </w:pPr>
          </w:p>
        </w:tc>
        <w:tc>
          <w:tcPr>
            <w:tcW w:w="3860" w:type="dxa"/>
            <w:vAlign w:val="bottom"/>
          </w:tcPr>
          <w:p>
            <w:pPr>
              <w:ind w:left="140"/>
              <w:spacing w:after="0" w:line="215" w:lineRule="exact"/>
              <w:rPr>
                <w:sz w:val="20"/>
                <w:szCs w:val="20"/>
                <w:color w:val="auto"/>
              </w:rPr>
            </w:pPr>
            <w:r>
              <w:rPr>
                <w:rFonts w:ascii="Arial" w:cs="Arial" w:eastAsia="Arial" w:hAnsi="Arial"/>
                <w:sz w:val="20"/>
                <w:szCs w:val="20"/>
                <w:color w:val="auto"/>
                <w:w w:val="98"/>
              </w:rPr>
              <w:t>Registration Rights Agreement, dated July</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80" w:type="dxa"/>
            <w:vAlign w:val="bottom"/>
            <w:vMerge w:val="restart"/>
          </w:tcPr>
          <w:p>
            <w:pPr>
              <w:spacing w:after="0"/>
              <w:rPr>
                <w:sz w:val="20"/>
                <w:szCs w:val="20"/>
                <w:color w:val="auto"/>
              </w:rPr>
            </w:pPr>
            <w:r>
              <w:rPr>
                <w:rFonts w:ascii="Arial" w:cs="Arial" w:eastAsia="Arial" w:hAnsi="Arial"/>
                <w:sz w:val="20"/>
                <w:szCs w:val="20"/>
                <w:color w:val="auto"/>
              </w:rPr>
              <w:t>10.1</w:t>
            </w:r>
          </w:p>
        </w:tc>
        <w:tc>
          <w:tcPr>
            <w:tcW w:w="3860" w:type="dxa"/>
            <w:vAlign w:val="bottom"/>
          </w:tcPr>
          <w:p>
            <w:pPr>
              <w:ind w:left="140"/>
              <w:spacing w:after="0" w:line="200" w:lineRule="exact"/>
              <w:rPr>
                <w:sz w:val="20"/>
                <w:szCs w:val="20"/>
                <w:color w:val="auto"/>
              </w:rPr>
            </w:pPr>
            <w:r>
              <w:rPr>
                <w:rFonts w:ascii="Arial" w:cs="Arial" w:eastAsia="Arial" w:hAnsi="Arial"/>
                <w:sz w:val="20"/>
                <w:szCs w:val="20"/>
                <w:color w:val="auto"/>
                <w:w w:val="94"/>
              </w:rPr>
              <w:t>16, 2020, by and among Verona Pharma plc</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6-K</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001-38067</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1960" w:type="dxa"/>
            <w:vAlign w:val="bottom"/>
            <w:vMerge w:val="restart"/>
          </w:tcPr>
          <w:p>
            <w:pPr>
              <w:jc w:val="right"/>
              <w:ind w:right="900"/>
              <w:spacing w:after="0"/>
              <w:rPr>
                <w:sz w:val="20"/>
                <w:szCs w:val="20"/>
                <w:color w:val="auto"/>
              </w:rPr>
            </w:pPr>
            <w:r>
              <w:rPr>
                <w:rFonts w:ascii="Arial" w:cs="Arial" w:eastAsia="Arial" w:hAnsi="Arial"/>
                <w:sz w:val="20"/>
                <w:szCs w:val="20"/>
                <w:color w:val="auto"/>
              </w:rPr>
              <w:t>7/22/2020</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860" w:type="dxa"/>
            <w:vAlign w:val="bottom"/>
          </w:tcPr>
          <w:p>
            <w:pPr>
              <w:ind w:left="140"/>
              <w:spacing w:after="0"/>
              <w:rPr>
                <w:sz w:val="20"/>
                <w:szCs w:val="20"/>
                <w:color w:val="auto"/>
              </w:rPr>
            </w:pPr>
            <w:r>
              <w:rPr>
                <w:rFonts w:ascii="Arial" w:cs="Arial" w:eastAsia="Arial" w:hAnsi="Arial"/>
                <w:sz w:val="20"/>
                <w:szCs w:val="20"/>
                <w:color w:val="auto"/>
              </w:rPr>
              <w:t>and the investors set forth therein</w:t>
            </w: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3860" w:type="dxa"/>
            <w:vAlign w:val="bottom"/>
          </w:tcPr>
          <w:p>
            <w:pPr>
              <w:ind w:left="140"/>
              <w:spacing w:after="0" w:line="205" w:lineRule="exact"/>
              <w:rPr>
                <w:sz w:val="20"/>
                <w:szCs w:val="20"/>
                <w:color w:val="auto"/>
              </w:rPr>
            </w:pPr>
            <w:r>
              <w:rPr>
                <w:rFonts w:ascii="Arial" w:cs="Arial" w:eastAsia="Arial" w:hAnsi="Arial"/>
                <w:sz w:val="20"/>
                <w:szCs w:val="20"/>
                <w:color w:val="auto"/>
              </w:rPr>
              <w:t>Intellectual Property Assignment and</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3860" w:type="dxa"/>
            <w:vAlign w:val="bottom"/>
          </w:tcPr>
          <w:p>
            <w:pPr>
              <w:ind w:left="140"/>
              <w:spacing w:after="0" w:line="200" w:lineRule="exact"/>
              <w:rPr>
                <w:sz w:val="20"/>
                <w:szCs w:val="20"/>
                <w:color w:val="auto"/>
              </w:rPr>
            </w:pPr>
            <w:r>
              <w:rPr>
                <w:rFonts w:ascii="Arial" w:cs="Arial" w:eastAsia="Arial" w:hAnsi="Arial"/>
                <w:sz w:val="20"/>
                <w:szCs w:val="20"/>
                <w:color w:val="auto"/>
              </w:rPr>
              <w:t>Licence Agreement between Vernalis</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3860" w:type="dxa"/>
            <w:vAlign w:val="bottom"/>
          </w:tcPr>
          <w:p>
            <w:pPr>
              <w:ind w:left="140"/>
              <w:spacing w:after="0" w:line="200" w:lineRule="exact"/>
              <w:rPr>
                <w:sz w:val="20"/>
                <w:szCs w:val="20"/>
                <w:color w:val="auto"/>
              </w:rPr>
            </w:pPr>
            <w:r>
              <w:rPr>
                <w:rFonts w:ascii="Arial" w:cs="Arial" w:eastAsia="Arial" w:hAnsi="Arial"/>
                <w:sz w:val="20"/>
                <w:szCs w:val="20"/>
                <w:color w:val="auto"/>
              </w:rPr>
              <w:t>Development Limited and Rhinopharma</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 w:type="dxa"/>
            <w:vAlign w:val="bottom"/>
            <w:vMerge w:val="restart"/>
          </w:tcPr>
          <w:p>
            <w:pPr>
              <w:spacing w:after="0"/>
              <w:rPr>
                <w:sz w:val="20"/>
                <w:szCs w:val="20"/>
                <w:color w:val="auto"/>
              </w:rPr>
            </w:pPr>
            <w:r>
              <w:rPr>
                <w:rFonts w:ascii="Arial" w:cs="Arial" w:eastAsia="Arial" w:hAnsi="Arial"/>
                <w:sz w:val="20"/>
                <w:szCs w:val="20"/>
                <w:color w:val="auto"/>
              </w:rPr>
              <w:t>10.2.1†</w:t>
            </w:r>
          </w:p>
        </w:tc>
        <w:tc>
          <w:tcPr>
            <w:tcW w:w="3860" w:type="dxa"/>
            <w:vAlign w:val="bottom"/>
          </w:tcPr>
          <w:p>
            <w:pPr>
              <w:ind w:left="140"/>
              <w:spacing w:after="0" w:line="200" w:lineRule="exact"/>
              <w:rPr>
                <w:sz w:val="20"/>
                <w:szCs w:val="20"/>
                <w:color w:val="auto"/>
              </w:rPr>
            </w:pPr>
            <w:r>
              <w:rPr>
                <w:rFonts w:ascii="Arial" w:cs="Arial" w:eastAsia="Arial" w:hAnsi="Arial"/>
                <w:sz w:val="20"/>
                <w:szCs w:val="20"/>
                <w:color w:val="auto"/>
                <w:w w:val="97"/>
              </w:rPr>
              <w:t>Limited, as predecessor to Verona Pharma</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F-1</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w w:val="95"/>
              </w:rPr>
              <w:t>333-217124</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10.2</w:t>
            </w:r>
          </w:p>
        </w:tc>
        <w:tc>
          <w:tcPr>
            <w:tcW w:w="1960" w:type="dxa"/>
            <w:vAlign w:val="bottom"/>
            <w:vMerge w:val="restart"/>
          </w:tcPr>
          <w:p>
            <w:pPr>
              <w:jc w:val="right"/>
              <w:ind w:right="900"/>
              <w:spacing w:after="0"/>
              <w:rPr>
                <w:sz w:val="20"/>
                <w:szCs w:val="20"/>
                <w:color w:val="auto"/>
              </w:rPr>
            </w:pPr>
            <w:r>
              <w:rPr>
                <w:rFonts w:ascii="Arial" w:cs="Arial" w:eastAsia="Arial" w:hAnsi="Arial"/>
                <w:sz w:val="20"/>
                <w:szCs w:val="20"/>
                <w:color w:val="auto"/>
              </w:rPr>
              <w:t>4/3/2017</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860" w:type="dxa"/>
            <w:vAlign w:val="bottom"/>
          </w:tcPr>
          <w:p>
            <w:pPr>
              <w:ind w:left="140"/>
              <w:spacing w:after="0"/>
              <w:rPr>
                <w:sz w:val="20"/>
                <w:szCs w:val="20"/>
                <w:color w:val="auto"/>
              </w:rPr>
            </w:pPr>
            <w:r>
              <w:rPr>
                <w:rFonts w:ascii="Arial" w:cs="Arial" w:eastAsia="Arial" w:hAnsi="Arial"/>
                <w:sz w:val="20"/>
                <w:szCs w:val="20"/>
                <w:color w:val="auto"/>
              </w:rPr>
              <w:t>plc, dated February 7, 2005</w:t>
            </w: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780" w:type="dxa"/>
            <w:vAlign w:val="bottom"/>
          </w:tcPr>
          <w:p>
            <w:pPr>
              <w:spacing w:after="0"/>
              <w:rPr>
                <w:sz w:val="24"/>
                <w:szCs w:val="24"/>
                <w:color w:val="auto"/>
              </w:rPr>
            </w:pPr>
          </w:p>
        </w:tc>
        <w:tc>
          <w:tcPr>
            <w:tcW w:w="3860" w:type="dxa"/>
            <w:vAlign w:val="bottom"/>
          </w:tcPr>
          <w:p>
            <w:pPr>
              <w:ind w:left="140"/>
              <w:spacing w:after="0"/>
              <w:rPr>
                <w:sz w:val="20"/>
                <w:szCs w:val="20"/>
                <w:color w:val="auto"/>
              </w:rPr>
            </w:pPr>
            <w:r>
              <w:rPr>
                <w:rFonts w:ascii="Arial" w:cs="Arial" w:eastAsia="Arial" w:hAnsi="Arial"/>
                <w:sz w:val="20"/>
                <w:szCs w:val="20"/>
                <w:color w:val="auto"/>
              </w:rPr>
              <w:t>Amendment Agreement by and between</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80" w:type="dxa"/>
            <w:vAlign w:val="bottom"/>
            <w:vMerge w:val="restart"/>
          </w:tcPr>
          <w:p>
            <w:pPr>
              <w:spacing w:after="0"/>
              <w:rPr>
                <w:sz w:val="20"/>
                <w:szCs w:val="20"/>
                <w:color w:val="auto"/>
              </w:rPr>
            </w:pPr>
            <w:r>
              <w:rPr>
                <w:rFonts w:ascii="Arial" w:cs="Arial" w:eastAsia="Arial" w:hAnsi="Arial"/>
                <w:sz w:val="20"/>
                <w:szCs w:val="20"/>
                <w:color w:val="auto"/>
              </w:rPr>
              <w:t>10.2.2</w:t>
            </w:r>
          </w:p>
        </w:tc>
        <w:tc>
          <w:tcPr>
            <w:tcW w:w="3860" w:type="dxa"/>
            <w:vAlign w:val="bottom"/>
          </w:tcPr>
          <w:p>
            <w:pPr>
              <w:ind w:left="140"/>
              <w:spacing w:after="0" w:line="200" w:lineRule="exact"/>
              <w:rPr>
                <w:sz w:val="20"/>
                <w:szCs w:val="20"/>
                <w:color w:val="auto"/>
              </w:rPr>
            </w:pPr>
            <w:r>
              <w:rPr>
                <w:rFonts w:ascii="Arial" w:cs="Arial" w:eastAsia="Arial" w:hAnsi="Arial"/>
                <w:sz w:val="20"/>
                <w:szCs w:val="20"/>
                <w:color w:val="auto"/>
              </w:rPr>
              <w:t>Verona Pharma plc and Ligand U.K.</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8-K</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001-38067</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10.1</w:t>
            </w:r>
          </w:p>
        </w:tc>
        <w:tc>
          <w:tcPr>
            <w:tcW w:w="1960" w:type="dxa"/>
            <w:vAlign w:val="bottom"/>
            <w:vMerge w:val="restart"/>
          </w:tcPr>
          <w:p>
            <w:pPr>
              <w:jc w:val="right"/>
              <w:ind w:right="900"/>
              <w:spacing w:after="0"/>
              <w:rPr>
                <w:sz w:val="20"/>
                <w:szCs w:val="20"/>
                <w:color w:val="auto"/>
              </w:rPr>
            </w:pPr>
            <w:r>
              <w:rPr>
                <w:rFonts w:ascii="Arial" w:cs="Arial" w:eastAsia="Arial" w:hAnsi="Arial"/>
                <w:sz w:val="20"/>
                <w:szCs w:val="20"/>
                <w:color w:val="auto"/>
              </w:rPr>
              <w:t>3/30/2022</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860" w:type="dxa"/>
            <w:vAlign w:val="bottom"/>
          </w:tcPr>
          <w:p>
            <w:pPr>
              <w:ind w:left="140"/>
              <w:spacing w:after="0"/>
              <w:rPr>
                <w:sz w:val="20"/>
                <w:szCs w:val="20"/>
                <w:color w:val="auto"/>
              </w:rPr>
            </w:pPr>
            <w:r>
              <w:rPr>
                <w:rFonts w:ascii="Arial" w:cs="Arial" w:eastAsia="Arial" w:hAnsi="Arial"/>
                <w:sz w:val="20"/>
                <w:szCs w:val="20"/>
                <w:color w:val="auto"/>
                <w:w w:val="95"/>
              </w:rPr>
              <w:t>Development Limited dated March 23, 2022</w:t>
            </w:r>
          </w:p>
        </w:tc>
        <w:tc>
          <w:tcPr>
            <w:tcW w:w="6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520"/>
          </w:cols>
          <w:pgMar w:left="1260" w:top="836"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9520"/>
          </w:cols>
          <w:pgMar w:left="1260" w:top="836" w:right="1100" w:bottom="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rPr>
              <w:t>Renewal Agreement to Lease by and</w:t>
            </w: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20" w:type="dxa"/>
            <w:vAlign w:val="bottom"/>
          </w:tcPr>
          <w:p>
            <w:pPr>
              <w:spacing w:after="0"/>
              <w:rPr>
                <w:sz w:val="17"/>
                <w:szCs w:val="17"/>
                <w:color w:val="auto"/>
              </w:rPr>
            </w:pPr>
          </w:p>
        </w:tc>
        <w:tc>
          <w:tcPr>
            <w:tcW w:w="3960" w:type="dxa"/>
            <w:vAlign w:val="bottom"/>
          </w:tcPr>
          <w:p>
            <w:pPr>
              <w:ind w:left="200"/>
              <w:spacing w:after="0" w:line="200" w:lineRule="exact"/>
              <w:rPr>
                <w:sz w:val="20"/>
                <w:szCs w:val="20"/>
                <w:color w:val="auto"/>
              </w:rPr>
            </w:pPr>
            <w:r>
              <w:rPr>
                <w:rFonts w:ascii="Arial" w:cs="Arial" w:eastAsia="Arial" w:hAnsi="Arial"/>
                <w:sz w:val="20"/>
                <w:szCs w:val="20"/>
                <w:color w:val="auto"/>
                <w:w w:val="96"/>
              </w:rPr>
              <w:t>between the Verona Pharma plc and Regus</w:t>
            </w: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rPr>
                <w:sz w:val="20"/>
                <w:szCs w:val="20"/>
                <w:color w:val="auto"/>
              </w:rPr>
            </w:pPr>
            <w:r>
              <w:rPr>
                <w:rFonts w:ascii="Arial" w:cs="Arial" w:eastAsia="Arial" w:hAnsi="Arial"/>
                <w:sz w:val="20"/>
                <w:szCs w:val="20"/>
                <w:color w:val="auto"/>
              </w:rPr>
              <w:t>10.3.1</w:t>
            </w:r>
          </w:p>
        </w:tc>
        <w:tc>
          <w:tcPr>
            <w:tcW w:w="3960" w:type="dxa"/>
            <w:vAlign w:val="bottom"/>
          </w:tcPr>
          <w:p>
            <w:pPr>
              <w:ind w:left="200"/>
              <w:spacing w:after="0" w:line="200" w:lineRule="exact"/>
              <w:rPr>
                <w:sz w:val="20"/>
                <w:szCs w:val="20"/>
                <w:color w:val="auto"/>
              </w:rPr>
            </w:pPr>
            <w:r>
              <w:rPr>
                <w:rFonts w:ascii="Arial" w:cs="Arial" w:eastAsia="Arial" w:hAnsi="Arial"/>
                <w:sz w:val="20"/>
                <w:szCs w:val="20"/>
                <w:color w:val="auto"/>
              </w:rPr>
              <w:t>Management (U.K.) Limited dated</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20-F</w:t>
            </w:r>
          </w:p>
        </w:tc>
        <w:tc>
          <w:tcPr>
            <w:tcW w:w="1300" w:type="dxa"/>
            <w:vAlign w:val="bottom"/>
            <w:vMerge w:val="restart"/>
          </w:tcPr>
          <w:p>
            <w:pPr>
              <w:jc w:val="right"/>
              <w:ind w:right="160"/>
              <w:spacing w:after="0"/>
              <w:rPr>
                <w:sz w:val="20"/>
                <w:szCs w:val="20"/>
                <w:color w:val="auto"/>
              </w:rPr>
            </w:pPr>
            <w:r>
              <w:rPr>
                <w:rFonts w:ascii="Arial" w:cs="Arial" w:eastAsia="Arial" w:hAnsi="Arial"/>
                <w:sz w:val="20"/>
                <w:szCs w:val="20"/>
                <w:color w:val="auto"/>
              </w:rPr>
              <w:t>001-38067</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4.3.3</w:t>
            </w:r>
          </w:p>
        </w:tc>
        <w:tc>
          <w:tcPr>
            <w:tcW w:w="1480" w:type="dxa"/>
            <w:vAlign w:val="bottom"/>
            <w:vMerge w:val="restart"/>
          </w:tcPr>
          <w:p>
            <w:pPr>
              <w:jc w:val="right"/>
              <w:ind w:right="480"/>
              <w:spacing w:after="0"/>
              <w:rPr>
                <w:sz w:val="20"/>
                <w:szCs w:val="20"/>
                <w:color w:val="auto"/>
              </w:rPr>
            </w:pPr>
            <w:r>
              <w:rPr>
                <w:rFonts w:ascii="Arial" w:cs="Arial" w:eastAsia="Arial" w:hAnsi="Arial"/>
                <w:sz w:val="20"/>
                <w:szCs w:val="20"/>
                <w:color w:val="auto"/>
                <w:w w:val="98"/>
              </w:rPr>
              <w:t>2/27/2020</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rPr>
              <w:t>September 16, 2017#1</w:t>
            </w:r>
          </w:p>
        </w:tc>
        <w:tc>
          <w:tcPr>
            <w:tcW w:w="64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3960" w:type="dxa"/>
            <w:vAlign w:val="bottom"/>
          </w:tcPr>
          <w:p>
            <w:pPr>
              <w:ind w:left="200"/>
              <w:spacing w:after="0" w:line="225" w:lineRule="exact"/>
              <w:rPr>
                <w:sz w:val="20"/>
                <w:szCs w:val="20"/>
                <w:color w:val="auto"/>
              </w:rPr>
            </w:pPr>
            <w:r>
              <w:rPr>
                <w:rFonts w:ascii="Arial" w:cs="Arial" w:eastAsia="Arial" w:hAnsi="Arial"/>
                <w:sz w:val="20"/>
                <w:szCs w:val="20"/>
                <w:color w:val="auto"/>
              </w:rPr>
              <w:t>Renewal Agreement to Lease by and</w:t>
            </w: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20" w:type="dxa"/>
            <w:vAlign w:val="bottom"/>
          </w:tcPr>
          <w:p>
            <w:pPr>
              <w:spacing w:after="0"/>
              <w:rPr>
                <w:sz w:val="17"/>
                <w:szCs w:val="17"/>
                <w:color w:val="auto"/>
              </w:rPr>
            </w:pPr>
          </w:p>
        </w:tc>
        <w:tc>
          <w:tcPr>
            <w:tcW w:w="3960" w:type="dxa"/>
            <w:vAlign w:val="bottom"/>
          </w:tcPr>
          <w:p>
            <w:pPr>
              <w:ind w:left="200"/>
              <w:spacing w:after="0" w:line="200" w:lineRule="exact"/>
              <w:rPr>
                <w:sz w:val="20"/>
                <w:szCs w:val="20"/>
                <w:color w:val="auto"/>
              </w:rPr>
            </w:pPr>
            <w:r>
              <w:rPr>
                <w:rFonts w:ascii="Arial" w:cs="Arial" w:eastAsia="Arial" w:hAnsi="Arial"/>
                <w:sz w:val="20"/>
                <w:szCs w:val="20"/>
                <w:color w:val="auto"/>
                <w:w w:val="96"/>
              </w:rPr>
              <w:t>between the Verona Pharma plc and Regus</w:t>
            </w: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rPr>
                <w:sz w:val="20"/>
                <w:szCs w:val="20"/>
                <w:color w:val="auto"/>
              </w:rPr>
            </w:pPr>
            <w:r>
              <w:rPr>
                <w:rFonts w:ascii="Arial" w:cs="Arial" w:eastAsia="Arial" w:hAnsi="Arial"/>
                <w:sz w:val="20"/>
                <w:szCs w:val="20"/>
                <w:color w:val="auto"/>
              </w:rPr>
              <w:t>10.3.2</w:t>
            </w:r>
          </w:p>
        </w:tc>
        <w:tc>
          <w:tcPr>
            <w:tcW w:w="3960" w:type="dxa"/>
            <w:vAlign w:val="bottom"/>
          </w:tcPr>
          <w:p>
            <w:pPr>
              <w:ind w:left="200"/>
              <w:spacing w:after="0" w:line="200" w:lineRule="exact"/>
              <w:rPr>
                <w:sz w:val="20"/>
                <w:szCs w:val="20"/>
                <w:color w:val="auto"/>
              </w:rPr>
            </w:pPr>
            <w:r>
              <w:rPr>
                <w:rFonts w:ascii="Arial" w:cs="Arial" w:eastAsia="Arial" w:hAnsi="Arial"/>
                <w:sz w:val="20"/>
                <w:szCs w:val="20"/>
                <w:color w:val="auto"/>
              </w:rPr>
              <w:t>Management (U.K.) Limited dated</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20-F</w:t>
            </w:r>
          </w:p>
        </w:tc>
        <w:tc>
          <w:tcPr>
            <w:tcW w:w="1300" w:type="dxa"/>
            <w:vAlign w:val="bottom"/>
            <w:vMerge w:val="restart"/>
          </w:tcPr>
          <w:p>
            <w:pPr>
              <w:jc w:val="right"/>
              <w:ind w:right="160"/>
              <w:spacing w:after="0"/>
              <w:rPr>
                <w:sz w:val="20"/>
                <w:szCs w:val="20"/>
                <w:color w:val="auto"/>
              </w:rPr>
            </w:pPr>
            <w:r>
              <w:rPr>
                <w:rFonts w:ascii="Arial" w:cs="Arial" w:eastAsia="Arial" w:hAnsi="Arial"/>
                <w:sz w:val="20"/>
                <w:szCs w:val="20"/>
                <w:color w:val="auto"/>
              </w:rPr>
              <w:t>001-38067</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4.3.4</w:t>
            </w:r>
          </w:p>
        </w:tc>
        <w:tc>
          <w:tcPr>
            <w:tcW w:w="1480" w:type="dxa"/>
            <w:vAlign w:val="bottom"/>
            <w:vMerge w:val="restart"/>
          </w:tcPr>
          <w:p>
            <w:pPr>
              <w:jc w:val="right"/>
              <w:ind w:right="480"/>
              <w:spacing w:after="0"/>
              <w:rPr>
                <w:sz w:val="20"/>
                <w:szCs w:val="20"/>
                <w:color w:val="auto"/>
              </w:rPr>
            </w:pPr>
            <w:r>
              <w:rPr>
                <w:rFonts w:ascii="Arial" w:cs="Arial" w:eastAsia="Arial" w:hAnsi="Arial"/>
                <w:sz w:val="20"/>
                <w:szCs w:val="20"/>
                <w:color w:val="auto"/>
                <w:w w:val="98"/>
              </w:rPr>
              <w:t>2/27/2020</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rPr>
              <w:t>September 16, 2017#2</w:t>
            </w:r>
          </w:p>
        </w:tc>
        <w:tc>
          <w:tcPr>
            <w:tcW w:w="64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3960" w:type="dxa"/>
            <w:vAlign w:val="bottom"/>
          </w:tcPr>
          <w:p>
            <w:pPr>
              <w:ind w:left="200"/>
              <w:spacing w:after="0" w:line="225" w:lineRule="exact"/>
              <w:rPr>
                <w:sz w:val="20"/>
                <w:szCs w:val="20"/>
                <w:color w:val="auto"/>
              </w:rPr>
            </w:pPr>
            <w:r>
              <w:rPr>
                <w:rFonts w:ascii="Arial" w:cs="Arial" w:eastAsia="Arial" w:hAnsi="Arial"/>
                <w:sz w:val="20"/>
                <w:szCs w:val="20"/>
                <w:color w:val="auto"/>
              </w:rPr>
              <w:t>Renewal Agreement to Lease by and</w:t>
            </w: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20" w:type="dxa"/>
            <w:vAlign w:val="bottom"/>
          </w:tcPr>
          <w:p>
            <w:pPr>
              <w:spacing w:after="0"/>
              <w:rPr>
                <w:sz w:val="17"/>
                <w:szCs w:val="17"/>
                <w:color w:val="auto"/>
              </w:rPr>
            </w:pPr>
          </w:p>
        </w:tc>
        <w:tc>
          <w:tcPr>
            <w:tcW w:w="3960" w:type="dxa"/>
            <w:vAlign w:val="bottom"/>
          </w:tcPr>
          <w:p>
            <w:pPr>
              <w:ind w:left="200"/>
              <w:spacing w:after="0" w:line="200" w:lineRule="exact"/>
              <w:rPr>
                <w:sz w:val="20"/>
                <w:szCs w:val="20"/>
                <w:color w:val="auto"/>
              </w:rPr>
            </w:pPr>
            <w:r>
              <w:rPr>
                <w:rFonts w:ascii="Arial" w:cs="Arial" w:eastAsia="Arial" w:hAnsi="Arial"/>
                <w:sz w:val="20"/>
                <w:szCs w:val="20"/>
                <w:color w:val="auto"/>
                <w:w w:val="96"/>
              </w:rPr>
              <w:t>between the Verona Pharma plc and Regus</w:t>
            </w: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rPr>
                <w:sz w:val="20"/>
                <w:szCs w:val="20"/>
                <w:color w:val="auto"/>
              </w:rPr>
            </w:pPr>
            <w:r>
              <w:rPr>
                <w:rFonts w:ascii="Arial" w:cs="Arial" w:eastAsia="Arial" w:hAnsi="Arial"/>
                <w:sz w:val="20"/>
                <w:szCs w:val="20"/>
                <w:color w:val="auto"/>
              </w:rPr>
              <w:t>10.3.3</w:t>
            </w:r>
          </w:p>
        </w:tc>
        <w:tc>
          <w:tcPr>
            <w:tcW w:w="3960" w:type="dxa"/>
            <w:vAlign w:val="bottom"/>
          </w:tcPr>
          <w:p>
            <w:pPr>
              <w:ind w:left="200"/>
              <w:spacing w:after="0" w:line="200" w:lineRule="exact"/>
              <w:rPr>
                <w:sz w:val="20"/>
                <w:szCs w:val="20"/>
                <w:color w:val="auto"/>
              </w:rPr>
            </w:pPr>
            <w:r>
              <w:rPr>
                <w:rFonts w:ascii="Arial" w:cs="Arial" w:eastAsia="Arial" w:hAnsi="Arial"/>
                <w:sz w:val="20"/>
                <w:szCs w:val="20"/>
                <w:color w:val="auto"/>
              </w:rPr>
              <w:t>Management (U.K.) Limited dated</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20-F</w:t>
            </w:r>
          </w:p>
        </w:tc>
        <w:tc>
          <w:tcPr>
            <w:tcW w:w="1300" w:type="dxa"/>
            <w:vAlign w:val="bottom"/>
            <w:vMerge w:val="restart"/>
          </w:tcPr>
          <w:p>
            <w:pPr>
              <w:jc w:val="right"/>
              <w:ind w:right="160"/>
              <w:spacing w:after="0"/>
              <w:rPr>
                <w:sz w:val="20"/>
                <w:szCs w:val="20"/>
                <w:color w:val="auto"/>
              </w:rPr>
            </w:pPr>
            <w:r>
              <w:rPr>
                <w:rFonts w:ascii="Arial" w:cs="Arial" w:eastAsia="Arial" w:hAnsi="Arial"/>
                <w:sz w:val="20"/>
                <w:szCs w:val="20"/>
                <w:color w:val="auto"/>
              </w:rPr>
              <w:t>001-38067</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4.3.5</w:t>
            </w:r>
          </w:p>
        </w:tc>
        <w:tc>
          <w:tcPr>
            <w:tcW w:w="1480" w:type="dxa"/>
            <w:vAlign w:val="bottom"/>
            <w:vMerge w:val="restart"/>
          </w:tcPr>
          <w:p>
            <w:pPr>
              <w:jc w:val="right"/>
              <w:ind w:right="480"/>
              <w:spacing w:after="0"/>
              <w:rPr>
                <w:sz w:val="20"/>
                <w:szCs w:val="20"/>
                <w:color w:val="auto"/>
              </w:rPr>
            </w:pPr>
            <w:r>
              <w:rPr>
                <w:rFonts w:ascii="Arial" w:cs="Arial" w:eastAsia="Arial" w:hAnsi="Arial"/>
                <w:sz w:val="20"/>
                <w:szCs w:val="20"/>
                <w:color w:val="auto"/>
                <w:w w:val="98"/>
              </w:rPr>
              <w:t>2/27/2020</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rPr>
              <w:t>September 16, 2017#3</w:t>
            </w:r>
          </w:p>
        </w:tc>
        <w:tc>
          <w:tcPr>
            <w:tcW w:w="64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3960" w:type="dxa"/>
            <w:vAlign w:val="bottom"/>
          </w:tcPr>
          <w:p>
            <w:pPr>
              <w:ind w:left="200"/>
              <w:spacing w:after="0" w:line="214" w:lineRule="exact"/>
              <w:rPr>
                <w:sz w:val="20"/>
                <w:szCs w:val="20"/>
                <w:color w:val="auto"/>
              </w:rPr>
            </w:pPr>
            <w:r>
              <w:rPr>
                <w:rFonts w:ascii="Arial" w:cs="Arial" w:eastAsia="Arial" w:hAnsi="Arial"/>
                <w:sz w:val="20"/>
                <w:szCs w:val="20"/>
                <w:color w:val="auto"/>
              </w:rPr>
              <w:t>Renewal Agreement to Lease by and</w:t>
            </w: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rPr>
                <w:sz w:val="20"/>
                <w:szCs w:val="20"/>
                <w:color w:val="auto"/>
              </w:rPr>
            </w:pPr>
            <w:r>
              <w:rPr>
                <w:rFonts w:ascii="Arial" w:cs="Arial" w:eastAsia="Arial" w:hAnsi="Arial"/>
                <w:sz w:val="20"/>
                <w:szCs w:val="20"/>
                <w:color w:val="auto"/>
              </w:rPr>
              <w:t>10.3.4</w:t>
            </w:r>
          </w:p>
        </w:tc>
        <w:tc>
          <w:tcPr>
            <w:tcW w:w="3960" w:type="dxa"/>
            <w:vAlign w:val="bottom"/>
          </w:tcPr>
          <w:p>
            <w:pPr>
              <w:ind w:left="200"/>
              <w:spacing w:after="0" w:line="200" w:lineRule="exact"/>
              <w:rPr>
                <w:sz w:val="20"/>
                <w:szCs w:val="20"/>
                <w:color w:val="auto"/>
              </w:rPr>
            </w:pPr>
            <w:r>
              <w:rPr>
                <w:rFonts w:ascii="Arial" w:cs="Arial" w:eastAsia="Arial" w:hAnsi="Arial"/>
                <w:sz w:val="20"/>
                <w:szCs w:val="20"/>
                <w:color w:val="auto"/>
                <w:w w:val="94"/>
              </w:rPr>
              <w:t>between the Verona Pharma Inc. and Regus</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20-F</w:t>
            </w:r>
          </w:p>
        </w:tc>
        <w:tc>
          <w:tcPr>
            <w:tcW w:w="1300" w:type="dxa"/>
            <w:vAlign w:val="bottom"/>
            <w:vMerge w:val="restart"/>
          </w:tcPr>
          <w:p>
            <w:pPr>
              <w:jc w:val="right"/>
              <w:ind w:right="160"/>
              <w:spacing w:after="0"/>
              <w:rPr>
                <w:sz w:val="20"/>
                <w:szCs w:val="20"/>
                <w:color w:val="auto"/>
              </w:rPr>
            </w:pPr>
            <w:r>
              <w:rPr>
                <w:rFonts w:ascii="Arial" w:cs="Arial" w:eastAsia="Arial" w:hAnsi="Arial"/>
                <w:sz w:val="20"/>
                <w:szCs w:val="20"/>
                <w:color w:val="auto"/>
              </w:rPr>
              <w:t>001-38067</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4.3.6</w:t>
            </w:r>
          </w:p>
        </w:tc>
        <w:tc>
          <w:tcPr>
            <w:tcW w:w="1480" w:type="dxa"/>
            <w:vAlign w:val="bottom"/>
            <w:vMerge w:val="restart"/>
          </w:tcPr>
          <w:p>
            <w:pPr>
              <w:jc w:val="right"/>
              <w:ind w:right="480"/>
              <w:spacing w:after="0"/>
              <w:rPr>
                <w:sz w:val="20"/>
                <w:szCs w:val="20"/>
                <w:color w:val="auto"/>
              </w:rPr>
            </w:pPr>
            <w:r>
              <w:rPr>
                <w:rFonts w:ascii="Arial" w:cs="Arial" w:eastAsia="Arial" w:hAnsi="Arial"/>
                <w:sz w:val="20"/>
                <w:szCs w:val="20"/>
                <w:color w:val="auto"/>
                <w:w w:val="98"/>
              </w:rPr>
              <w:t>2/27/2020</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w w:val="93"/>
              </w:rPr>
              <w:t>Management Group LLC dated July 16, 2019</w:t>
            </w:r>
          </w:p>
        </w:tc>
        <w:tc>
          <w:tcPr>
            <w:tcW w:w="64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3960" w:type="dxa"/>
            <w:vAlign w:val="bottom"/>
          </w:tcPr>
          <w:p>
            <w:pPr>
              <w:ind w:left="200"/>
              <w:spacing w:after="0" w:line="225" w:lineRule="exact"/>
              <w:rPr>
                <w:sz w:val="20"/>
                <w:szCs w:val="20"/>
                <w:color w:val="auto"/>
              </w:rPr>
            </w:pPr>
            <w:r>
              <w:rPr>
                <w:rFonts w:ascii="Arial" w:cs="Arial" w:eastAsia="Arial" w:hAnsi="Arial"/>
                <w:sz w:val="20"/>
                <w:szCs w:val="20"/>
                <w:color w:val="auto"/>
              </w:rPr>
              <w:t>Renewal Agreement to Lease by and</w:t>
            </w: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20" w:type="dxa"/>
            <w:vAlign w:val="bottom"/>
          </w:tcPr>
          <w:p>
            <w:pPr>
              <w:spacing w:after="0"/>
              <w:rPr>
                <w:sz w:val="17"/>
                <w:szCs w:val="17"/>
                <w:color w:val="auto"/>
              </w:rPr>
            </w:pPr>
          </w:p>
        </w:tc>
        <w:tc>
          <w:tcPr>
            <w:tcW w:w="3960" w:type="dxa"/>
            <w:vAlign w:val="bottom"/>
          </w:tcPr>
          <w:p>
            <w:pPr>
              <w:ind w:left="200"/>
              <w:spacing w:after="0" w:line="200" w:lineRule="exact"/>
              <w:rPr>
                <w:sz w:val="20"/>
                <w:szCs w:val="20"/>
                <w:color w:val="auto"/>
              </w:rPr>
            </w:pPr>
            <w:r>
              <w:rPr>
                <w:rFonts w:ascii="Arial" w:cs="Arial" w:eastAsia="Arial" w:hAnsi="Arial"/>
                <w:sz w:val="20"/>
                <w:szCs w:val="20"/>
                <w:color w:val="auto"/>
                <w:w w:val="96"/>
              </w:rPr>
              <w:t>between the Verona Pharma plc and Regus</w:t>
            </w: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rPr>
                <w:sz w:val="20"/>
                <w:szCs w:val="20"/>
                <w:color w:val="auto"/>
              </w:rPr>
            </w:pPr>
            <w:r>
              <w:rPr>
                <w:rFonts w:ascii="Arial" w:cs="Arial" w:eastAsia="Arial" w:hAnsi="Arial"/>
                <w:sz w:val="20"/>
                <w:szCs w:val="20"/>
                <w:color w:val="auto"/>
              </w:rPr>
              <w:t>10.3.5</w:t>
            </w:r>
          </w:p>
        </w:tc>
        <w:tc>
          <w:tcPr>
            <w:tcW w:w="3960" w:type="dxa"/>
            <w:vAlign w:val="bottom"/>
          </w:tcPr>
          <w:p>
            <w:pPr>
              <w:ind w:left="200"/>
              <w:spacing w:after="0" w:line="200" w:lineRule="exact"/>
              <w:rPr>
                <w:sz w:val="20"/>
                <w:szCs w:val="20"/>
                <w:color w:val="auto"/>
              </w:rPr>
            </w:pPr>
            <w:r>
              <w:rPr>
                <w:rFonts w:ascii="Arial" w:cs="Arial" w:eastAsia="Arial" w:hAnsi="Arial"/>
                <w:sz w:val="20"/>
                <w:szCs w:val="20"/>
                <w:color w:val="auto"/>
              </w:rPr>
              <w:t>Management (U.K.) Limited dated</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10-K</w:t>
            </w:r>
          </w:p>
        </w:tc>
        <w:tc>
          <w:tcPr>
            <w:tcW w:w="1300" w:type="dxa"/>
            <w:vAlign w:val="bottom"/>
            <w:vMerge w:val="restart"/>
          </w:tcPr>
          <w:p>
            <w:pPr>
              <w:jc w:val="right"/>
              <w:ind w:right="160"/>
              <w:spacing w:after="0"/>
              <w:rPr>
                <w:sz w:val="20"/>
                <w:szCs w:val="20"/>
                <w:color w:val="auto"/>
              </w:rPr>
            </w:pPr>
            <w:r>
              <w:rPr>
                <w:rFonts w:ascii="Arial" w:cs="Arial" w:eastAsia="Arial" w:hAnsi="Arial"/>
                <w:sz w:val="20"/>
                <w:szCs w:val="20"/>
                <w:color w:val="auto"/>
              </w:rPr>
              <w:t>001-38067</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10.4.7</w:t>
            </w:r>
          </w:p>
        </w:tc>
        <w:tc>
          <w:tcPr>
            <w:tcW w:w="1480" w:type="dxa"/>
            <w:vAlign w:val="bottom"/>
            <w:vMerge w:val="restart"/>
          </w:tcPr>
          <w:p>
            <w:pPr>
              <w:jc w:val="right"/>
              <w:ind w:right="480"/>
              <w:spacing w:after="0"/>
              <w:rPr>
                <w:sz w:val="20"/>
                <w:szCs w:val="20"/>
                <w:color w:val="auto"/>
              </w:rPr>
            </w:pPr>
            <w:r>
              <w:rPr>
                <w:rFonts w:ascii="Arial" w:cs="Arial" w:eastAsia="Arial" w:hAnsi="Arial"/>
                <w:sz w:val="20"/>
                <w:szCs w:val="20"/>
                <w:color w:val="auto"/>
              </w:rPr>
              <w:t>3/7/2022</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rPr>
              <w:t>November 9, 2021</w:t>
            </w:r>
          </w:p>
        </w:tc>
        <w:tc>
          <w:tcPr>
            <w:tcW w:w="64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3960" w:type="dxa"/>
            <w:vAlign w:val="bottom"/>
          </w:tcPr>
          <w:p>
            <w:pPr>
              <w:ind w:left="200"/>
              <w:spacing w:after="0" w:line="225" w:lineRule="exact"/>
              <w:rPr>
                <w:sz w:val="20"/>
                <w:szCs w:val="20"/>
                <w:color w:val="auto"/>
              </w:rPr>
            </w:pPr>
            <w:r>
              <w:rPr>
                <w:rFonts w:ascii="Arial" w:cs="Arial" w:eastAsia="Arial" w:hAnsi="Arial"/>
                <w:sz w:val="20"/>
                <w:szCs w:val="20"/>
                <w:color w:val="auto"/>
              </w:rPr>
              <w:t>Renewal Agreement to Lease by and</w:t>
            </w: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20" w:type="dxa"/>
            <w:vAlign w:val="bottom"/>
          </w:tcPr>
          <w:p>
            <w:pPr>
              <w:spacing w:after="0"/>
              <w:rPr>
                <w:sz w:val="17"/>
                <w:szCs w:val="17"/>
                <w:color w:val="auto"/>
              </w:rPr>
            </w:pPr>
          </w:p>
        </w:tc>
        <w:tc>
          <w:tcPr>
            <w:tcW w:w="3960" w:type="dxa"/>
            <w:vAlign w:val="bottom"/>
          </w:tcPr>
          <w:p>
            <w:pPr>
              <w:ind w:left="200"/>
              <w:spacing w:after="0" w:line="200" w:lineRule="exact"/>
              <w:rPr>
                <w:sz w:val="20"/>
                <w:szCs w:val="20"/>
                <w:color w:val="auto"/>
              </w:rPr>
            </w:pPr>
            <w:r>
              <w:rPr>
                <w:rFonts w:ascii="Arial" w:cs="Arial" w:eastAsia="Arial" w:hAnsi="Arial"/>
                <w:sz w:val="20"/>
                <w:szCs w:val="20"/>
                <w:color w:val="auto"/>
                <w:w w:val="96"/>
              </w:rPr>
              <w:t>between the Verona Pharma plc and Regus</w:t>
            </w: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rPr>
                <w:sz w:val="20"/>
                <w:szCs w:val="20"/>
                <w:color w:val="auto"/>
              </w:rPr>
            </w:pPr>
            <w:r>
              <w:rPr>
                <w:rFonts w:ascii="Arial" w:cs="Arial" w:eastAsia="Arial" w:hAnsi="Arial"/>
                <w:sz w:val="20"/>
                <w:szCs w:val="20"/>
                <w:color w:val="auto"/>
              </w:rPr>
              <w:t>10.3.6</w:t>
            </w:r>
          </w:p>
        </w:tc>
        <w:tc>
          <w:tcPr>
            <w:tcW w:w="3960" w:type="dxa"/>
            <w:vAlign w:val="bottom"/>
          </w:tcPr>
          <w:p>
            <w:pPr>
              <w:ind w:left="200"/>
              <w:spacing w:after="0" w:line="200" w:lineRule="exact"/>
              <w:rPr>
                <w:sz w:val="20"/>
                <w:szCs w:val="20"/>
                <w:color w:val="auto"/>
              </w:rPr>
            </w:pPr>
            <w:r>
              <w:rPr>
                <w:rFonts w:ascii="Arial" w:cs="Arial" w:eastAsia="Arial" w:hAnsi="Arial"/>
                <w:sz w:val="20"/>
                <w:szCs w:val="20"/>
                <w:color w:val="auto"/>
                <w:w w:val="93"/>
              </w:rPr>
              <w:t>Management (U.K.) Limited dated December</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10-K</w:t>
            </w:r>
          </w:p>
        </w:tc>
        <w:tc>
          <w:tcPr>
            <w:tcW w:w="1300" w:type="dxa"/>
            <w:vAlign w:val="bottom"/>
            <w:vMerge w:val="restart"/>
          </w:tcPr>
          <w:p>
            <w:pPr>
              <w:jc w:val="right"/>
              <w:ind w:right="160"/>
              <w:spacing w:after="0"/>
              <w:rPr>
                <w:sz w:val="20"/>
                <w:szCs w:val="20"/>
                <w:color w:val="auto"/>
              </w:rPr>
            </w:pPr>
            <w:r>
              <w:rPr>
                <w:rFonts w:ascii="Arial" w:cs="Arial" w:eastAsia="Arial" w:hAnsi="Arial"/>
                <w:sz w:val="20"/>
                <w:szCs w:val="20"/>
                <w:color w:val="auto"/>
              </w:rPr>
              <w:t>001-38067</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10.4.8</w:t>
            </w:r>
          </w:p>
        </w:tc>
        <w:tc>
          <w:tcPr>
            <w:tcW w:w="1480" w:type="dxa"/>
            <w:vAlign w:val="bottom"/>
            <w:vMerge w:val="restart"/>
          </w:tcPr>
          <w:p>
            <w:pPr>
              <w:jc w:val="right"/>
              <w:ind w:right="480"/>
              <w:spacing w:after="0"/>
              <w:rPr>
                <w:sz w:val="20"/>
                <w:szCs w:val="20"/>
                <w:color w:val="auto"/>
              </w:rPr>
            </w:pPr>
            <w:r>
              <w:rPr>
                <w:rFonts w:ascii="Arial" w:cs="Arial" w:eastAsia="Arial" w:hAnsi="Arial"/>
                <w:sz w:val="20"/>
                <w:szCs w:val="20"/>
                <w:color w:val="auto"/>
              </w:rPr>
              <w:t>3/7/2022</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rPr>
              <w:t>7, 2021</w:t>
            </w:r>
          </w:p>
        </w:tc>
        <w:tc>
          <w:tcPr>
            <w:tcW w:w="64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3960" w:type="dxa"/>
            <w:vAlign w:val="bottom"/>
          </w:tcPr>
          <w:p>
            <w:pPr>
              <w:ind w:left="200"/>
              <w:spacing w:after="0" w:line="214" w:lineRule="exact"/>
              <w:rPr>
                <w:sz w:val="20"/>
                <w:szCs w:val="20"/>
                <w:color w:val="auto"/>
              </w:rPr>
            </w:pPr>
            <w:r>
              <w:rPr>
                <w:rFonts w:ascii="Arial" w:cs="Arial" w:eastAsia="Arial" w:hAnsi="Arial"/>
                <w:sz w:val="20"/>
                <w:szCs w:val="20"/>
                <w:color w:val="auto"/>
                <w:w w:val="94"/>
              </w:rPr>
              <w:t>Agreement to Lease by and between Verona</w:t>
            </w: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rPr>
                <w:sz w:val="20"/>
                <w:szCs w:val="20"/>
                <w:color w:val="auto"/>
              </w:rPr>
            </w:pPr>
            <w:r>
              <w:rPr>
                <w:rFonts w:ascii="Arial" w:cs="Arial" w:eastAsia="Arial" w:hAnsi="Arial"/>
                <w:sz w:val="20"/>
                <w:szCs w:val="20"/>
                <w:color w:val="auto"/>
              </w:rPr>
              <w:t>10.3.7</w:t>
            </w:r>
          </w:p>
        </w:tc>
        <w:tc>
          <w:tcPr>
            <w:tcW w:w="3960" w:type="dxa"/>
            <w:vAlign w:val="bottom"/>
          </w:tcPr>
          <w:p>
            <w:pPr>
              <w:ind w:left="200"/>
              <w:spacing w:after="0" w:line="200" w:lineRule="exact"/>
              <w:rPr>
                <w:sz w:val="20"/>
                <w:szCs w:val="20"/>
                <w:color w:val="auto"/>
              </w:rPr>
            </w:pPr>
            <w:r>
              <w:rPr>
                <w:rFonts w:ascii="Arial" w:cs="Arial" w:eastAsia="Arial" w:hAnsi="Arial"/>
                <w:sz w:val="20"/>
                <w:szCs w:val="20"/>
                <w:color w:val="auto"/>
                <w:w w:val="95"/>
              </w:rPr>
              <w:t>Pharma, Inc. and Brier Creek Office #4, LLC</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10-K</w:t>
            </w:r>
          </w:p>
        </w:tc>
        <w:tc>
          <w:tcPr>
            <w:tcW w:w="1300" w:type="dxa"/>
            <w:vAlign w:val="bottom"/>
            <w:vMerge w:val="restart"/>
          </w:tcPr>
          <w:p>
            <w:pPr>
              <w:jc w:val="right"/>
              <w:ind w:right="160"/>
              <w:spacing w:after="0"/>
              <w:rPr>
                <w:sz w:val="20"/>
                <w:szCs w:val="20"/>
                <w:color w:val="auto"/>
              </w:rPr>
            </w:pPr>
            <w:r>
              <w:rPr>
                <w:rFonts w:ascii="Arial" w:cs="Arial" w:eastAsia="Arial" w:hAnsi="Arial"/>
                <w:sz w:val="20"/>
                <w:szCs w:val="20"/>
                <w:color w:val="auto"/>
              </w:rPr>
              <w:t>001-38067</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10.4.9</w:t>
            </w:r>
          </w:p>
        </w:tc>
        <w:tc>
          <w:tcPr>
            <w:tcW w:w="1480" w:type="dxa"/>
            <w:vAlign w:val="bottom"/>
            <w:vMerge w:val="restart"/>
          </w:tcPr>
          <w:p>
            <w:pPr>
              <w:jc w:val="right"/>
              <w:ind w:right="480"/>
              <w:spacing w:after="0"/>
              <w:rPr>
                <w:sz w:val="20"/>
                <w:szCs w:val="20"/>
                <w:color w:val="auto"/>
              </w:rPr>
            </w:pPr>
            <w:r>
              <w:rPr>
                <w:rFonts w:ascii="Arial" w:cs="Arial" w:eastAsia="Arial" w:hAnsi="Arial"/>
                <w:sz w:val="20"/>
                <w:szCs w:val="20"/>
                <w:color w:val="auto"/>
              </w:rPr>
              <w:t>3/7/2022</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rPr>
              <w:t>dated March 6, 2020</w:t>
            </w:r>
          </w:p>
        </w:tc>
        <w:tc>
          <w:tcPr>
            <w:tcW w:w="64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3960" w:type="dxa"/>
            <w:vAlign w:val="bottom"/>
          </w:tcPr>
          <w:p>
            <w:pPr>
              <w:ind w:left="200"/>
              <w:spacing w:after="0" w:line="214" w:lineRule="exact"/>
              <w:rPr>
                <w:sz w:val="20"/>
                <w:szCs w:val="20"/>
                <w:color w:val="auto"/>
              </w:rPr>
            </w:pPr>
            <w:r>
              <w:rPr>
                <w:rFonts w:ascii="Arial" w:cs="Arial" w:eastAsia="Arial" w:hAnsi="Arial"/>
                <w:sz w:val="20"/>
                <w:szCs w:val="20"/>
                <w:color w:val="auto"/>
              </w:rPr>
              <w:t>Agreement of Sublease, dated August 28,</w:t>
            </w: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rPr>
                <w:sz w:val="20"/>
                <w:szCs w:val="20"/>
                <w:color w:val="auto"/>
              </w:rPr>
            </w:pPr>
            <w:r>
              <w:rPr>
                <w:rFonts w:ascii="Arial" w:cs="Arial" w:eastAsia="Arial" w:hAnsi="Arial"/>
                <w:sz w:val="20"/>
                <w:szCs w:val="20"/>
                <w:color w:val="auto"/>
              </w:rPr>
              <w:t>10.4</w:t>
            </w:r>
          </w:p>
        </w:tc>
        <w:tc>
          <w:tcPr>
            <w:tcW w:w="3960" w:type="dxa"/>
            <w:vAlign w:val="bottom"/>
          </w:tcPr>
          <w:p>
            <w:pPr>
              <w:ind w:left="200"/>
              <w:spacing w:after="0" w:line="200" w:lineRule="exact"/>
              <w:rPr>
                <w:sz w:val="20"/>
                <w:szCs w:val="20"/>
                <w:color w:val="auto"/>
              </w:rPr>
            </w:pPr>
            <w:r>
              <w:rPr>
                <w:rFonts w:ascii="Arial" w:cs="Arial" w:eastAsia="Arial" w:hAnsi="Arial"/>
                <w:sz w:val="20"/>
                <w:szCs w:val="20"/>
                <w:color w:val="auto"/>
                <w:w w:val="96"/>
              </w:rPr>
              <w:t>2023, by and between Verona Pharma, Inc.</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8-K</w:t>
            </w:r>
          </w:p>
        </w:tc>
        <w:tc>
          <w:tcPr>
            <w:tcW w:w="1300" w:type="dxa"/>
            <w:vAlign w:val="bottom"/>
            <w:vMerge w:val="restart"/>
          </w:tcPr>
          <w:p>
            <w:pPr>
              <w:jc w:val="right"/>
              <w:ind w:right="160"/>
              <w:spacing w:after="0"/>
              <w:rPr>
                <w:sz w:val="20"/>
                <w:szCs w:val="20"/>
                <w:color w:val="auto"/>
              </w:rPr>
            </w:pPr>
            <w:r>
              <w:rPr>
                <w:rFonts w:ascii="Arial" w:cs="Arial" w:eastAsia="Arial" w:hAnsi="Arial"/>
                <w:sz w:val="20"/>
                <w:szCs w:val="20"/>
                <w:color w:val="auto"/>
              </w:rPr>
              <w:t>001-38067</w:t>
            </w:r>
          </w:p>
        </w:tc>
        <w:tc>
          <w:tcPr>
            <w:tcW w:w="940" w:type="dxa"/>
            <w:vAlign w:val="bottom"/>
            <w:vMerge w:val="restart"/>
          </w:tcPr>
          <w:p>
            <w:pPr>
              <w:jc w:val="right"/>
              <w:ind w:right="40"/>
              <w:spacing w:after="0"/>
              <w:rPr>
                <w:sz w:val="20"/>
                <w:szCs w:val="20"/>
                <w:color w:val="auto"/>
              </w:rPr>
            </w:pPr>
            <w:r>
              <w:rPr>
                <w:rFonts w:ascii="Arial" w:cs="Arial" w:eastAsia="Arial" w:hAnsi="Arial"/>
                <w:sz w:val="20"/>
                <w:szCs w:val="20"/>
                <w:color w:val="auto"/>
              </w:rPr>
              <w:t>10.1</w:t>
            </w:r>
          </w:p>
        </w:tc>
        <w:tc>
          <w:tcPr>
            <w:tcW w:w="1480" w:type="dxa"/>
            <w:vAlign w:val="bottom"/>
            <w:vMerge w:val="restart"/>
          </w:tcPr>
          <w:p>
            <w:pPr>
              <w:jc w:val="right"/>
              <w:ind w:right="480"/>
              <w:spacing w:after="0"/>
              <w:rPr>
                <w:sz w:val="20"/>
                <w:szCs w:val="20"/>
                <w:color w:val="auto"/>
              </w:rPr>
            </w:pPr>
            <w:r>
              <w:rPr>
                <w:rFonts w:ascii="Arial" w:cs="Arial" w:eastAsia="Arial" w:hAnsi="Arial"/>
                <w:sz w:val="20"/>
                <w:szCs w:val="20"/>
                <w:color w:val="auto"/>
              </w:rPr>
              <w:t>9/1/2023</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rPr>
              <w:t>and insightsoftware, LLC</w:t>
            </w:r>
          </w:p>
        </w:tc>
        <w:tc>
          <w:tcPr>
            <w:tcW w:w="64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20" w:type="dxa"/>
            <w:vAlign w:val="bottom"/>
          </w:tcPr>
          <w:p>
            <w:pPr>
              <w:spacing w:after="0"/>
              <w:rPr>
                <w:sz w:val="20"/>
                <w:szCs w:val="20"/>
                <w:color w:val="auto"/>
              </w:rPr>
            </w:pPr>
            <w:r>
              <w:rPr>
                <w:rFonts w:ascii="Arial" w:cs="Arial" w:eastAsia="Arial" w:hAnsi="Arial"/>
                <w:sz w:val="20"/>
                <w:szCs w:val="20"/>
                <w:color w:val="auto"/>
              </w:rPr>
              <w:t>10.5#</w:t>
            </w:r>
          </w:p>
        </w:tc>
        <w:tc>
          <w:tcPr>
            <w:tcW w:w="3960" w:type="dxa"/>
            <w:vAlign w:val="bottom"/>
          </w:tcPr>
          <w:p>
            <w:pPr>
              <w:ind w:left="200"/>
              <w:spacing w:after="0"/>
              <w:rPr>
                <w:sz w:val="20"/>
                <w:szCs w:val="20"/>
                <w:color w:val="auto"/>
              </w:rPr>
            </w:pPr>
            <w:r>
              <w:rPr>
                <w:rFonts w:ascii="Arial" w:cs="Arial" w:eastAsia="Arial" w:hAnsi="Arial"/>
                <w:sz w:val="20"/>
                <w:szCs w:val="20"/>
                <w:color w:val="auto"/>
              </w:rPr>
              <w:t>EMI Option Scheme</w:t>
            </w:r>
          </w:p>
        </w:tc>
        <w:tc>
          <w:tcPr>
            <w:tcW w:w="640" w:type="dxa"/>
            <w:vAlign w:val="bottom"/>
          </w:tcPr>
          <w:p>
            <w:pPr>
              <w:jc w:val="right"/>
              <w:spacing w:after="0"/>
              <w:rPr>
                <w:sz w:val="20"/>
                <w:szCs w:val="20"/>
                <w:color w:val="auto"/>
              </w:rPr>
            </w:pPr>
            <w:r>
              <w:rPr>
                <w:rFonts w:ascii="Arial" w:cs="Arial" w:eastAsia="Arial" w:hAnsi="Arial"/>
                <w:sz w:val="20"/>
                <w:szCs w:val="20"/>
                <w:color w:val="auto"/>
              </w:rPr>
              <w:t>F-1</w:t>
            </w:r>
          </w:p>
        </w:tc>
        <w:tc>
          <w:tcPr>
            <w:tcW w:w="1300" w:type="dxa"/>
            <w:vAlign w:val="bottom"/>
          </w:tcPr>
          <w:p>
            <w:pPr>
              <w:jc w:val="right"/>
              <w:ind w:right="160"/>
              <w:spacing w:after="0"/>
              <w:rPr>
                <w:sz w:val="20"/>
                <w:szCs w:val="20"/>
                <w:color w:val="auto"/>
              </w:rPr>
            </w:pPr>
            <w:r>
              <w:rPr>
                <w:rFonts w:ascii="Arial" w:cs="Arial" w:eastAsia="Arial" w:hAnsi="Arial"/>
                <w:sz w:val="20"/>
                <w:szCs w:val="20"/>
                <w:color w:val="auto"/>
                <w:w w:val="95"/>
              </w:rPr>
              <w:t>333-217124</w:t>
            </w:r>
          </w:p>
        </w:tc>
        <w:tc>
          <w:tcPr>
            <w:tcW w:w="940" w:type="dxa"/>
            <w:vAlign w:val="bottom"/>
          </w:tcPr>
          <w:p>
            <w:pPr>
              <w:jc w:val="right"/>
              <w:ind w:right="40"/>
              <w:spacing w:after="0"/>
              <w:rPr>
                <w:sz w:val="20"/>
                <w:szCs w:val="20"/>
                <w:color w:val="auto"/>
              </w:rPr>
            </w:pPr>
            <w:r>
              <w:rPr>
                <w:rFonts w:ascii="Arial" w:cs="Arial" w:eastAsia="Arial" w:hAnsi="Arial"/>
                <w:sz w:val="20"/>
                <w:szCs w:val="20"/>
                <w:color w:val="auto"/>
              </w:rPr>
              <w:t>10.4</w:t>
            </w:r>
          </w:p>
        </w:tc>
        <w:tc>
          <w:tcPr>
            <w:tcW w:w="1480" w:type="dxa"/>
            <w:vAlign w:val="bottom"/>
          </w:tcPr>
          <w:p>
            <w:pPr>
              <w:jc w:val="right"/>
              <w:ind w:right="480"/>
              <w:spacing w:after="0"/>
              <w:rPr>
                <w:sz w:val="20"/>
                <w:szCs w:val="20"/>
                <w:color w:val="auto"/>
              </w:rPr>
            </w:pPr>
            <w:r>
              <w:rPr>
                <w:rFonts w:ascii="Arial" w:cs="Arial" w:eastAsia="Arial" w:hAnsi="Arial"/>
                <w:sz w:val="20"/>
                <w:szCs w:val="20"/>
                <w:color w:val="auto"/>
              </w:rPr>
              <w:t>4/3/2017</w:t>
            </w:r>
          </w:p>
        </w:tc>
        <w:tc>
          <w:tcPr>
            <w:tcW w:w="0" w:type="dxa"/>
            <w:vAlign w:val="bottom"/>
          </w:tcPr>
          <w:p>
            <w:pPr>
              <w:spacing w:after="0"/>
              <w:rPr>
                <w:sz w:val="1"/>
                <w:szCs w:val="1"/>
                <w:color w:val="auto"/>
              </w:rPr>
            </w:pPr>
          </w:p>
        </w:tc>
      </w:tr>
      <w:tr>
        <w:trPr>
          <w:trHeight w:val="205"/>
        </w:trPr>
        <w:tc>
          <w:tcPr>
            <w:tcW w:w="720" w:type="dxa"/>
            <w:vAlign w:val="bottom"/>
            <w:vMerge w:val="restart"/>
          </w:tcPr>
          <w:p>
            <w:pPr>
              <w:spacing w:after="0"/>
              <w:rPr>
                <w:sz w:val="20"/>
                <w:szCs w:val="20"/>
                <w:color w:val="auto"/>
              </w:rPr>
            </w:pPr>
            <w:r>
              <w:rPr>
                <w:rFonts w:ascii="Arial" w:cs="Arial" w:eastAsia="Arial" w:hAnsi="Arial"/>
                <w:sz w:val="20"/>
                <w:szCs w:val="20"/>
                <w:color w:val="auto"/>
              </w:rPr>
              <w:t>10.6#</w:t>
            </w:r>
          </w:p>
        </w:tc>
        <w:tc>
          <w:tcPr>
            <w:tcW w:w="3960" w:type="dxa"/>
            <w:vAlign w:val="bottom"/>
          </w:tcPr>
          <w:p>
            <w:pPr>
              <w:ind w:left="200"/>
              <w:spacing w:after="0" w:line="205" w:lineRule="exact"/>
              <w:rPr>
                <w:sz w:val="20"/>
                <w:szCs w:val="20"/>
                <w:color w:val="auto"/>
              </w:rPr>
            </w:pPr>
            <w:r>
              <w:rPr>
                <w:rFonts w:ascii="Arial" w:cs="Arial" w:eastAsia="Arial" w:hAnsi="Arial"/>
                <w:sz w:val="20"/>
                <w:szCs w:val="20"/>
                <w:color w:val="auto"/>
              </w:rPr>
              <w:t>Unapproved Share Option Scheme, as</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F-1</w:t>
            </w:r>
          </w:p>
        </w:tc>
        <w:tc>
          <w:tcPr>
            <w:tcW w:w="1300" w:type="dxa"/>
            <w:vAlign w:val="bottom"/>
            <w:vMerge w:val="restart"/>
          </w:tcPr>
          <w:p>
            <w:pPr>
              <w:jc w:val="right"/>
              <w:ind w:right="160"/>
              <w:spacing w:after="0"/>
              <w:rPr>
                <w:sz w:val="20"/>
                <w:szCs w:val="20"/>
                <w:color w:val="auto"/>
              </w:rPr>
            </w:pPr>
            <w:r>
              <w:rPr>
                <w:rFonts w:ascii="Arial" w:cs="Arial" w:eastAsia="Arial" w:hAnsi="Arial"/>
                <w:sz w:val="20"/>
                <w:szCs w:val="20"/>
                <w:color w:val="auto"/>
                <w:w w:val="95"/>
              </w:rPr>
              <w:t>333-217124</w:t>
            </w:r>
          </w:p>
        </w:tc>
        <w:tc>
          <w:tcPr>
            <w:tcW w:w="940" w:type="dxa"/>
            <w:vAlign w:val="bottom"/>
            <w:vMerge w:val="restart"/>
          </w:tcPr>
          <w:p>
            <w:pPr>
              <w:jc w:val="right"/>
              <w:ind w:right="20"/>
              <w:spacing w:after="0"/>
              <w:rPr>
                <w:sz w:val="20"/>
                <w:szCs w:val="20"/>
                <w:color w:val="auto"/>
              </w:rPr>
            </w:pPr>
            <w:r>
              <w:rPr>
                <w:rFonts w:ascii="Arial" w:cs="Arial" w:eastAsia="Arial" w:hAnsi="Arial"/>
                <w:sz w:val="20"/>
                <w:szCs w:val="20"/>
                <w:color w:val="auto"/>
              </w:rPr>
              <w:t>10.5</w:t>
            </w:r>
          </w:p>
        </w:tc>
        <w:tc>
          <w:tcPr>
            <w:tcW w:w="1480" w:type="dxa"/>
            <w:vAlign w:val="bottom"/>
            <w:vMerge w:val="restart"/>
          </w:tcPr>
          <w:p>
            <w:pPr>
              <w:jc w:val="right"/>
              <w:ind w:right="480"/>
              <w:spacing w:after="0"/>
              <w:rPr>
                <w:sz w:val="20"/>
                <w:szCs w:val="20"/>
                <w:color w:val="auto"/>
              </w:rPr>
            </w:pPr>
            <w:r>
              <w:rPr>
                <w:rFonts w:ascii="Arial" w:cs="Arial" w:eastAsia="Arial" w:hAnsi="Arial"/>
                <w:sz w:val="20"/>
                <w:szCs w:val="20"/>
                <w:color w:val="auto"/>
              </w:rPr>
              <w:t>4/3/2017</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rPr>
              <w:t>amended</w:t>
            </w:r>
          </w:p>
        </w:tc>
        <w:tc>
          <w:tcPr>
            <w:tcW w:w="64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20" w:type="dxa"/>
            <w:vAlign w:val="bottom"/>
            <w:vMerge w:val="restart"/>
          </w:tcPr>
          <w:p>
            <w:pPr>
              <w:spacing w:after="0"/>
              <w:rPr>
                <w:sz w:val="20"/>
                <w:szCs w:val="20"/>
                <w:color w:val="auto"/>
              </w:rPr>
            </w:pPr>
            <w:r>
              <w:rPr>
                <w:rFonts w:ascii="Arial" w:cs="Arial" w:eastAsia="Arial" w:hAnsi="Arial"/>
                <w:sz w:val="20"/>
                <w:szCs w:val="20"/>
                <w:color w:val="auto"/>
              </w:rPr>
              <w:t>10.7#</w:t>
            </w:r>
          </w:p>
        </w:tc>
        <w:tc>
          <w:tcPr>
            <w:tcW w:w="3960" w:type="dxa"/>
            <w:vAlign w:val="bottom"/>
          </w:tcPr>
          <w:p>
            <w:pPr>
              <w:ind w:left="200"/>
              <w:spacing w:after="0" w:line="205" w:lineRule="exact"/>
              <w:rPr>
                <w:sz w:val="20"/>
                <w:szCs w:val="20"/>
                <w:color w:val="auto"/>
              </w:rPr>
            </w:pPr>
            <w:r>
              <w:rPr>
                <w:rFonts w:ascii="Arial" w:cs="Arial" w:eastAsia="Arial" w:hAnsi="Arial"/>
                <w:sz w:val="20"/>
                <w:szCs w:val="20"/>
                <w:color w:val="auto"/>
                <w:w w:val="99"/>
              </w:rPr>
              <w:t>Verona Pharma plc Second Amended and</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8-K</w:t>
            </w:r>
          </w:p>
        </w:tc>
        <w:tc>
          <w:tcPr>
            <w:tcW w:w="1300" w:type="dxa"/>
            <w:vAlign w:val="bottom"/>
            <w:vMerge w:val="restart"/>
          </w:tcPr>
          <w:p>
            <w:pPr>
              <w:jc w:val="right"/>
              <w:ind w:right="160"/>
              <w:spacing w:after="0"/>
              <w:rPr>
                <w:sz w:val="20"/>
                <w:szCs w:val="20"/>
                <w:color w:val="auto"/>
              </w:rPr>
            </w:pPr>
            <w:r>
              <w:rPr>
                <w:rFonts w:ascii="Arial" w:cs="Arial" w:eastAsia="Arial" w:hAnsi="Arial"/>
                <w:sz w:val="20"/>
                <w:szCs w:val="20"/>
                <w:color w:val="auto"/>
              </w:rPr>
              <w:t>001-38067</w:t>
            </w:r>
          </w:p>
        </w:tc>
        <w:tc>
          <w:tcPr>
            <w:tcW w:w="940" w:type="dxa"/>
            <w:vAlign w:val="bottom"/>
            <w:vMerge w:val="restart"/>
          </w:tcPr>
          <w:p>
            <w:pPr>
              <w:jc w:val="right"/>
              <w:ind w:right="40"/>
              <w:spacing w:after="0"/>
              <w:rPr>
                <w:sz w:val="20"/>
                <w:szCs w:val="20"/>
                <w:color w:val="auto"/>
              </w:rPr>
            </w:pPr>
            <w:r>
              <w:rPr>
                <w:rFonts w:ascii="Arial" w:cs="Arial" w:eastAsia="Arial" w:hAnsi="Arial"/>
                <w:sz w:val="20"/>
                <w:szCs w:val="20"/>
                <w:color w:val="auto"/>
              </w:rPr>
              <w:t>10.1</w:t>
            </w:r>
          </w:p>
        </w:tc>
        <w:tc>
          <w:tcPr>
            <w:tcW w:w="1480" w:type="dxa"/>
            <w:vAlign w:val="bottom"/>
            <w:vMerge w:val="restart"/>
          </w:tcPr>
          <w:p>
            <w:pPr>
              <w:jc w:val="right"/>
              <w:ind w:right="480"/>
              <w:spacing w:after="0"/>
              <w:rPr>
                <w:sz w:val="20"/>
                <w:szCs w:val="20"/>
                <w:color w:val="auto"/>
              </w:rPr>
            </w:pPr>
            <w:r>
              <w:rPr>
                <w:rFonts w:ascii="Arial" w:cs="Arial" w:eastAsia="Arial" w:hAnsi="Arial"/>
                <w:sz w:val="20"/>
                <w:szCs w:val="20"/>
                <w:color w:val="auto"/>
              </w:rPr>
              <w:t>5/1/2023</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rPr>
              <w:t>Restated 2017 Incentive Award Plan</w:t>
            </w:r>
          </w:p>
        </w:tc>
        <w:tc>
          <w:tcPr>
            <w:tcW w:w="64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3960" w:type="dxa"/>
            <w:vAlign w:val="bottom"/>
          </w:tcPr>
          <w:p>
            <w:pPr>
              <w:ind w:left="200"/>
              <w:spacing w:after="0" w:line="214" w:lineRule="exact"/>
              <w:rPr>
                <w:sz w:val="20"/>
                <w:szCs w:val="20"/>
                <w:color w:val="auto"/>
              </w:rPr>
            </w:pPr>
            <w:r>
              <w:rPr>
                <w:rFonts w:ascii="Arial" w:cs="Arial" w:eastAsia="Arial" w:hAnsi="Arial"/>
                <w:sz w:val="20"/>
                <w:szCs w:val="20"/>
                <w:color w:val="auto"/>
                <w:w w:val="96"/>
              </w:rPr>
              <w:t>Employment Agreement, dated January 28,</w:t>
            </w: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rPr>
                <w:sz w:val="20"/>
                <w:szCs w:val="20"/>
                <w:color w:val="auto"/>
              </w:rPr>
            </w:pPr>
            <w:r>
              <w:rPr>
                <w:rFonts w:ascii="Arial" w:cs="Arial" w:eastAsia="Arial" w:hAnsi="Arial"/>
                <w:sz w:val="20"/>
                <w:szCs w:val="20"/>
                <w:color w:val="auto"/>
              </w:rPr>
              <w:t>10.8#</w:t>
            </w:r>
          </w:p>
        </w:tc>
        <w:tc>
          <w:tcPr>
            <w:tcW w:w="3960" w:type="dxa"/>
            <w:vAlign w:val="bottom"/>
          </w:tcPr>
          <w:p>
            <w:pPr>
              <w:ind w:left="200"/>
              <w:spacing w:after="0" w:line="200" w:lineRule="exact"/>
              <w:rPr>
                <w:sz w:val="20"/>
                <w:szCs w:val="20"/>
                <w:color w:val="auto"/>
              </w:rPr>
            </w:pPr>
            <w:r>
              <w:rPr>
                <w:rFonts w:ascii="Arial" w:cs="Arial" w:eastAsia="Arial" w:hAnsi="Arial"/>
                <w:sz w:val="20"/>
                <w:szCs w:val="20"/>
                <w:color w:val="auto"/>
              </w:rPr>
              <w:t>2020, between Verona Pharma, Inc. and</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20-F</w:t>
            </w:r>
          </w:p>
        </w:tc>
        <w:tc>
          <w:tcPr>
            <w:tcW w:w="1300" w:type="dxa"/>
            <w:vAlign w:val="bottom"/>
            <w:vMerge w:val="restart"/>
          </w:tcPr>
          <w:p>
            <w:pPr>
              <w:jc w:val="right"/>
              <w:ind w:right="160"/>
              <w:spacing w:after="0"/>
              <w:rPr>
                <w:sz w:val="20"/>
                <w:szCs w:val="20"/>
                <w:color w:val="auto"/>
              </w:rPr>
            </w:pPr>
            <w:r>
              <w:rPr>
                <w:rFonts w:ascii="Arial" w:cs="Arial" w:eastAsia="Arial" w:hAnsi="Arial"/>
                <w:sz w:val="20"/>
                <w:szCs w:val="20"/>
                <w:color w:val="auto"/>
              </w:rPr>
              <w:t>001-38067</w:t>
            </w:r>
          </w:p>
        </w:tc>
        <w:tc>
          <w:tcPr>
            <w:tcW w:w="940" w:type="dxa"/>
            <w:vAlign w:val="bottom"/>
            <w:vMerge w:val="restart"/>
          </w:tcPr>
          <w:p>
            <w:pPr>
              <w:jc w:val="right"/>
              <w:ind w:right="40"/>
              <w:spacing w:after="0"/>
              <w:rPr>
                <w:sz w:val="20"/>
                <w:szCs w:val="20"/>
                <w:color w:val="auto"/>
              </w:rPr>
            </w:pPr>
            <w:r>
              <w:rPr>
                <w:rFonts w:ascii="Arial" w:cs="Arial" w:eastAsia="Arial" w:hAnsi="Arial"/>
                <w:sz w:val="20"/>
                <w:szCs w:val="20"/>
                <w:color w:val="auto"/>
              </w:rPr>
              <w:t>4.7</w:t>
            </w:r>
          </w:p>
        </w:tc>
        <w:tc>
          <w:tcPr>
            <w:tcW w:w="1480" w:type="dxa"/>
            <w:vAlign w:val="bottom"/>
            <w:vMerge w:val="restart"/>
          </w:tcPr>
          <w:p>
            <w:pPr>
              <w:jc w:val="right"/>
              <w:ind w:right="480"/>
              <w:spacing w:after="0"/>
              <w:rPr>
                <w:sz w:val="20"/>
                <w:szCs w:val="20"/>
                <w:color w:val="auto"/>
              </w:rPr>
            </w:pPr>
            <w:r>
              <w:rPr>
                <w:rFonts w:ascii="Arial" w:cs="Arial" w:eastAsia="Arial" w:hAnsi="Arial"/>
                <w:sz w:val="20"/>
                <w:szCs w:val="20"/>
                <w:color w:val="auto"/>
                <w:w w:val="98"/>
              </w:rPr>
              <w:t>2/27/2020</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rPr>
              <w:t>David Zaccardelli, Pharm. D.</w:t>
            </w:r>
          </w:p>
        </w:tc>
        <w:tc>
          <w:tcPr>
            <w:tcW w:w="64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3960" w:type="dxa"/>
            <w:vAlign w:val="bottom"/>
          </w:tcPr>
          <w:p>
            <w:pPr>
              <w:ind w:left="200"/>
              <w:spacing w:after="0" w:line="214" w:lineRule="exact"/>
              <w:rPr>
                <w:sz w:val="20"/>
                <w:szCs w:val="20"/>
                <w:color w:val="auto"/>
              </w:rPr>
            </w:pPr>
            <w:r>
              <w:rPr>
                <w:rFonts w:ascii="Arial" w:cs="Arial" w:eastAsia="Arial" w:hAnsi="Arial"/>
                <w:sz w:val="20"/>
                <w:szCs w:val="20"/>
                <w:color w:val="auto"/>
              </w:rPr>
              <w:t>Employment Agreement, dated December</w:t>
            </w: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rPr>
                <w:sz w:val="20"/>
                <w:szCs w:val="20"/>
                <w:color w:val="auto"/>
              </w:rPr>
            </w:pPr>
            <w:r>
              <w:rPr>
                <w:rFonts w:ascii="Arial" w:cs="Arial" w:eastAsia="Arial" w:hAnsi="Arial"/>
                <w:sz w:val="20"/>
                <w:szCs w:val="20"/>
                <w:color w:val="auto"/>
              </w:rPr>
              <w:t>10.9#</w:t>
            </w:r>
          </w:p>
        </w:tc>
        <w:tc>
          <w:tcPr>
            <w:tcW w:w="3960" w:type="dxa"/>
            <w:vAlign w:val="bottom"/>
          </w:tcPr>
          <w:p>
            <w:pPr>
              <w:ind w:left="200"/>
              <w:spacing w:after="0" w:line="200" w:lineRule="exact"/>
              <w:rPr>
                <w:sz w:val="20"/>
                <w:szCs w:val="20"/>
                <w:color w:val="auto"/>
              </w:rPr>
            </w:pPr>
            <w:r>
              <w:rPr>
                <w:rFonts w:ascii="Arial" w:cs="Arial" w:eastAsia="Arial" w:hAnsi="Arial"/>
                <w:sz w:val="20"/>
                <w:szCs w:val="20"/>
                <w:color w:val="auto"/>
                <w:w w:val="98"/>
              </w:rPr>
              <w:t>21, 2019, between Verona Pharma plc and</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20-F</w:t>
            </w:r>
          </w:p>
        </w:tc>
        <w:tc>
          <w:tcPr>
            <w:tcW w:w="1300" w:type="dxa"/>
            <w:vAlign w:val="bottom"/>
            <w:vMerge w:val="restart"/>
          </w:tcPr>
          <w:p>
            <w:pPr>
              <w:jc w:val="right"/>
              <w:ind w:right="160"/>
              <w:spacing w:after="0"/>
              <w:rPr>
                <w:sz w:val="20"/>
                <w:szCs w:val="20"/>
                <w:color w:val="auto"/>
              </w:rPr>
            </w:pPr>
            <w:r>
              <w:rPr>
                <w:rFonts w:ascii="Arial" w:cs="Arial" w:eastAsia="Arial" w:hAnsi="Arial"/>
                <w:sz w:val="20"/>
                <w:szCs w:val="20"/>
                <w:color w:val="auto"/>
              </w:rPr>
              <w:t>001-38067</w:t>
            </w:r>
          </w:p>
        </w:tc>
        <w:tc>
          <w:tcPr>
            <w:tcW w:w="940" w:type="dxa"/>
            <w:vAlign w:val="bottom"/>
            <w:vMerge w:val="restart"/>
          </w:tcPr>
          <w:p>
            <w:pPr>
              <w:jc w:val="right"/>
              <w:ind w:right="40"/>
              <w:spacing w:after="0"/>
              <w:rPr>
                <w:sz w:val="20"/>
                <w:szCs w:val="20"/>
                <w:color w:val="auto"/>
              </w:rPr>
            </w:pPr>
            <w:r>
              <w:rPr>
                <w:rFonts w:ascii="Arial" w:cs="Arial" w:eastAsia="Arial" w:hAnsi="Arial"/>
                <w:sz w:val="20"/>
                <w:szCs w:val="20"/>
                <w:color w:val="auto"/>
              </w:rPr>
              <w:t>4.8</w:t>
            </w:r>
          </w:p>
        </w:tc>
        <w:tc>
          <w:tcPr>
            <w:tcW w:w="1480" w:type="dxa"/>
            <w:vAlign w:val="bottom"/>
            <w:vMerge w:val="restart"/>
          </w:tcPr>
          <w:p>
            <w:pPr>
              <w:jc w:val="right"/>
              <w:ind w:right="480"/>
              <w:spacing w:after="0"/>
              <w:rPr>
                <w:sz w:val="20"/>
                <w:szCs w:val="20"/>
                <w:color w:val="auto"/>
              </w:rPr>
            </w:pPr>
            <w:r>
              <w:rPr>
                <w:rFonts w:ascii="Arial" w:cs="Arial" w:eastAsia="Arial" w:hAnsi="Arial"/>
                <w:sz w:val="20"/>
                <w:szCs w:val="20"/>
                <w:color w:val="auto"/>
                <w:w w:val="98"/>
              </w:rPr>
              <w:t>3/19/2019</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rPr>
              <w:t>Kathleen Rickard</w:t>
            </w:r>
          </w:p>
        </w:tc>
        <w:tc>
          <w:tcPr>
            <w:tcW w:w="64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3960" w:type="dxa"/>
            <w:vAlign w:val="bottom"/>
          </w:tcPr>
          <w:p>
            <w:pPr>
              <w:ind w:left="200"/>
              <w:spacing w:after="0" w:line="214" w:lineRule="exact"/>
              <w:rPr>
                <w:sz w:val="20"/>
                <w:szCs w:val="20"/>
                <w:color w:val="auto"/>
              </w:rPr>
            </w:pPr>
            <w:r>
              <w:rPr>
                <w:rFonts w:ascii="Arial" w:cs="Arial" w:eastAsia="Arial" w:hAnsi="Arial"/>
                <w:sz w:val="20"/>
                <w:szCs w:val="20"/>
                <w:color w:val="auto"/>
              </w:rPr>
              <w:t>Employment Agreement, dated March 1,</w:t>
            </w: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rPr>
                <w:sz w:val="20"/>
                <w:szCs w:val="20"/>
                <w:color w:val="auto"/>
              </w:rPr>
            </w:pPr>
            <w:r>
              <w:rPr>
                <w:rFonts w:ascii="Arial" w:cs="Arial" w:eastAsia="Arial" w:hAnsi="Arial"/>
                <w:sz w:val="20"/>
                <w:szCs w:val="20"/>
                <w:color w:val="auto"/>
              </w:rPr>
              <w:t>10.10#</w:t>
            </w:r>
          </w:p>
        </w:tc>
        <w:tc>
          <w:tcPr>
            <w:tcW w:w="3960" w:type="dxa"/>
            <w:vAlign w:val="bottom"/>
          </w:tcPr>
          <w:p>
            <w:pPr>
              <w:ind w:left="200"/>
              <w:spacing w:after="0" w:line="200" w:lineRule="exact"/>
              <w:rPr>
                <w:sz w:val="20"/>
                <w:szCs w:val="20"/>
                <w:color w:val="auto"/>
              </w:rPr>
            </w:pPr>
            <w:r>
              <w:rPr>
                <w:rFonts w:ascii="Arial" w:cs="Arial" w:eastAsia="Arial" w:hAnsi="Arial"/>
                <w:sz w:val="20"/>
                <w:szCs w:val="20"/>
                <w:color w:val="auto"/>
              </w:rPr>
              <w:t>2024, between Verona Pharma plc and</w:t>
            </w: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rPr>
              <w:t>Andrew Fisher</w:t>
            </w:r>
          </w:p>
        </w:tc>
        <w:tc>
          <w:tcPr>
            <w:tcW w:w="6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3960" w:type="dxa"/>
            <w:vAlign w:val="bottom"/>
          </w:tcPr>
          <w:p>
            <w:pPr>
              <w:ind w:left="200"/>
              <w:spacing w:after="0" w:line="214" w:lineRule="exact"/>
              <w:rPr>
                <w:sz w:val="20"/>
                <w:szCs w:val="20"/>
                <w:color w:val="auto"/>
              </w:rPr>
            </w:pPr>
            <w:r>
              <w:rPr>
                <w:rFonts w:ascii="Arial" w:cs="Arial" w:eastAsia="Arial" w:hAnsi="Arial"/>
                <w:sz w:val="20"/>
                <w:szCs w:val="20"/>
                <w:color w:val="auto"/>
                <w:w w:val="97"/>
              </w:rPr>
              <w:t>Employment Agreement, dated February 1,</w:t>
            </w: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rPr>
                <w:sz w:val="20"/>
                <w:szCs w:val="20"/>
                <w:color w:val="auto"/>
              </w:rPr>
            </w:pPr>
            <w:r>
              <w:rPr>
                <w:rFonts w:ascii="Arial" w:cs="Arial" w:eastAsia="Arial" w:hAnsi="Arial"/>
                <w:sz w:val="20"/>
                <w:szCs w:val="20"/>
                <w:color w:val="auto"/>
              </w:rPr>
              <w:t>10.11#</w:t>
            </w:r>
          </w:p>
        </w:tc>
        <w:tc>
          <w:tcPr>
            <w:tcW w:w="3960" w:type="dxa"/>
            <w:vAlign w:val="bottom"/>
          </w:tcPr>
          <w:p>
            <w:pPr>
              <w:ind w:left="200"/>
              <w:spacing w:after="0" w:line="200" w:lineRule="exact"/>
              <w:rPr>
                <w:sz w:val="20"/>
                <w:szCs w:val="20"/>
                <w:color w:val="auto"/>
              </w:rPr>
            </w:pPr>
            <w:r>
              <w:rPr>
                <w:rFonts w:ascii="Arial" w:cs="Arial" w:eastAsia="Arial" w:hAnsi="Arial"/>
                <w:sz w:val="20"/>
                <w:szCs w:val="20"/>
                <w:color w:val="auto"/>
              </w:rPr>
              <w:t>2020, between Verona Pharma, Inc. and</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F-1</w:t>
            </w:r>
          </w:p>
        </w:tc>
        <w:tc>
          <w:tcPr>
            <w:tcW w:w="1300" w:type="dxa"/>
            <w:vAlign w:val="bottom"/>
            <w:vMerge w:val="restart"/>
          </w:tcPr>
          <w:p>
            <w:pPr>
              <w:jc w:val="right"/>
              <w:ind w:right="160"/>
              <w:spacing w:after="0"/>
              <w:rPr>
                <w:sz w:val="20"/>
                <w:szCs w:val="20"/>
                <w:color w:val="auto"/>
              </w:rPr>
            </w:pPr>
            <w:r>
              <w:rPr>
                <w:rFonts w:ascii="Arial" w:cs="Arial" w:eastAsia="Arial" w:hAnsi="Arial"/>
                <w:sz w:val="20"/>
                <w:szCs w:val="20"/>
                <w:color w:val="auto"/>
                <w:w w:val="95"/>
              </w:rPr>
              <w:t>333-247928</w:t>
            </w:r>
          </w:p>
        </w:tc>
        <w:tc>
          <w:tcPr>
            <w:tcW w:w="940" w:type="dxa"/>
            <w:vAlign w:val="bottom"/>
            <w:vMerge w:val="restart"/>
          </w:tcPr>
          <w:p>
            <w:pPr>
              <w:jc w:val="right"/>
              <w:ind w:right="40"/>
              <w:spacing w:after="0"/>
              <w:rPr>
                <w:sz w:val="20"/>
                <w:szCs w:val="20"/>
                <w:color w:val="auto"/>
              </w:rPr>
            </w:pPr>
            <w:r>
              <w:rPr>
                <w:rFonts w:ascii="Arial" w:cs="Arial" w:eastAsia="Arial" w:hAnsi="Arial"/>
                <w:sz w:val="20"/>
                <w:szCs w:val="20"/>
                <w:color w:val="auto"/>
              </w:rPr>
              <w:t>10.12</w:t>
            </w:r>
          </w:p>
        </w:tc>
        <w:tc>
          <w:tcPr>
            <w:tcW w:w="1480" w:type="dxa"/>
            <w:vAlign w:val="bottom"/>
            <w:vMerge w:val="restart"/>
          </w:tcPr>
          <w:p>
            <w:pPr>
              <w:jc w:val="right"/>
              <w:ind w:right="480"/>
              <w:spacing w:after="0"/>
              <w:rPr>
                <w:sz w:val="20"/>
                <w:szCs w:val="20"/>
                <w:color w:val="auto"/>
              </w:rPr>
            </w:pPr>
            <w:r>
              <w:rPr>
                <w:rFonts w:ascii="Arial" w:cs="Arial" w:eastAsia="Arial" w:hAnsi="Arial"/>
                <w:sz w:val="20"/>
                <w:szCs w:val="20"/>
                <w:color w:val="auto"/>
                <w:w w:val="98"/>
              </w:rPr>
              <w:t>8/17/2020</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rPr>
              <w:t>Mark Hahn</w:t>
            </w:r>
          </w:p>
        </w:tc>
        <w:tc>
          <w:tcPr>
            <w:tcW w:w="64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20" w:type="dxa"/>
            <w:vAlign w:val="bottom"/>
            <w:vMerge w:val="restart"/>
          </w:tcPr>
          <w:p>
            <w:pPr>
              <w:spacing w:after="0"/>
              <w:rPr>
                <w:sz w:val="20"/>
                <w:szCs w:val="20"/>
                <w:color w:val="auto"/>
              </w:rPr>
            </w:pPr>
            <w:r>
              <w:rPr>
                <w:rFonts w:ascii="Arial" w:cs="Arial" w:eastAsia="Arial" w:hAnsi="Arial"/>
                <w:sz w:val="20"/>
                <w:szCs w:val="20"/>
                <w:color w:val="auto"/>
              </w:rPr>
              <w:t>10.12#</w:t>
            </w:r>
          </w:p>
        </w:tc>
        <w:tc>
          <w:tcPr>
            <w:tcW w:w="3960" w:type="dxa"/>
            <w:vAlign w:val="bottom"/>
          </w:tcPr>
          <w:p>
            <w:pPr>
              <w:ind w:left="200"/>
              <w:spacing w:after="0" w:line="205" w:lineRule="exact"/>
              <w:rPr>
                <w:sz w:val="20"/>
                <w:szCs w:val="20"/>
                <w:color w:val="auto"/>
              </w:rPr>
            </w:pPr>
            <w:r>
              <w:rPr>
                <w:rFonts w:ascii="Arial" w:cs="Arial" w:eastAsia="Arial" w:hAnsi="Arial"/>
                <w:sz w:val="20"/>
                <w:szCs w:val="20"/>
                <w:color w:val="auto"/>
              </w:rPr>
              <w:t>Form of Indemnification Agreement for</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F-1/A</w:t>
            </w:r>
          </w:p>
        </w:tc>
        <w:tc>
          <w:tcPr>
            <w:tcW w:w="1300" w:type="dxa"/>
            <w:vAlign w:val="bottom"/>
            <w:vMerge w:val="restart"/>
          </w:tcPr>
          <w:p>
            <w:pPr>
              <w:jc w:val="right"/>
              <w:ind w:right="160"/>
              <w:spacing w:after="0"/>
              <w:rPr>
                <w:sz w:val="20"/>
                <w:szCs w:val="20"/>
                <w:color w:val="auto"/>
              </w:rPr>
            </w:pPr>
            <w:r>
              <w:rPr>
                <w:rFonts w:ascii="Arial" w:cs="Arial" w:eastAsia="Arial" w:hAnsi="Arial"/>
                <w:sz w:val="20"/>
                <w:szCs w:val="20"/>
                <w:color w:val="auto"/>
                <w:w w:val="95"/>
              </w:rPr>
              <w:t>333-217124</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10.11.1</w:t>
            </w:r>
          </w:p>
        </w:tc>
        <w:tc>
          <w:tcPr>
            <w:tcW w:w="1480" w:type="dxa"/>
            <w:vAlign w:val="bottom"/>
            <w:vMerge w:val="restart"/>
          </w:tcPr>
          <w:p>
            <w:pPr>
              <w:jc w:val="right"/>
              <w:ind w:right="480"/>
              <w:spacing w:after="0"/>
              <w:rPr>
                <w:sz w:val="20"/>
                <w:szCs w:val="20"/>
                <w:color w:val="auto"/>
              </w:rPr>
            </w:pPr>
            <w:r>
              <w:rPr>
                <w:rFonts w:ascii="Arial" w:cs="Arial" w:eastAsia="Arial" w:hAnsi="Arial"/>
                <w:sz w:val="20"/>
                <w:szCs w:val="20"/>
                <w:color w:val="auto"/>
                <w:w w:val="98"/>
              </w:rPr>
              <w:t>4/18/2017</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rPr>
              <w:t>board members</w:t>
            </w:r>
          </w:p>
        </w:tc>
        <w:tc>
          <w:tcPr>
            <w:tcW w:w="64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20" w:type="dxa"/>
            <w:vAlign w:val="bottom"/>
            <w:vMerge w:val="restart"/>
          </w:tcPr>
          <w:p>
            <w:pPr>
              <w:spacing w:after="0"/>
              <w:rPr>
                <w:sz w:val="20"/>
                <w:szCs w:val="20"/>
                <w:color w:val="auto"/>
              </w:rPr>
            </w:pPr>
            <w:r>
              <w:rPr>
                <w:rFonts w:ascii="Arial" w:cs="Arial" w:eastAsia="Arial" w:hAnsi="Arial"/>
                <w:sz w:val="20"/>
                <w:szCs w:val="20"/>
                <w:color w:val="auto"/>
              </w:rPr>
              <w:t>10.13#</w:t>
            </w:r>
          </w:p>
        </w:tc>
        <w:tc>
          <w:tcPr>
            <w:tcW w:w="3960" w:type="dxa"/>
            <w:vAlign w:val="bottom"/>
          </w:tcPr>
          <w:p>
            <w:pPr>
              <w:ind w:left="200"/>
              <w:spacing w:after="0" w:line="205" w:lineRule="exact"/>
              <w:rPr>
                <w:sz w:val="20"/>
                <w:szCs w:val="20"/>
                <w:color w:val="auto"/>
              </w:rPr>
            </w:pPr>
            <w:r>
              <w:rPr>
                <w:rFonts w:ascii="Arial" w:cs="Arial" w:eastAsia="Arial" w:hAnsi="Arial"/>
                <w:sz w:val="20"/>
                <w:szCs w:val="20"/>
                <w:color w:val="auto"/>
              </w:rPr>
              <w:t>Form of Indemnification Agreement for</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F-1/A</w:t>
            </w:r>
          </w:p>
        </w:tc>
        <w:tc>
          <w:tcPr>
            <w:tcW w:w="1300" w:type="dxa"/>
            <w:vAlign w:val="bottom"/>
            <w:vMerge w:val="restart"/>
          </w:tcPr>
          <w:p>
            <w:pPr>
              <w:jc w:val="right"/>
              <w:ind w:right="160"/>
              <w:spacing w:after="0"/>
              <w:rPr>
                <w:sz w:val="20"/>
                <w:szCs w:val="20"/>
                <w:color w:val="auto"/>
              </w:rPr>
            </w:pPr>
            <w:r>
              <w:rPr>
                <w:rFonts w:ascii="Arial" w:cs="Arial" w:eastAsia="Arial" w:hAnsi="Arial"/>
                <w:sz w:val="20"/>
                <w:szCs w:val="20"/>
                <w:color w:val="auto"/>
                <w:w w:val="95"/>
              </w:rPr>
              <w:t>333-217124</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10.11.2</w:t>
            </w:r>
          </w:p>
        </w:tc>
        <w:tc>
          <w:tcPr>
            <w:tcW w:w="1480" w:type="dxa"/>
            <w:vAlign w:val="bottom"/>
            <w:vMerge w:val="restart"/>
          </w:tcPr>
          <w:p>
            <w:pPr>
              <w:jc w:val="right"/>
              <w:ind w:right="480"/>
              <w:spacing w:after="0"/>
              <w:rPr>
                <w:sz w:val="20"/>
                <w:szCs w:val="20"/>
                <w:color w:val="auto"/>
              </w:rPr>
            </w:pPr>
            <w:r>
              <w:rPr>
                <w:rFonts w:ascii="Arial" w:cs="Arial" w:eastAsia="Arial" w:hAnsi="Arial"/>
                <w:sz w:val="20"/>
                <w:szCs w:val="20"/>
                <w:color w:val="auto"/>
                <w:w w:val="98"/>
              </w:rPr>
              <w:t>4/18/2017</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rPr>
              <w:t>executive officers</w:t>
            </w:r>
          </w:p>
        </w:tc>
        <w:tc>
          <w:tcPr>
            <w:tcW w:w="64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20" w:type="dxa"/>
            <w:vAlign w:val="bottom"/>
            <w:vMerge w:val="restart"/>
          </w:tcPr>
          <w:p>
            <w:pPr>
              <w:spacing w:after="0"/>
              <w:rPr>
                <w:sz w:val="20"/>
                <w:szCs w:val="20"/>
                <w:color w:val="auto"/>
              </w:rPr>
            </w:pPr>
            <w:r>
              <w:rPr>
                <w:rFonts w:ascii="Arial" w:cs="Arial" w:eastAsia="Arial" w:hAnsi="Arial"/>
                <w:sz w:val="20"/>
                <w:szCs w:val="20"/>
                <w:color w:val="auto"/>
              </w:rPr>
              <w:t>10.14#</w:t>
            </w:r>
          </w:p>
        </w:tc>
        <w:tc>
          <w:tcPr>
            <w:tcW w:w="3960" w:type="dxa"/>
            <w:vAlign w:val="bottom"/>
          </w:tcPr>
          <w:p>
            <w:pPr>
              <w:ind w:left="200"/>
              <w:spacing w:after="0" w:line="205" w:lineRule="exact"/>
              <w:rPr>
                <w:sz w:val="20"/>
                <w:szCs w:val="20"/>
                <w:color w:val="auto"/>
              </w:rPr>
            </w:pPr>
            <w:r>
              <w:rPr>
                <w:rFonts w:ascii="Arial" w:cs="Arial" w:eastAsia="Arial" w:hAnsi="Arial"/>
                <w:sz w:val="20"/>
                <w:szCs w:val="20"/>
                <w:color w:val="auto"/>
              </w:rPr>
              <w:t>Employee Change in Control Severance</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8-K</w:t>
            </w:r>
          </w:p>
        </w:tc>
        <w:tc>
          <w:tcPr>
            <w:tcW w:w="1300" w:type="dxa"/>
            <w:vAlign w:val="bottom"/>
            <w:vMerge w:val="restart"/>
          </w:tcPr>
          <w:p>
            <w:pPr>
              <w:jc w:val="right"/>
              <w:ind w:right="160"/>
              <w:spacing w:after="0"/>
              <w:rPr>
                <w:sz w:val="20"/>
                <w:szCs w:val="20"/>
                <w:color w:val="auto"/>
              </w:rPr>
            </w:pPr>
            <w:r>
              <w:rPr>
                <w:rFonts w:ascii="Arial" w:cs="Arial" w:eastAsia="Arial" w:hAnsi="Arial"/>
                <w:sz w:val="20"/>
                <w:szCs w:val="20"/>
                <w:color w:val="auto"/>
              </w:rPr>
              <w:t>001-39067</w:t>
            </w:r>
          </w:p>
        </w:tc>
        <w:tc>
          <w:tcPr>
            <w:tcW w:w="940" w:type="dxa"/>
            <w:vAlign w:val="bottom"/>
            <w:vMerge w:val="restart"/>
          </w:tcPr>
          <w:p>
            <w:pPr>
              <w:jc w:val="right"/>
              <w:ind w:right="20"/>
              <w:spacing w:after="0"/>
              <w:rPr>
                <w:sz w:val="20"/>
                <w:szCs w:val="20"/>
                <w:color w:val="auto"/>
              </w:rPr>
            </w:pPr>
            <w:r>
              <w:rPr>
                <w:rFonts w:ascii="Arial" w:cs="Arial" w:eastAsia="Arial" w:hAnsi="Arial"/>
                <w:sz w:val="20"/>
                <w:szCs w:val="20"/>
                <w:color w:val="auto"/>
              </w:rPr>
              <w:t>10.1</w:t>
            </w:r>
          </w:p>
        </w:tc>
        <w:tc>
          <w:tcPr>
            <w:tcW w:w="1480" w:type="dxa"/>
            <w:vAlign w:val="bottom"/>
            <w:vMerge w:val="restart"/>
          </w:tcPr>
          <w:p>
            <w:pPr>
              <w:jc w:val="right"/>
              <w:ind w:right="480"/>
              <w:spacing w:after="0"/>
              <w:rPr>
                <w:sz w:val="20"/>
                <w:szCs w:val="20"/>
                <w:color w:val="auto"/>
              </w:rPr>
            </w:pPr>
            <w:r>
              <w:rPr>
                <w:rFonts w:ascii="Arial" w:cs="Arial" w:eastAsia="Arial" w:hAnsi="Arial"/>
                <w:sz w:val="20"/>
                <w:szCs w:val="20"/>
                <w:color w:val="auto"/>
                <w:w w:val="98"/>
              </w:rPr>
              <w:t>8/11/2021</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rPr>
              <w:t>Benefit Plan</w:t>
            </w:r>
          </w:p>
        </w:tc>
        <w:tc>
          <w:tcPr>
            <w:tcW w:w="64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20" w:type="dxa"/>
            <w:vAlign w:val="bottom"/>
            <w:vMerge w:val="restart"/>
          </w:tcPr>
          <w:p>
            <w:pPr>
              <w:spacing w:after="0"/>
              <w:rPr>
                <w:sz w:val="20"/>
                <w:szCs w:val="20"/>
                <w:color w:val="auto"/>
              </w:rPr>
            </w:pPr>
            <w:r>
              <w:rPr>
                <w:rFonts w:ascii="Arial" w:cs="Arial" w:eastAsia="Arial" w:hAnsi="Arial"/>
                <w:sz w:val="20"/>
                <w:szCs w:val="20"/>
                <w:color w:val="auto"/>
              </w:rPr>
              <w:t>10.15#</w:t>
            </w:r>
          </w:p>
        </w:tc>
        <w:tc>
          <w:tcPr>
            <w:tcW w:w="3960" w:type="dxa"/>
            <w:vAlign w:val="bottom"/>
          </w:tcPr>
          <w:p>
            <w:pPr>
              <w:ind w:left="200"/>
              <w:spacing w:after="0" w:line="205" w:lineRule="exact"/>
              <w:rPr>
                <w:sz w:val="20"/>
                <w:szCs w:val="20"/>
                <w:color w:val="auto"/>
              </w:rPr>
            </w:pPr>
            <w:r>
              <w:rPr>
                <w:rFonts w:ascii="Arial" w:cs="Arial" w:eastAsia="Arial" w:hAnsi="Arial"/>
                <w:sz w:val="20"/>
                <w:szCs w:val="20"/>
                <w:color w:val="auto"/>
              </w:rPr>
              <w:t>Form of Non-Executive Director letter of</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10-K</w:t>
            </w:r>
          </w:p>
        </w:tc>
        <w:tc>
          <w:tcPr>
            <w:tcW w:w="1300" w:type="dxa"/>
            <w:vAlign w:val="bottom"/>
            <w:vMerge w:val="restart"/>
          </w:tcPr>
          <w:p>
            <w:pPr>
              <w:jc w:val="right"/>
              <w:ind w:right="160"/>
              <w:spacing w:after="0"/>
              <w:rPr>
                <w:sz w:val="20"/>
                <w:szCs w:val="20"/>
                <w:color w:val="auto"/>
              </w:rPr>
            </w:pPr>
            <w:r>
              <w:rPr>
                <w:rFonts w:ascii="Arial" w:cs="Arial" w:eastAsia="Arial" w:hAnsi="Arial"/>
                <w:sz w:val="20"/>
                <w:szCs w:val="20"/>
                <w:color w:val="auto"/>
              </w:rPr>
              <w:t>001-38067</w:t>
            </w:r>
          </w:p>
        </w:tc>
        <w:tc>
          <w:tcPr>
            <w:tcW w:w="940" w:type="dxa"/>
            <w:vAlign w:val="bottom"/>
            <w:vMerge w:val="restart"/>
          </w:tcPr>
          <w:p>
            <w:pPr>
              <w:jc w:val="right"/>
              <w:ind w:right="20"/>
              <w:spacing w:after="0"/>
              <w:rPr>
                <w:sz w:val="20"/>
                <w:szCs w:val="20"/>
                <w:color w:val="auto"/>
              </w:rPr>
            </w:pPr>
            <w:r>
              <w:rPr>
                <w:rFonts w:ascii="Arial" w:cs="Arial" w:eastAsia="Arial" w:hAnsi="Arial"/>
                <w:sz w:val="20"/>
                <w:szCs w:val="20"/>
                <w:color w:val="auto"/>
              </w:rPr>
              <w:t>10.2</w:t>
            </w:r>
          </w:p>
        </w:tc>
        <w:tc>
          <w:tcPr>
            <w:tcW w:w="1480" w:type="dxa"/>
            <w:vAlign w:val="bottom"/>
            <w:vMerge w:val="restart"/>
          </w:tcPr>
          <w:p>
            <w:pPr>
              <w:jc w:val="right"/>
              <w:ind w:right="480"/>
              <w:spacing w:after="0"/>
              <w:rPr>
                <w:sz w:val="20"/>
                <w:szCs w:val="20"/>
                <w:color w:val="auto"/>
              </w:rPr>
            </w:pPr>
            <w:r>
              <w:rPr>
                <w:rFonts w:ascii="Arial" w:cs="Arial" w:eastAsia="Arial" w:hAnsi="Arial"/>
                <w:sz w:val="20"/>
                <w:szCs w:val="20"/>
                <w:color w:val="auto"/>
                <w:w w:val="98"/>
              </w:rPr>
              <w:t>2/25/2021</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20"/>
                <w:szCs w:val="20"/>
                <w:color w:val="auto"/>
              </w:rPr>
              <w:t>appointment</w:t>
            </w:r>
          </w:p>
        </w:tc>
        <w:tc>
          <w:tcPr>
            <w:tcW w:w="64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20" w:top="90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9120"/>
          </w:cols>
          <w:pgMar w:left="1320" w:top="901" w:right="1440" w:bottom="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rPr>
              <w:t>Collaboration and License Agreement,</w:t>
            </w: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w w:val="92"/>
              </w:rPr>
              <w:t>effective as of June 9, 2021, by and between</w:t>
            </w: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w w:val="92"/>
              </w:rPr>
              <w:t>Verona Pharma plc, Nuance Pharma Limited</w:t>
            </w: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10.16†</w:t>
            </w:r>
          </w:p>
        </w:tc>
        <w:tc>
          <w:tcPr>
            <w:tcW w:w="3800" w:type="dxa"/>
            <w:vAlign w:val="bottom"/>
          </w:tcPr>
          <w:p>
            <w:pPr>
              <w:ind w:left="100"/>
              <w:spacing w:after="0"/>
              <w:rPr>
                <w:sz w:val="20"/>
                <w:szCs w:val="20"/>
                <w:color w:val="auto"/>
              </w:rPr>
            </w:pPr>
            <w:r>
              <w:rPr>
                <w:rFonts w:ascii="Arial" w:cs="Arial" w:eastAsia="Arial" w:hAnsi="Arial"/>
                <w:sz w:val="20"/>
                <w:szCs w:val="20"/>
                <w:color w:val="auto"/>
              </w:rPr>
              <w:t>and Nuance (Shanghai) Pharma Co Ltd</w:t>
            </w:r>
          </w:p>
        </w:tc>
        <w:tc>
          <w:tcPr>
            <w:tcW w:w="760" w:type="dxa"/>
            <w:vAlign w:val="bottom"/>
          </w:tcPr>
          <w:p>
            <w:pPr>
              <w:jc w:val="right"/>
              <w:spacing w:after="0"/>
              <w:rPr>
                <w:sz w:val="20"/>
                <w:szCs w:val="20"/>
                <w:color w:val="auto"/>
              </w:rPr>
            </w:pPr>
            <w:r>
              <w:rPr>
                <w:rFonts w:ascii="Arial" w:cs="Arial" w:eastAsia="Arial" w:hAnsi="Arial"/>
                <w:sz w:val="20"/>
                <w:szCs w:val="20"/>
                <w:color w:val="auto"/>
              </w:rPr>
              <w:t>10-Q</w:t>
            </w:r>
          </w:p>
        </w:tc>
        <w:tc>
          <w:tcPr>
            <w:tcW w:w="1300" w:type="dxa"/>
            <w:vAlign w:val="bottom"/>
          </w:tcPr>
          <w:p>
            <w:pPr>
              <w:jc w:val="right"/>
              <w:ind w:right="220"/>
              <w:spacing w:after="0"/>
              <w:rPr>
                <w:sz w:val="20"/>
                <w:szCs w:val="20"/>
                <w:color w:val="auto"/>
              </w:rPr>
            </w:pPr>
            <w:r>
              <w:rPr>
                <w:rFonts w:ascii="Arial" w:cs="Arial" w:eastAsia="Arial" w:hAnsi="Arial"/>
                <w:sz w:val="20"/>
                <w:szCs w:val="20"/>
                <w:color w:val="auto"/>
              </w:rPr>
              <w:t>001-38067</w:t>
            </w:r>
          </w:p>
        </w:tc>
        <w:tc>
          <w:tcPr>
            <w:tcW w:w="820" w:type="dxa"/>
            <w:vAlign w:val="bottom"/>
          </w:tcPr>
          <w:p>
            <w:pPr>
              <w:jc w:val="right"/>
              <w:spacing w:after="0"/>
              <w:rPr>
                <w:sz w:val="20"/>
                <w:szCs w:val="20"/>
                <w:color w:val="auto"/>
              </w:rPr>
            </w:pPr>
            <w:r>
              <w:rPr>
                <w:rFonts w:ascii="Arial" w:cs="Arial" w:eastAsia="Arial" w:hAnsi="Arial"/>
                <w:sz w:val="20"/>
                <w:szCs w:val="20"/>
                <w:color w:val="auto"/>
              </w:rPr>
              <w:t>10.1</w:t>
            </w:r>
          </w:p>
        </w:tc>
        <w:tc>
          <w:tcPr>
            <w:tcW w:w="1580" w:type="dxa"/>
            <w:vAlign w:val="bottom"/>
          </w:tcPr>
          <w:p>
            <w:pPr>
              <w:jc w:val="right"/>
              <w:ind w:right="520"/>
              <w:spacing w:after="0"/>
              <w:rPr>
                <w:sz w:val="20"/>
                <w:szCs w:val="20"/>
                <w:color w:val="auto"/>
              </w:rPr>
            </w:pPr>
            <w:r>
              <w:rPr>
                <w:rFonts w:ascii="Arial" w:cs="Arial" w:eastAsia="Arial" w:hAnsi="Arial"/>
                <w:sz w:val="20"/>
                <w:szCs w:val="20"/>
                <w:color w:val="auto"/>
              </w:rPr>
              <w:t>8/5/2021</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800" w:type="dxa"/>
            <w:vAlign w:val="bottom"/>
          </w:tcPr>
          <w:p>
            <w:pPr>
              <w:ind w:left="100"/>
              <w:spacing w:after="0" w:line="215" w:lineRule="exact"/>
              <w:rPr>
                <w:sz w:val="20"/>
                <w:szCs w:val="20"/>
                <w:color w:val="auto"/>
              </w:rPr>
            </w:pPr>
            <w:r>
              <w:rPr>
                <w:rFonts w:ascii="Arial" w:cs="Arial" w:eastAsia="Arial" w:hAnsi="Arial"/>
                <w:sz w:val="20"/>
                <w:szCs w:val="20"/>
                <w:color w:val="auto"/>
                <w:w w:val="92"/>
              </w:rPr>
              <w:t>Commercial Supply Agreement between The</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20" w:type="dxa"/>
            <w:vAlign w:val="bottom"/>
            <w:vMerge w:val="restart"/>
          </w:tcPr>
          <w:p>
            <w:pPr>
              <w:spacing w:after="0"/>
              <w:rPr>
                <w:sz w:val="20"/>
                <w:szCs w:val="20"/>
                <w:color w:val="auto"/>
              </w:rPr>
            </w:pPr>
            <w:r>
              <w:rPr>
                <w:rFonts w:ascii="Arial" w:cs="Arial" w:eastAsia="Arial" w:hAnsi="Arial"/>
                <w:sz w:val="20"/>
                <w:szCs w:val="20"/>
                <w:color w:val="auto"/>
              </w:rPr>
              <w:t>10.17†</w:t>
            </w:r>
          </w:p>
        </w:tc>
        <w:tc>
          <w:tcPr>
            <w:tcW w:w="3800" w:type="dxa"/>
            <w:vAlign w:val="bottom"/>
          </w:tcPr>
          <w:p>
            <w:pPr>
              <w:ind w:left="100"/>
              <w:spacing w:after="0" w:line="200" w:lineRule="exact"/>
              <w:rPr>
                <w:sz w:val="20"/>
                <w:szCs w:val="20"/>
                <w:color w:val="auto"/>
              </w:rPr>
            </w:pPr>
            <w:r>
              <w:rPr>
                <w:rFonts w:ascii="Arial" w:cs="Arial" w:eastAsia="Arial" w:hAnsi="Arial"/>
                <w:sz w:val="20"/>
                <w:szCs w:val="20"/>
                <w:color w:val="auto"/>
                <w:w w:val="90"/>
              </w:rPr>
              <w:t>Ritedose Corporation and Verona Pharma plc</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10-K</w:t>
            </w:r>
          </w:p>
        </w:tc>
        <w:tc>
          <w:tcPr>
            <w:tcW w:w="1300" w:type="dxa"/>
            <w:vAlign w:val="bottom"/>
            <w:vMerge w:val="restart"/>
          </w:tcPr>
          <w:p>
            <w:pPr>
              <w:jc w:val="right"/>
              <w:ind w:right="220"/>
              <w:spacing w:after="0"/>
              <w:rPr>
                <w:sz w:val="20"/>
                <w:szCs w:val="20"/>
                <w:color w:val="auto"/>
              </w:rPr>
            </w:pPr>
            <w:r>
              <w:rPr>
                <w:rFonts w:ascii="Arial" w:cs="Arial" w:eastAsia="Arial" w:hAnsi="Arial"/>
                <w:sz w:val="20"/>
                <w:szCs w:val="20"/>
                <w:color w:val="auto"/>
              </w:rPr>
              <w:t>001-38067</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10.23</w:t>
            </w:r>
          </w:p>
        </w:tc>
        <w:tc>
          <w:tcPr>
            <w:tcW w:w="1580" w:type="dxa"/>
            <w:vAlign w:val="bottom"/>
            <w:vMerge w:val="restart"/>
          </w:tcPr>
          <w:p>
            <w:pPr>
              <w:jc w:val="right"/>
              <w:ind w:right="520"/>
              <w:spacing w:after="0"/>
              <w:rPr>
                <w:sz w:val="20"/>
                <w:szCs w:val="20"/>
                <w:color w:val="auto"/>
              </w:rPr>
            </w:pPr>
            <w:r>
              <w:rPr>
                <w:rFonts w:ascii="Arial" w:cs="Arial" w:eastAsia="Arial" w:hAnsi="Arial"/>
                <w:sz w:val="20"/>
                <w:szCs w:val="20"/>
                <w:color w:val="auto"/>
              </w:rPr>
              <w:t>2/29/2024</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rPr>
              <w:t>dated December 20, 2023</w:t>
            </w:r>
          </w:p>
        </w:tc>
        <w:tc>
          <w:tcPr>
            <w:tcW w:w="76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3800" w:type="dxa"/>
            <w:vAlign w:val="bottom"/>
          </w:tcPr>
          <w:p>
            <w:pPr>
              <w:ind w:left="100"/>
              <w:spacing w:after="0" w:line="204" w:lineRule="exact"/>
              <w:rPr>
                <w:sz w:val="20"/>
                <w:szCs w:val="20"/>
                <w:color w:val="auto"/>
              </w:rPr>
            </w:pPr>
            <w:r>
              <w:rPr>
                <w:rFonts w:ascii="Arial" w:cs="Arial" w:eastAsia="Arial" w:hAnsi="Arial"/>
                <w:sz w:val="20"/>
                <w:szCs w:val="20"/>
                <w:color w:val="auto"/>
              </w:rPr>
              <w:t>Revenue Interest Purchase and Sale</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800" w:type="dxa"/>
            <w:vAlign w:val="bottom"/>
          </w:tcPr>
          <w:p>
            <w:pPr>
              <w:ind w:left="100"/>
              <w:spacing w:after="0" w:line="200" w:lineRule="exact"/>
              <w:rPr>
                <w:sz w:val="20"/>
                <w:szCs w:val="20"/>
                <w:color w:val="auto"/>
              </w:rPr>
            </w:pPr>
            <w:r>
              <w:rPr>
                <w:rFonts w:ascii="Arial" w:cs="Arial" w:eastAsia="Arial" w:hAnsi="Arial"/>
                <w:sz w:val="20"/>
                <w:szCs w:val="20"/>
                <w:color w:val="auto"/>
              </w:rPr>
              <w:t>Agreement, dated as of May 9, 2024,</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800" w:type="dxa"/>
            <w:vAlign w:val="bottom"/>
          </w:tcPr>
          <w:p>
            <w:pPr>
              <w:ind w:left="100"/>
              <w:spacing w:after="0" w:line="200" w:lineRule="exact"/>
              <w:rPr>
                <w:sz w:val="20"/>
                <w:szCs w:val="20"/>
                <w:color w:val="auto"/>
              </w:rPr>
            </w:pPr>
            <w:r>
              <w:rPr>
                <w:rFonts w:ascii="Arial" w:cs="Arial" w:eastAsia="Arial" w:hAnsi="Arial"/>
                <w:sz w:val="20"/>
                <w:szCs w:val="20"/>
                <w:color w:val="auto"/>
              </w:rPr>
              <w:t>between Verona Pharma, Inc., Verona</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800" w:type="dxa"/>
            <w:vAlign w:val="bottom"/>
          </w:tcPr>
          <w:p>
            <w:pPr>
              <w:ind w:left="100"/>
              <w:spacing w:after="0" w:line="200" w:lineRule="exact"/>
              <w:rPr>
                <w:sz w:val="20"/>
                <w:szCs w:val="20"/>
                <w:color w:val="auto"/>
              </w:rPr>
            </w:pPr>
            <w:r>
              <w:rPr>
                <w:rFonts w:ascii="Arial" w:cs="Arial" w:eastAsia="Arial" w:hAnsi="Arial"/>
                <w:sz w:val="20"/>
                <w:szCs w:val="20"/>
                <w:color w:val="auto"/>
              </w:rPr>
              <w:t>Pharma plc and Oaktree Fund</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vMerge w:val="restart"/>
          </w:tcPr>
          <w:p>
            <w:pPr>
              <w:spacing w:after="0"/>
              <w:rPr>
                <w:sz w:val="20"/>
                <w:szCs w:val="20"/>
                <w:color w:val="auto"/>
              </w:rPr>
            </w:pPr>
            <w:r>
              <w:rPr>
                <w:rFonts w:ascii="Arial" w:cs="Arial" w:eastAsia="Arial" w:hAnsi="Arial"/>
                <w:sz w:val="20"/>
                <w:szCs w:val="20"/>
                <w:color w:val="auto"/>
              </w:rPr>
              <w:t>10.18†</w:t>
            </w:r>
          </w:p>
        </w:tc>
        <w:tc>
          <w:tcPr>
            <w:tcW w:w="3800" w:type="dxa"/>
            <w:vAlign w:val="bottom"/>
          </w:tcPr>
          <w:p>
            <w:pPr>
              <w:ind w:left="100"/>
              <w:spacing w:after="0" w:line="200" w:lineRule="exact"/>
              <w:rPr>
                <w:sz w:val="20"/>
                <w:szCs w:val="20"/>
                <w:color w:val="auto"/>
              </w:rPr>
            </w:pPr>
            <w:r>
              <w:rPr>
                <w:rFonts w:ascii="Arial" w:cs="Arial" w:eastAsia="Arial" w:hAnsi="Arial"/>
                <w:sz w:val="20"/>
                <w:szCs w:val="20"/>
                <w:color w:val="auto"/>
                <w:w w:val="99"/>
              </w:rPr>
              <w:t>Administration, LLC, as the administrative</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10-Q</w:t>
            </w:r>
          </w:p>
        </w:tc>
        <w:tc>
          <w:tcPr>
            <w:tcW w:w="1300" w:type="dxa"/>
            <w:vAlign w:val="bottom"/>
            <w:vMerge w:val="restart"/>
          </w:tcPr>
          <w:p>
            <w:pPr>
              <w:jc w:val="right"/>
              <w:ind w:right="220"/>
              <w:spacing w:after="0"/>
              <w:rPr>
                <w:sz w:val="20"/>
                <w:szCs w:val="20"/>
                <w:color w:val="auto"/>
              </w:rPr>
            </w:pPr>
            <w:r>
              <w:rPr>
                <w:rFonts w:ascii="Arial" w:cs="Arial" w:eastAsia="Arial" w:hAnsi="Arial"/>
                <w:sz w:val="20"/>
                <w:szCs w:val="20"/>
                <w:color w:val="auto"/>
              </w:rPr>
              <w:t>001-38067</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10.1</w:t>
            </w:r>
          </w:p>
        </w:tc>
        <w:tc>
          <w:tcPr>
            <w:tcW w:w="1580" w:type="dxa"/>
            <w:vAlign w:val="bottom"/>
            <w:vMerge w:val="restart"/>
          </w:tcPr>
          <w:p>
            <w:pPr>
              <w:jc w:val="right"/>
              <w:ind w:right="520"/>
              <w:spacing w:after="0"/>
              <w:rPr>
                <w:sz w:val="20"/>
                <w:szCs w:val="20"/>
                <w:color w:val="auto"/>
              </w:rPr>
            </w:pPr>
            <w:r>
              <w:rPr>
                <w:rFonts w:ascii="Arial" w:cs="Arial" w:eastAsia="Arial" w:hAnsi="Arial"/>
                <w:sz w:val="20"/>
                <w:szCs w:val="20"/>
                <w:color w:val="auto"/>
              </w:rPr>
              <w:t>8/8/2024</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w w:val="92"/>
              </w:rPr>
              <w:t>agent and the other purchasers party thereto</w:t>
            </w:r>
          </w:p>
        </w:tc>
        <w:tc>
          <w:tcPr>
            <w:tcW w:w="76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20" w:type="dxa"/>
            <w:vAlign w:val="bottom"/>
          </w:tcPr>
          <w:p>
            <w:pPr>
              <w:spacing w:after="0"/>
              <w:rPr>
                <w:sz w:val="23"/>
                <w:szCs w:val="23"/>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rPr>
              <w:t>First Amendment to Revenue Interest</w:t>
            </w: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800" w:type="dxa"/>
            <w:vAlign w:val="bottom"/>
          </w:tcPr>
          <w:p>
            <w:pPr>
              <w:ind w:left="100"/>
              <w:spacing w:after="0" w:line="200" w:lineRule="exact"/>
              <w:rPr>
                <w:sz w:val="20"/>
                <w:szCs w:val="20"/>
                <w:color w:val="auto"/>
              </w:rPr>
            </w:pPr>
            <w:r>
              <w:rPr>
                <w:rFonts w:ascii="Arial" w:cs="Arial" w:eastAsia="Arial" w:hAnsi="Arial"/>
                <w:sz w:val="20"/>
                <w:szCs w:val="20"/>
                <w:color w:val="auto"/>
                <w:w w:val="96"/>
              </w:rPr>
              <w:t>Purchase and Sale Agreement, dated as of</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vMerge w:val="restart"/>
          </w:tcPr>
          <w:p>
            <w:pPr>
              <w:spacing w:after="0"/>
              <w:rPr>
                <w:sz w:val="20"/>
                <w:szCs w:val="20"/>
                <w:color w:val="auto"/>
              </w:rPr>
            </w:pPr>
            <w:r>
              <w:rPr>
                <w:rFonts w:ascii="Arial" w:cs="Arial" w:eastAsia="Arial" w:hAnsi="Arial"/>
                <w:sz w:val="20"/>
                <w:szCs w:val="20"/>
                <w:color w:val="auto"/>
              </w:rPr>
              <w:t>10.19†</w:t>
            </w:r>
          </w:p>
        </w:tc>
        <w:tc>
          <w:tcPr>
            <w:tcW w:w="3800" w:type="dxa"/>
            <w:vAlign w:val="bottom"/>
          </w:tcPr>
          <w:p>
            <w:pPr>
              <w:ind w:left="100"/>
              <w:spacing w:after="0" w:line="200" w:lineRule="exact"/>
              <w:rPr>
                <w:sz w:val="20"/>
                <w:szCs w:val="20"/>
                <w:color w:val="auto"/>
              </w:rPr>
            </w:pPr>
            <w:r>
              <w:rPr>
                <w:rFonts w:ascii="Arial" w:cs="Arial" w:eastAsia="Arial" w:hAnsi="Arial"/>
                <w:sz w:val="20"/>
                <w:szCs w:val="20"/>
                <w:color w:val="auto"/>
                <w:w w:val="92"/>
              </w:rPr>
              <w:t>November 7, 2024 between Verona Pharma,</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vMerge w:val="restart"/>
          </w:tcPr>
          <w:p>
            <w:pPr>
              <w:jc w:val="center"/>
              <w:ind w:left="1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w w:val="96"/>
              </w:rPr>
              <w:t>Inc., Verona Pharma plc and Oaktree Fund</w:t>
            </w: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w w:val="93"/>
              </w:rPr>
              <w:t>Credit Agreement and Guaranty, dated as of</w:t>
            </w: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800" w:type="dxa"/>
            <w:vAlign w:val="bottom"/>
          </w:tcPr>
          <w:p>
            <w:pPr>
              <w:ind w:left="100"/>
              <w:spacing w:after="0" w:line="200" w:lineRule="exact"/>
              <w:rPr>
                <w:sz w:val="20"/>
                <w:szCs w:val="20"/>
                <w:color w:val="auto"/>
              </w:rPr>
            </w:pPr>
            <w:r>
              <w:rPr>
                <w:rFonts w:ascii="Arial" w:cs="Arial" w:eastAsia="Arial" w:hAnsi="Arial"/>
                <w:sz w:val="20"/>
                <w:szCs w:val="20"/>
                <w:color w:val="auto"/>
                <w:w w:val="92"/>
              </w:rPr>
              <w:t>May 9, 2024, by and among Verona Pharma,</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800" w:type="dxa"/>
            <w:vAlign w:val="bottom"/>
          </w:tcPr>
          <w:p>
            <w:pPr>
              <w:ind w:left="100"/>
              <w:spacing w:after="0" w:line="200" w:lineRule="exact"/>
              <w:rPr>
                <w:sz w:val="20"/>
                <w:szCs w:val="20"/>
                <w:color w:val="auto"/>
              </w:rPr>
            </w:pPr>
            <w:r>
              <w:rPr>
                <w:rFonts w:ascii="Arial" w:cs="Arial" w:eastAsia="Arial" w:hAnsi="Arial"/>
                <w:sz w:val="20"/>
                <w:szCs w:val="20"/>
                <w:color w:val="auto"/>
              </w:rPr>
              <w:t>Inc., as borrower, Verona Pharma plc, as</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800" w:type="dxa"/>
            <w:vAlign w:val="bottom"/>
          </w:tcPr>
          <w:p>
            <w:pPr>
              <w:ind w:left="100"/>
              <w:spacing w:after="0" w:line="200" w:lineRule="exact"/>
              <w:rPr>
                <w:sz w:val="20"/>
                <w:szCs w:val="20"/>
                <w:color w:val="auto"/>
              </w:rPr>
            </w:pPr>
            <w:r>
              <w:rPr>
                <w:rFonts w:ascii="Arial" w:cs="Arial" w:eastAsia="Arial" w:hAnsi="Arial"/>
                <w:sz w:val="20"/>
                <w:szCs w:val="20"/>
                <w:color w:val="auto"/>
              </w:rPr>
              <w:t>guarantor, Oaktree Fund Administration,</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vMerge w:val="restart"/>
          </w:tcPr>
          <w:p>
            <w:pPr>
              <w:spacing w:after="0"/>
              <w:rPr>
                <w:sz w:val="20"/>
                <w:szCs w:val="20"/>
                <w:color w:val="auto"/>
              </w:rPr>
            </w:pPr>
            <w:r>
              <w:rPr>
                <w:rFonts w:ascii="Arial" w:cs="Arial" w:eastAsia="Arial" w:hAnsi="Arial"/>
                <w:sz w:val="20"/>
                <w:szCs w:val="20"/>
                <w:color w:val="auto"/>
              </w:rPr>
              <w:t>10.20†</w:t>
            </w:r>
          </w:p>
        </w:tc>
        <w:tc>
          <w:tcPr>
            <w:tcW w:w="3800" w:type="dxa"/>
            <w:vAlign w:val="bottom"/>
          </w:tcPr>
          <w:p>
            <w:pPr>
              <w:ind w:left="100"/>
              <w:spacing w:after="0" w:line="200" w:lineRule="exact"/>
              <w:rPr>
                <w:sz w:val="20"/>
                <w:szCs w:val="20"/>
                <w:color w:val="auto"/>
              </w:rPr>
            </w:pPr>
            <w:r>
              <w:rPr>
                <w:rFonts w:ascii="Arial" w:cs="Arial" w:eastAsia="Arial" w:hAnsi="Arial"/>
                <w:sz w:val="20"/>
                <w:szCs w:val="20"/>
                <w:color w:val="auto"/>
                <w:w w:val="92"/>
              </w:rPr>
              <w:t>LLC, as administrative agent and the lenders</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10-Q</w:t>
            </w:r>
          </w:p>
        </w:tc>
        <w:tc>
          <w:tcPr>
            <w:tcW w:w="1300" w:type="dxa"/>
            <w:vAlign w:val="bottom"/>
            <w:vMerge w:val="restart"/>
          </w:tcPr>
          <w:p>
            <w:pPr>
              <w:jc w:val="right"/>
              <w:ind w:right="220"/>
              <w:spacing w:after="0"/>
              <w:rPr>
                <w:sz w:val="20"/>
                <w:szCs w:val="20"/>
                <w:color w:val="auto"/>
              </w:rPr>
            </w:pPr>
            <w:r>
              <w:rPr>
                <w:rFonts w:ascii="Arial" w:cs="Arial" w:eastAsia="Arial" w:hAnsi="Arial"/>
                <w:sz w:val="20"/>
                <w:szCs w:val="20"/>
                <w:color w:val="auto"/>
              </w:rPr>
              <w:t>001-38067</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10.2</w:t>
            </w:r>
          </w:p>
        </w:tc>
        <w:tc>
          <w:tcPr>
            <w:tcW w:w="1580" w:type="dxa"/>
            <w:vAlign w:val="bottom"/>
            <w:vMerge w:val="restart"/>
          </w:tcPr>
          <w:p>
            <w:pPr>
              <w:jc w:val="right"/>
              <w:ind w:right="520"/>
              <w:spacing w:after="0"/>
              <w:rPr>
                <w:sz w:val="20"/>
                <w:szCs w:val="20"/>
                <w:color w:val="auto"/>
              </w:rPr>
            </w:pPr>
            <w:r>
              <w:rPr>
                <w:rFonts w:ascii="Arial" w:cs="Arial" w:eastAsia="Arial" w:hAnsi="Arial"/>
                <w:sz w:val="20"/>
                <w:szCs w:val="20"/>
                <w:color w:val="auto"/>
              </w:rPr>
              <w:t>5/10/2024</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rPr>
              <w:t>party thereto</w:t>
            </w:r>
          </w:p>
        </w:tc>
        <w:tc>
          <w:tcPr>
            <w:tcW w:w="76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820" w:type="dxa"/>
            <w:vAlign w:val="bottom"/>
            <w:vMerge w:val="restart"/>
          </w:tcPr>
          <w:p>
            <w:pPr>
              <w:spacing w:after="0"/>
              <w:rPr>
                <w:sz w:val="20"/>
                <w:szCs w:val="20"/>
                <w:color w:val="auto"/>
              </w:rPr>
            </w:pPr>
            <w:r>
              <w:rPr>
                <w:rFonts w:ascii="Arial" w:cs="Arial" w:eastAsia="Arial" w:hAnsi="Arial"/>
                <w:sz w:val="20"/>
                <w:szCs w:val="20"/>
                <w:color w:val="auto"/>
              </w:rPr>
              <w:t>16.1</w:t>
            </w:r>
          </w:p>
        </w:tc>
        <w:tc>
          <w:tcPr>
            <w:tcW w:w="3800" w:type="dxa"/>
            <w:vAlign w:val="bottom"/>
          </w:tcPr>
          <w:p>
            <w:pPr>
              <w:ind w:left="100"/>
              <w:spacing w:after="0"/>
              <w:rPr>
                <w:sz w:val="20"/>
                <w:szCs w:val="20"/>
                <w:color w:val="auto"/>
              </w:rPr>
            </w:pPr>
            <w:r>
              <w:rPr>
                <w:rFonts w:ascii="Arial" w:cs="Arial" w:eastAsia="Arial" w:hAnsi="Arial"/>
                <w:sz w:val="20"/>
                <w:szCs w:val="20"/>
                <w:color w:val="auto"/>
              </w:rPr>
              <w:t>Letter of PricewaterhouseCoopers LLP,</w:t>
            </w: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8-K</w:t>
            </w:r>
          </w:p>
        </w:tc>
        <w:tc>
          <w:tcPr>
            <w:tcW w:w="1300" w:type="dxa"/>
            <w:vAlign w:val="bottom"/>
            <w:vMerge w:val="restart"/>
          </w:tcPr>
          <w:p>
            <w:pPr>
              <w:jc w:val="right"/>
              <w:ind w:right="220"/>
              <w:spacing w:after="0"/>
              <w:rPr>
                <w:sz w:val="20"/>
                <w:szCs w:val="20"/>
                <w:color w:val="auto"/>
              </w:rPr>
            </w:pPr>
            <w:r>
              <w:rPr>
                <w:rFonts w:ascii="Arial" w:cs="Arial" w:eastAsia="Arial" w:hAnsi="Arial"/>
                <w:sz w:val="20"/>
                <w:szCs w:val="20"/>
                <w:color w:val="auto"/>
              </w:rPr>
              <w:t>001-38067</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16.1</w:t>
            </w:r>
          </w:p>
        </w:tc>
        <w:tc>
          <w:tcPr>
            <w:tcW w:w="1580" w:type="dxa"/>
            <w:vAlign w:val="bottom"/>
            <w:vMerge w:val="restart"/>
          </w:tcPr>
          <w:p>
            <w:pPr>
              <w:jc w:val="right"/>
              <w:ind w:right="520"/>
              <w:spacing w:after="0"/>
              <w:rPr>
                <w:sz w:val="20"/>
                <w:szCs w:val="20"/>
                <w:color w:val="auto"/>
              </w:rPr>
            </w:pPr>
            <w:r>
              <w:rPr>
                <w:rFonts w:ascii="Arial" w:cs="Arial" w:eastAsia="Arial" w:hAnsi="Arial"/>
                <w:sz w:val="20"/>
                <w:szCs w:val="20"/>
                <w:color w:val="auto"/>
                <w:w w:val="93"/>
              </w:rPr>
              <w:t>12/18/2023</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rPr>
              <w:t>dated December 14, 2023.</w:t>
            </w:r>
          </w:p>
        </w:tc>
        <w:tc>
          <w:tcPr>
            <w:tcW w:w="76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74"/>
        </w:trPr>
        <w:tc>
          <w:tcPr>
            <w:tcW w:w="820" w:type="dxa"/>
            <w:vAlign w:val="bottom"/>
          </w:tcPr>
          <w:p>
            <w:pPr>
              <w:spacing w:after="0"/>
              <w:rPr>
                <w:sz w:val="20"/>
                <w:szCs w:val="20"/>
                <w:color w:val="auto"/>
              </w:rPr>
            </w:pPr>
            <w:r>
              <w:rPr>
                <w:rFonts w:ascii="Arial" w:cs="Arial" w:eastAsia="Arial" w:hAnsi="Arial"/>
                <w:sz w:val="20"/>
                <w:szCs w:val="20"/>
                <w:color w:val="auto"/>
              </w:rPr>
              <w:t>19.1</w:t>
            </w:r>
          </w:p>
        </w:tc>
        <w:tc>
          <w:tcPr>
            <w:tcW w:w="3800" w:type="dxa"/>
            <w:vAlign w:val="bottom"/>
          </w:tcPr>
          <w:p>
            <w:pPr>
              <w:ind w:left="100"/>
              <w:spacing w:after="0"/>
              <w:rPr>
                <w:sz w:val="20"/>
                <w:szCs w:val="20"/>
                <w:color w:val="auto"/>
              </w:rPr>
            </w:pPr>
            <w:r>
              <w:rPr>
                <w:rFonts w:ascii="Arial" w:cs="Arial" w:eastAsia="Arial" w:hAnsi="Arial"/>
                <w:sz w:val="20"/>
                <w:szCs w:val="20"/>
                <w:color w:val="auto"/>
              </w:rPr>
              <w:t>Insider Trading Compliance Policy</w:t>
            </w: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jc w:val="center"/>
              <w:ind w:left="1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20"/>
        </w:trPr>
        <w:tc>
          <w:tcPr>
            <w:tcW w:w="820" w:type="dxa"/>
            <w:vAlign w:val="bottom"/>
          </w:tcPr>
          <w:p>
            <w:pPr>
              <w:spacing w:after="0"/>
              <w:rPr>
                <w:sz w:val="20"/>
                <w:szCs w:val="20"/>
                <w:color w:val="auto"/>
              </w:rPr>
            </w:pPr>
            <w:r>
              <w:rPr>
                <w:rFonts w:ascii="Arial" w:cs="Arial" w:eastAsia="Arial" w:hAnsi="Arial"/>
                <w:sz w:val="20"/>
                <w:szCs w:val="20"/>
                <w:color w:val="auto"/>
              </w:rPr>
              <w:t>21.1</w:t>
            </w:r>
          </w:p>
        </w:tc>
        <w:tc>
          <w:tcPr>
            <w:tcW w:w="3800" w:type="dxa"/>
            <w:vAlign w:val="bottom"/>
          </w:tcPr>
          <w:p>
            <w:pPr>
              <w:ind w:left="100"/>
              <w:spacing w:after="0"/>
              <w:rPr>
                <w:sz w:val="20"/>
                <w:szCs w:val="20"/>
                <w:color w:val="auto"/>
              </w:rPr>
            </w:pPr>
            <w:r>
              <w:rPr>
                <w:rFonts w:ascii="Arial" w:cs="Arial" w:eastAsia="Arial" w:hAnsi="Arial"/>
                <w:sz w:val="20"/>
                <w:szCs w:val="20"/>
                <w:color w:val="auto"/>
              </w:rPr>
              <w:t>List of Subsidiaries of Verona Pharma plc</w:t>
            </w:r>
          </w:p>
        </w:tc>
        <w:tc>
          <w:tcPr>
            <w:tcW w:w="760" w:type="dxa"/>
            <w:vAlign w:val="bottom"/>
          </w:tcPr>
          <w:p>
            <w:pPr>
              <w:jc w:val="right"/>
              <w:ind w:right="200"/>
              <w:spacing w:after="0"/>
              <w:rPr>
                <w:sz w:val="20"/>
                <w:szCs w:val="20"/>
                <w:color w:val="auto"/>
              </w:rPr>
            </w:pPr>
            <w:r>
              <w:rPr>
                <w:rFonts w:ascii="Arial" w:cs="Arial" w:eastAsia="Arial" w:hAnsi="Arial"/>
                <w:sz w:val="20"/>
                <w:szCs w:val="20"/>
                <w:color w:val="auto"/>
              </w:rPr>
              <w:t>10-K</w:t>
            </w:r>
          </w:p>
        </w:tc>
        <w:tc>
          <w:tcPr>
            <w:tcW w:w="1300" w:type="dxa"/>
            <w:vAlign w:val="bottom"/>
          </w:tcPr>
          <w:p>
            <w:pPr>
              <w:jc w:val="right"/>
              <w:ind w:right="220"/>
              <w:spacing w:after="0"/>
              <w:rPr>
                <w:sz w:val="20"/>
                <w:szCs w:val="20"/>
                <w:color w:val="auto"/>
              </w:rPr>
            </w:pPr>
            <w:r>
              <w:rPr>
                <w:rFonts w:ascii="Arial" w:cs="Arial" w:eastAsia="Arial" w:hAnsi="Arial"/>
                <w:sz w:val="20"/>
                <w:szCs w:val="20"/>
                <w:color w:val="auto"/>
              </w:rPr>
              <w:t>001-38067</w:t>
            </w:r>
          </w:p>
        </w:tc>
        <w:tc>
          <w:tcPr>
            <w:tcW w:w="820" w:type="dxa"/>
            <w:vAlign w:val="bottom"/>
          </w:tcPr>
          <w:p>
            <w:pPr>
              <w:jc w:val="right"/>
              <w:spacing w:after="0"/>
              <w:rPr>
                <w:sz w:val="20"/>
                <w:szCs w:val="20"/>
                <w:color w:val="auto"/>
              </w:rPr>
            </w:pPr>
            <w:r>
              <w:rPr>
                <w:rFonts w:ascii="Arial" w:cs="Arial" w:eastAsia="Arial" w:hAnsi="Arial"/>
                <w:sz w:val="20"/>
                <w:szCs w:val="20"/>
                <w:color w:val="auto"/>
              </w:rPr>
              <w:t>21.1</w:t>
            </w:r>
          </w:p>
        </w:tc>
        <w:tc>
          <w:tcPr>
            <w:tcW w:w="1580" w:type="dxa"/>
            <w:vAlign w:val="bottom"/>
          </w:tcPr>
          <w:p>
            <w:pPr>
              <w:jc w:val="right"/>
              <w:ind w:right="520"/>
              <w:spacing w:after="0"/>
              <w:rPr>
                <w:sz w:val="20"/>
                <w:szCs w:val="20"/>
                <w:color w:val="auto"/>
              </w:rPr>
            </w:pPr>
            <w:r>
              <w:rPr>
                <w:rFonts w:ascii="Arial" w:cs="Arial" w:eastAsia="Arial" w:hAnsi="Arial"/>
                <w:sz w:val="20"/>
                <w:szCs w:val="20"/>
                <w:color w:val="auto"/>
              </w:rPr>
              <w:t>2/29/2024</w:t>
            </w:r>
          </w:p>
        </w:tc>
        <w:tc>
          <w:tcPr>
            <w:tcW w:w="0" w:type="dxa"/>
            <w:vAlign w:val="bottom"/>
          </w:tcPr>
          <w:p>
            <w:pPr>
              <w:spacing w:after="0"/>
              <w:rPr>
                <w:sz w:val="1"/>
                <w:szCs w:val="1"/>
                <w:color w:val="auto"/>
              </w:rPr>
            </w:pPr>
          </w:p>
        </w:tc>
      </w:tr>
      <w:tr>
        <w:trPr>
          <w:trHeight w:val="415"/>
        </w:trPr>
        <w:tc>
          <w:tcPr>
            <w:tcW w:w="820" w:type="dxa"/>
            <w:vAlign w:val="bottom"/>
            <w:vMerge w:val="restart"/>
          </w:tcPr>
          <w:p>
            <w:pPr>
              <w:spacing w:after="0"/>
              <w:rPr>
                <w:sz w:val="20"/>
                <w:szCs w:val="20"/>
                <w:color w:val="auto"/>
              </w:rPr>
            </w:pPr>
            <w:r>
              <w:rPr>
                <w:rFonts w:ascii="Arial" w:cs="Arial" w:eastAsia="Arial" w:hAnsi="Arial"/>
                <w:sz w:val="20"/>
                <w:szCs w:val="20"/>
                <w:color w:val="auto"/>
              </w:rPr>
              <w:t>23.1</w:t>
            </w:r>
          </w:p>
        </w:tc>
        <w:tc>
          <w:tcPr>
            <w:tcW w:w="3800" w:type="dxa"/>
            <w:vAlign w:val="bottom"/>
          </w:tcPr>
          <w:p>
            <w:pPr>
              <w:ind w:left="100"/>
              <w:spacing w:after="0"/>
              <w:rPr>
                <w:sz w:val="20"/>
                <w:szCs w:val="20"/>
                <w:color w:val="auto"/>
              </w:rPr>
            </w:pPr>
            <w:r>
              <w:rPr>
                <w:rFonts w:ascii="Arial" w:cs="Arial" w:eastAsia="Arial" w:hAnsi="Arial"/>
                <w:sz w:val="20"/>
                <w:szCs w:val="20"/>
                <w:color w:val="auto"/>
                <w:w w:val="93"/>
              </w:rPr>
              <w:t>Consent of Ernst &amp; Young LLP, Independent</w:t>
            </w: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vMerge w:val="restart"/>
          </w:tcPr>
          <w:p>
            <w:pPr>
              <w:jc w:val="center"/>
              <w:ind w:left="1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rPr>
              <w:t>Registered Public Accounting Firm</w:t>
            </w: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800" w:type="dxa"/>
            <w:vAlign w:val="bottom"/>
          </w:tcPr>
          <w:p>
            <w:pPr>
              <w:ind w:left="100"/>
              <w:spacing w:after="0" w:line="214" w:lineRule="exact"/>
              <w:rPr>
                <w:sz w:val="20"/>
                <w:szCs w:val="20"/>
                <w:color w:val="auto"/>
              </w:rPr>
            </w:pPr>
            <w:r>
              <w:rPr>
                <w:rFonts w:ascii="Arial" w:cs="Arial" w:eastAsia="Arial" w:hAnsi="Arial"/>
                <w:sz w:val="20"/>
                <w:szCs w:val="20"/>
                <w:color w:val="auto"/>
                <w:w w:val="98"/>
              </w:rPr>
              <w:t>Consent of PricewaterhouseCoopers LLP,</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20" w:type="dxa"/>
            <w:vAlign w:val="bottom"/>
            <w:vMerge w:val="restart"/>
          </w:tcPr>
          <w:p>
            <w:pPr>
              <w:spacing w:after="0"/>
              <w:rPr>
                <w:sz w:val="20"/>
                <w:szCs w:val="20"/>
                <w:color w:val="auto"/>
              </w:rPr>
            </w:pPr>
            <w:r>
              <w:rPr>
                <w:rFonts w:ascii="Arial" w:cs="Arial" w:eastAsia="Arial" w:hAnsi="Arial"/>
                <w:sz w:val="20"/>
                <w:szCs w:val="20"/>
                <w:color w:val="auto"/>
              </w:rPr>
              <w:t>23.2</w:t>
            </w:r>
          </w:p>
        </w:tc>
        <w:tc>
          <w:tcPr>
            <w:tcW w:w="3800" w:type="dxa"/>
            <w:vAlign w:val="bottom"/>
          </w:tcPr>
          <w:p>
            <w:pPr>
              <w:ind w:left="100"/>
              <w:spacing w:after="0" w:line="200" w:lineRule="exact"/>
              <w:rPr>
                <w:sz w:val="20"/>
                <w:szCs w:val="20"/>
                <w:color w:val="auto"/>
              </w:rPr>
            </w:pPr>
            <w:r>
              <w:rPr>
                <w:rFonts w:ascii="Arial" w:cs="Arial" w:eastAsia="Arial" w:hAnsi="Arial"/>
                <w:sz w:val="20"/>
                <w:szCs w:val="20"/>
                <w:color w:val="auto"/>
                <w:w w:val="97"/>
              </w:rPr>
              <w:t>Independent Registered Public Accounting</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vMerge w:val="restart"/>
          </w:tcPr>
          <w:p>
            <w:pPr>
              <w:jc w:val="center"/>
              <w:ind w:left="1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rPr>
              <w:t>Firm</w:t>
            </w: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rPr>
                <w:sz w:val="20"/>
                <w:szCs w:val="20"/>
                <w:color w:val="auto"/>
              </w:rPr>
            </w:pPr>
            <w:r>
              <w:rPr>
                <w:rFonts w:ascii="Arial" w:cs="Arial" w:eastAsia="Arial" w:hAnsi="Arial"/>
                <w:sz w:val="20"/>
                <w:szCs w:val="20"/>
                <w:color w:val="auto"/>
              </w:rPr>
              <w:t>31.1</w:t>
            </w:r>
          </w:p>
        </w:tc>
        <w:tc>
          <w:tcPr>
            <w:tcW w:w="3800" w:type="dxa"/>
            <w:vAlign w:val="bottom"/>
          </w:tcPr>
          <w:p>
            <w:pPr>
              <w:ind w:left="100"/>
              <w:spacing w:after="0" w:line="205" w:lineRule="exact"/>
              <w:rPr>
                <w:sz w:val="20"/>
                <w:szCs w:val="20"/>
                <w:color w:val="auto"/>
              </w:rPr>
            </w:pPr>
            <w:r>
              <w:rPr>
                <w:rFonts w:ascii="Arial" w:cs="Arial" w:eastAsia="Arial" w:hAnsi="Arial"/>
                <w:sz w:val="20"/>
                <w:szCs w:val="20"/>
                <w:color w:val="auto"/>
              </w:rPr>
              <w:t>Rule 13a-14(a)/15d-14(a) Certification of</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vMerge w:val="restart"/>
          </w:tcPr>
          <w:p>
            <w:pPr>
              <w:jc w:val="center"/>
              <w:ind w:left="1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rPr>
              <w:t>Chief Executive Officer</w:t>
            </w: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rPr>
                <w:sz w:val="20"/>
                <w:szCs w:val="20"/>
                <w:color w:val="auto"/>
              </w:rPr>
            </w:pPr>
            <w:r>
              <w:rPr>
                <w:rFonts w:ascii="Arial" w:cs="Arial" w:eastAsia="Arial" w:hAnsi="Arial"/>
                <w:sz w:val="20"/>
                <w:szCs w:val="20"/>
                <w:color w:val="auto"/>
              </w:rPr>
              <w:t>31.2</w:t>
            </w:r>
          </w:p>
        </w:tc>
        <w:tc>
          <w:tcPr>
            <w:tcW w:w="3800" w:type="dxa"/>
            <w:vAlign w:val="bottom"/>
          </w:tcPr>
          <w:p>
            <w:pPr>
              <w:ind w:left="100"/>
              <w:spacing w:after="0" w:line="205" w:lineRule="exact"/>
              <w:rPr>
                <w:sz w:val="20"/>
                <w:szCs w:val="20"/>
                <w:color w:val="auto"/>
              </w:rPr>
            </w:pPr>
            <w:r>
              <w:rPr>
                <w:rFonts w:ascii="Arial" w:cs="Arial" w:eastAsia="Arial" w:hAnsi="Arial"/>
                <w:sz w:val="20"/>
                <w:szCs w:val="20"/>
                <w:color w:val="auto"/>
              </w:rPr>
              <w:t>Rule 13a-14(a)/15d-14(a) Certification of</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vMerge w:val="restart"/>
          </w:tcPr>
          <w:p>
            <w:pPr>
              <w:jc w:val="center"/>
              <w:ind w:left="1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rPr>
              <w:t>Chief Financial Officer</w:t>
            </w: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rPr>
                <w:sz w:val="20"/>
                <w:szCs w:val="20"/>
                <w:color w:val="auto"/>
              </w:rPr>
            </w:pPr>
            <w:r>
              <w:rPr>
                <w:rFonts w:ascii="Arial" w:cs="Arial" w:eastAsia="Arial" w:hAnsi="Arial"/>
                <w:sz w:val="20"/>
                <w:szCs w:val="20"/>
                <w:color w:val="auto"/>
              </w:rPr>
              <w:t>32.1</w:t>
            </w:r>
          </w:p>
        </w:tc>
        <w:tc>
          <w:tcPr>
            <w:tcW w:w="3800" w:type="dxa"/>
            <w:vAlign w:val="bottom"/>
          </w:tcPr>
          <w:p>
            <w:pPr>
              <w:ind w:left="100"/>
              <w:spacing w:after="0" w:line="205" w:lineRule="exact"/>
              <w:rPr>
                <w:sz w:val="20"/>
                <w:szCs w:val="20"/>
                <w:color w:val="auto"/>
              </w:rPr>
            </w:pPr>
            <w:r>
              <w:rPr>
                <w:rFonts w:ascii="Arial" w:cs="Arial" w:eastAsia="Arial" w:hAnsi="Arial"/>
                <w:sz w:val="20"/>
                <w:szCs w:val="20"/>
                <w:color w:val="auto"/>
              </w:rPr>
              <w:t>Section 1350 Certification of Chief</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vMerge w:val="restart"/>
          </w:tcPr>
          <w:p>
            <w:pPr>
              <w:jc w:val="center"/>
              <w:ind w:left="12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rPr>
              <w:t>Executive Officer</w:t>
            </w: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rPr>
                <w:sz w:val="20"/>
                <w:szCs w:val="20"/>
                <w:color w:val="auto"/>
              </w:rPr>
            </w:pPr>
            <w:r>
              <w:rPr>
                <w:rFonts w:ascii="Arial" w:cs="Arial" w:eastAsia="Arial" w:hAnsi="Arial"/>
                <w:sz w:val="20"/>
                <w:szCs w:val="20"/>
                <w:color w:val="auto"/>
              </w:rPr>
              <w:t>32.2</w:t>
            </w:r>
          </w:p>
        </w:tc>
        <w:tc>
          <w:tcPr>
            <w:tcW w:w="3800" w:type="dxa"/>
            <w:vAlign w:val="bottom"/>
          </w:tcPr>
          <w:p>
            <w:pPr>
              <w:ind w:left="100"/>
              <w:spacing w:after="0" w:line="205" w:lineRule="exact"/>
              <w:rPr>
                <w:sz w:val="20"/>
                <w:szCs w:val="20"/>
                <w:color w:val="auto"/>
              </w:rPr>
            </w:pPr>
            <w:r>
              <w:rPr>
                <w:rFonts w:ascii="Arial" w:cs="Arial" w:eastAsia="Arial" w:hAnsi="Arial"/>
                <w:sz w:val="20"/>
                <w:szCs w:val="20"/>
                <w:color w:val="auto"/>
                <w:w w:val="94"/>
              </w:rPr>
              <w:t>Section 1350 Certification of Chief Financial</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vMerge w:val="restart"/>
          </w:tcPr>
          <w:p>
            <w:pPr>
              <w:jc w:val="center"/>
              <w:ind w:left="12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rPr>
              <w:t>Officer</w:t>
            </w: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rPr>
                <w:sz w:val="20"/>
                <w:szCs w:val="20"/>
                <w:color w:val="auto"/>
              </w:rPr>
            </w:pPr>
            <w:r>
              <w:rPr>
                <w:rFonts w:ascii="Arial" w:cs="Arial" w:eastAsia="Arial" w:hAnsi="Arial"/>
                <w:sz w:val="20"/>
                <w:szCs w:val="20"/>
                <w:color w:val="auto"/>
              </w:rPr>
              <w:t>97#</w:t>
            </w:r>
          </w:p>
        </w:tc>
        <w:tc>
          <w:tcPr>
            <w:tcW w:w="3800" w:type="dxa"/>
            <w:vAlign w:val="bottom"/>
          </w:tcPr>
          <w:p>
            <w:pPr>
              <w:ind w:left="100"/>
              <w:spacing w:after="0" w:line="205" w:lineRule="exact"/>
              <w:rPr>
                <w:sz w:val="20"/>
                <w:szCs w:val="20"/>
                <w:color w:val="auto"/>
              </w:rPr>
            </w:pPr>
            <w:r>
              <w:rPr>
                <w:rFonts w:ascii="Arial" w:cs="Arial" w:eastAsia="Arial" w:hAnsi="Arial"/>
                <w:sz w:val="20"/>
                <w:szCs w:val="20"/>
                <w:color w:val="auto"/>
                <w:w w:val="94"/>
              </w:rPr>
              <w:t>Policy for Recovery of Erroneously Awarded</w:t>
            </w:r>
          </w:p>
        </w:tc>
        <w:tc>
          <w:tcPr>
            <w:tcW w:w="760" w:type="dxa"/>
            <w:vAlign w:val="bottom"/>
            <w:vMerge w:val="restart"/>
          </w:tcPr>
          <w:p>
            <w:pPr>
              <w:jc w:val="right"/>
              <w:ind w:right="200"/>
              <w:spacing w:after="0"/>
              <w:rPr>
                <w:sz w:val="20"/>
                <w:szCs w:val="20"/>
                <w:color w:val="auto"/>
              </w:rPr>
            </w:pPr>
            <w:r>
              <w:rPr>
                <w:rFonts w:ascii="Arial" w:cs="Arial" w:eastAsia="Arial" w:hAnsi="Arial"/>
                <w:sz w:val="20"/>
                <w:szCs w:val="20"/>
                <w:color w:val="auto"/>
              </w:rPr>
              <w:t>10-K</w:t>
            </w:r>
          </w:p>
        </w:tc>
        <w:tc>
          <w:tcPr>
            <w:tcW w:w="1300" w:type="dxa"/>
            <w:vAlign w:val="bottom"/>
            <w:vMerge w:val="restart"/>
          </w:tcPr>
          <w:p>
            <w:pPr>
              <w:jc w:val="right"/>
              <w:ind w:right="220"/>
              <w:spacing w:after="0"/>
              <w:rPr>
                <w:sz w:val="20"/>
                <w:szCs w:val="20"/>
                <w:color w:val="auto"/>
              </w:rPr>
            </w:pPr>
            <w:r>
              <w:rPr>
                <w:rFonts w:ascii="Arial" w:cs="Arial" w:eastAsia="Arial" w:hAnsi="Arial"/>
                <w:sz w:val="20"/>
                <w:szCs w:val="20"/>
                <w:color w:val="auto"/>
              </w:rPr>
              <w:t>001-38067</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97</w:t>
            </w:r>
          </w:p>
        </w:tc>
        <w:tc>
          <w:tcPr>
            <w:tcW w:w="1580" w:type="dxa"/>
            <w:vAlign w:val="bottom"/>
            <w:vMerge w:val="restart"/>
          </w:tcPr>
          <w:p>
            <w:pPr>
              <w:jc w:val="right"/>
              <w:ind w:right="520"/>
              <w:spacing w:after="0"/>
              <w:rPr>
                <w:sz w:val="20"/>
                <w:szCs w:val="20"/>
                <w:color w:val="auto"/>
              </w:rPr>
            </w:pPr>
            <w:r>
              <w:rPr>
                <w:rFonts w:ascii="Arial" w:cs="Arial" w:eastAsia="Arial" w:hAnsi="Arial"/>
                <w:sz w:val="20"/>
                <w:szCs w:val="20"/>
                <w:color w:val="auto"/>
              </w:rPr>
              <w:t>2/29/2024</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rPr>
              <w:t>Compensation</w:t>
            </w:r>
          </w:p>
        </w:tc>
        <w:tc>
          <w:tcPr>
            <w:tcW w:w="76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820" w:type="dxa"/>
            <w:vAlign w:val="bottom"/>
          </w:tcPr>
          <w:p>
            <w:pPr>
              <w:spacing w:after="0"/>
              <w:rPr>
                <w:sz w:val="20"/>
                <w:szCs w:val="20"/>
                <w:color w:val="auto"/>
              </w:rPr>
            </w:pPr>
            <w:r>
              <w:rPr>
                <w:rFonts w:ascii="Arial" w:cs="Arial" w:eastAsia="Arial" w:hAnsi="Arial"/>
                <w:sz w:val="20"/>
                <w:szCs w:val="20"/>
                <w:color w:val="auto"/>
              </w:rPr>
              <w:t>101.INS</w:t>
            </w:r>
          </w:p>
        </w:tc>
        <w:tc>
          <w:tcPr>
            <w:tcW w:w="3800" w:type="dxa"/>
            <w:vAlign w:val="bottom"/>
          </w:tcPr>
          <w:p>
            <w:pPr>
              <w:ind w:left="100"/>
              <w:spacing w:after="0"/>
              <w:rPr>
                <w:sz w:val="20"/>
                <w:szCs w:val="20"/>
                <w:color w:val="auto"/>
              </w:rPr>
            </w:pPr>
            <w:r>
              <w:rPr>
                <w:rFonts w:ascii="Arial" w:cs="Arial" w:eastAsia="Arial" w:hAnsi="Arial"/>
                <w:sz w:val="20"/>
                <w:szCs w:val="20"/>
                <w:color w:val="auto"/>
              </w:rPr>
              <w:t>Inline XBRL Instance Document</w:t>
            </w: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jc w:val="center"/>
              <w:ind w:left="1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rPr>
                <w:sz w:val="20"/>
                <w:szCs w:val="20"/>
                <w:color w:val="auto"/>
              </w:rPr>
            </w:pPr>
            <w:r>
              <w:rPr>
                <w:rFonts w:ascii="Arial" w:cs="Arial" w:eastAsia="Arial" w:hAnsi="Arial"/>
                <w:sz w:val="20"/>
                <w:szCs w:val="20"/>
                <w:color w:val="auto"/>
                <w:w w:val="98"/>
              </w:rPr>
              <w:t>101.SCH</w:t>
            </w:r>
          </w:p>
        </w:tc>
        <w:tc>
          <w:tcPr>
            <w:tcW w:w="3800" w:type="dxa"/>
            <w:vAlign w:val="bottom"/>
          </w:tcPr>
          <w:p>
            <w:pPr>
              <w:ind w:left="100"/>
              <w:spacing w:after="0" w:line="205" w:lineRule="exact"/>
              <w:rPr>
                <w:sz w:val="20"/>
                <w:szCs w:val="20"/>
                <w:color w:val="auto"/>
              </w:rPr>
            </w:pPr>
            <w:r>
              <w:rPr>
                <w:rFonts w:ascii="Arial" w:cs="Arial" w:eastAsia="Arial" w:hAnsi="Arial"/>
                <w:sz w:val="20"/>
                <w:szCs w:val="20"/>
                <w:color w:val="auto"/>
                <w:w w:val="97"/>
              </w:rPr>
              <w:t>Inline XBRL Taxonomy Extension Schema</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vMerge w:val="restart"/>
          </w:tcPr>
          <w:p>
            <w:pPr>
              <w:jc w:val="center"/>
              <w:ind w:left="1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rPr>
              <w:t>Document</w:t>
            </w: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rPr>
                <w:sz w:val="20"/>
                <w:szCs w:val="20"/>
                <w:color w:val="auto"/>
              </w:rPr>
            </w:pPr>
            <w:r>
              <w:rPr>
                <w:rFonts w:ascii="Arial" w:cs="Arial" w:eastAsia="Arial" w:hAnsi="Arial"/>
                <w:sz w:val="20"/>
                <w:szCs w:val="20"/>
                <w:color w:val="auto"/>
              </w:rPr>
              <w:t>101.CAL</w:t>
            </w:r>
          </w:p>
        </w:tc>
        <w:tc>
          <w:tcPr>
            <w:tcW w:w="3800" w:type="dxa"/>
            <w:vAlign w:val="bottom"/>
          </w:tcPr>
          <w:p>
            <w:pPr>
              <w:ind w:left="100"/>
              <w:spacing w:after="0" w:line="205" w:lineRule="exact"/>
              <w:rPr>
                <w:sz w:val="20"/>
                <w:szCs w:val="20"/>
                <w:color w:val="auto"/>
              </w:rPr>
            </w:pPr>
            <w:r>
              <w:rPr>
                <w:rFonts w:ascii="Arial" w:cs="Arial" w:eastAsia="Arial" w:hAnsi="Arial"/>
                <w:sz w:val="20"/>
                <w:szCs w:val="20"/>
                <w:color w:val="auto"/>
              </w:rPr>
              <w:t>Inline XBRL Taxonomy Extension</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vMerge w:val="restart"/>
          </w:tcPr>
          <w:p>
            <w:pPr>
              <w:jc w:val="center"/>
              <w:ind w:left="1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rPr>
              <w:t>Calculation Linkbase Document</w:t>
            </w: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rPr>
                <w:sz w:val="20"/>
                <w:szCs w:val="20"/>
                <w:color w:val="auto"/>
              </w:rPr>
            </w:pPr>
            <w:r>
              <w:rPr>
                <w:rFonts w:ascii="Arial" w:cs="Arial" w:eastAsia="Arial" w:hAnsi="Arial"/>
                <w:sz w:val="20"/>
                <w:szCs w:val="20"/>
                <w:color w:val="auto"/>
              </w:rPr>
              <w:t>101.LAB</w:t>
            </w:r>
          </w:p>
        </w:tc>
        <w:tc>
          <w:tcPr>
            <w:tcW w:w="3800" w:type="dxa"/>
            <w:vAlign w:val="bottom"/>
          </w:tcPr>
          <w:p>
            <w:pPr>
              <w:ind w:left="100"/>
              <w:spacing w:after="0" w:line="205" w:lineRule="exact"/>
              <w:rPr>
                <w:sz w:val="20"/>
                <w:szCs w:val="20"/>
                <w:color w:val="auto"/>
              </w:rPr>
            </w:pPr>
            <w:r>
              <w:rPr>
                <w:rFonts w:ascii="Arial" w:cs="Arial" w:eastAsia="Arial" w:hAnsi="Arial"/>
                <w:sz w:val="20"/>
                <w:szCs w:val="20"/>
                <w:color w:val="auto"/>
              </w:rPr>
              <w:t>Inline XBRL Taxonomy Extension Label</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vMerge w:val="restart"/>
          </w:tcPr>
          <w:p>
            <w:pPr>
              <w:jc w:val="center"/>
              <w:ind w:left="1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rPr>
              <w:t>Linkbase Document</w:t>
            </w: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20" w:type="dxa"/>
            <w:vAlign w:val="bottom"/>
            <w:vMerge w:val="restart"/>
          </w:tcPr>
          <w:p>
            <w:pPr>
              <w:spacing w:after="0"/>
              <w:rPr>
                <w:sz w:val="20"/>
                <w:szCs w:val="20"/>
                <w:color w:val="auto"/>
              </w:rPr>
            </w:pPr>
            <w:r>
              <w:rPr>
                <w:rFonts w:ascii="Arial" w:cs="Arial" w:eastAsia="Arial" w:hAnsi="Arial"/>
                <w:sz w:val="20"/>
                <w:szCs w:val="20"/>
                <w:color w:val="auto"/>
                <w:w w:val="99"/>
              </w:rPr>
              <w:t>101.PRE</w:t>
            </w:r>
          </w:p>
        </w:tc>
        <w:tc>
          <w:tcPr>
            <w:tcW w:w="3800" w:type="dxa"/>
            <w:vAlign w:val="bottom"/>
          </w:tcPr>
          <w:p>
            <w:pPr>
              <w:ind w:left="100"/>
              <w:spacing w:after="0" w:line="205" w:lineRule="exact"/>
              <w:rPr>
                <w:sz w:val="20"/>
                <w:szCs w:val="20"/>
                <w:color w:val="auto"/>
              </w:rPr>
            </w:pPr>
            <w:r>
              <w:rPr>
                <w:rFonts w:ascii="Arial" w:cs="Arial" w:eastAsia="Arial" w:hAnsi="Arial"/>
                <w:sz w:val="20"/>
                <w:szCs w:val="20"/>
                <w:color w:val="auto"/>
              </w:rPr>
              <w:t>Inline XBRL Taxonomy Extension</w:t>
            </w: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80" w:type="dxa"/>
            <w:vAlign w:val="bottom"/>
            <w:vMerge w:val="restart"/>
          </w:tcPr>
          <w:p>
            <w:pPr>
              <w:jc w:val="center"/>
              <w:ind w:left="1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rPr>
              <w:t>Presentation Linkbase Document</w:t>
            </w: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20" w:top="96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9120"/>
          </w:cols>
          <w:pgMar w:left="1320" w:top="961" w:right="1440" w:bottom="0" w:gutter="0" w:footer="0" w:header="0"/>
          <w:type w:val="continuous"/>
        </w:sectPr>
      </w:pPr>
    </w:p>
    <w:bookmarkStart w:id="103" w:name="page104"/>
    <w:bookmarkEnd w:id="103"/>
    <w:tbl>
      <w:tblPr>
        <w:tblLayout w:type="fixed"/>
        <w:tblInd w:w="56" w:type="dxa"/>
        <w:tblCellMar>
          <w:top w:w="0" w:type="dxa"/>
          <w:left w:w="0" w:type="dxa"/>
          <w:bottom w:w="0" w:type="dxa"/>
          <w:right w:w="0" w:type="dxa"/>
        </w:tblCellMar>
      </w:tblPr>
      <w:tr>
        <w:trPr>
          <w:trHeight w:val="230"/>
        </w:trPr>
        <w:tc>
          <w:tcPr>
            <w:tcW w:w="820" w:type="dxa"/>
            <w:vAlign w:val="bottom"/>
            <w:vMerge w:val="restart"/>
          </w:tcPr>
          <w:p>
            <w:pPr>
              <w:spacing w:after="0"/>
              <w:rPr>
                <w:sz w:val="20"/>
                <w:szCs w:val="20"/>
                <w:color w:val="auto"/>
              </w:rPr>
            </w:pPr>
            <w:r>
              <w:rPr>
                <w:rFonts w:ascii="Arial" w:cs="Arial" w:eastAsia="Arial" w:hAnsi="Arial"/>
                <w:sz w:val="20"/>
                <w:szCs w:val="20"/>
                <w:color w:val="auto"/>
              </w:rPr>
              <w:t>101.DEF</w:t>
            </w:r>
          </w:p>
        </w:tc>
        <w:tc>
          <w:tcPr>
            <w:tcW w:w="5860" w:type="dxa"/>
            <w:vAlign w:val="bottom"/>
          </w:tcPr>
          <w:p>
            <w:pPr>
              <w:ind w:left="100"/>
              <w:spacing w:after="0"/>
              <w:rPr>
                <w:sz w:val="20"/>
                <w:szCs w:val="20"/>
                <w:color w:val="auto"/>
              </w:rPr>
            </w:pPr>
            <w:r>
              <w:rPr>
                <w:rFonts w:ascii="Arial" w:cs="Arial" w:eastAsia="Arial" w:hAnsi="Arial"/>
                <w:sz w:val="20"/>
                <w:szCs w:val="20"/>
                <w:color w:val="auto"/>
              </w:rPr>
              <w:t>Inline XBRL Taxonomy Extension</w:t>
            </w:r>
          </w:p>
        </w:tc>
        <w:tc>
          <w:tcPr>
            <w:tcW w:w="23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5860" w:type="dxa"/>
            <w:vAlign w:val="bottom"/>
          </w:tcPr>
          <w:p>
            <w:pPr>
              <w:ind w:left="100"/>
              <w:spacing w:after="0"/>
              <w:rPr>
                <w:sz w:val="20"/>
                <w:szCs w:val="20"/>
                <w:color w:val="auto"/>
              </w:rPr>
            </w:pPr>
            <w:r>
              <w:rPr>
                <w:rFonts w:ascii="Arial" w:cs="Arial" w:eastAsia="Arial" w:hAnsi="Arial"/>
                <w:sz w:val="20"/>
                <w:szCs w:val="20"/>
                <w:color w:val="auto"/>
              </w:rPr>
              <w:t>Definition Linkbase Document</w:t>
            </w:r>
          </w:p>
        </w:tc>
        <w:tc>
          <w:tcPr>
            <w:tcW w:w="2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5860" w:type="dxa"/>
            <w:vAlign w:val="bottom"/>
          </w:tcPr>
          <w:p>
            <w:pPr>
              <w:ind w:left="100"/>
              <w:spacing w:after="0" w:line="204" w:lineRule="exact"/>
              <w:rPr>
                <w:sz w:val="20"/>
                <w:szCs w:val="20"/>
                <w:color w:val="auto"/>
              </w:rPr>
            </w:pPr>
            <w:r>
              <w:rPr>
                <w:rFonts w:ascii="Arial" w:cs="Arial" w:eastAsia="Arial" w:hAnsi="Arial"/>
                <w:sz w:val="20"/>
                <w:szCs w:val="20"/>
                <w:color w:val="auto"/>
              </w:rPr>
              <w:t>Cover Page Interactive Data File (formatted</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vMerge w:val="restart"/>
          </w:tcPr>
          <w:p>
            <w:pPr>
              <w:spacing w:after="0"/>
              <w:rPr>
                <w:sz w:val="20"/>
                <w:szCs w:val="20"/>
                <w:color w:val="auto"/>
              </w:rPr>
            </w:pPr>
            <w:r>
              <w:rPr>
                <w:rFonts w:ascii="Arial" w:cs="Arial" w:eastAsia="Arial" w:hAnsi="Arial"/>
                <w:sz w:val="20"/>
                <w:szCs w:val="20"/>
                <w:color w:val="auto"/>
              </w:rPr>
              <w:t>104</w:t>
            </w:r>
          </w:p>
        </w:tc>
        <w:tc>
          <w:tcPr>
            <w:tcW w:w="5860" w:type="dxa"/>
            <w:vAlign w:val="bottom"/>
          </w:tcPr>
          <w:p>
            <w:pPr>
              <w:ind w:left="100"/>
              <w:spacing w:after="0" w:line="200" w:lineRule="exact"/>
              <w:rPr>
                <w:sz w:val="20"/>
                <w:szCs w:val="20"/>
                <w:color w:val="auto"/>
              </w:rPr>
            </w:pPr>
            <w:r>
              <w:rPr>
                <w:rFonts w:ascii="Arial" w:cs="Arial" w:eastAsia="Arial" w:hAnsi="Arial"/>
                <w:sz w:val="20"/>
                <w:szCs w:val="20"/>
                <w:color w:val="auto"/>
              </w:rPr>
              <w:t>in Inline XBRL and contained in Exhibit</w:t>
            </w:r>
          </w:p>
        </w:tc>
        <w:tc>
          <w:tcPr>
            <w:tcW w:w="23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5860" w:type="dxa"/>
            <w:vAlign w:val="bottom"/>
          </w:tcPr>
          <w:p>
            <w:pPr>
              <w:ind w:left="100"/>
              <w:spacing w:after="0"/>
              <w:rPr>
                <w:sz w:val="20"/>
                <w:szCs w:val="20"/>
                <w:color w:val="auto"/>
              </w:rPr>
            </w:pPr>
            <w:r>
              <w:rPr>
                <w:rFonts w:ascii="Arial" w:cs="Arial" w:eastAsia="Arial" w:hAnsi="Arial"/>
                <w:sz w:val="20"/>
                <w:szCs w:val="20"/>
                <w:color w:val="auto"/>
              </w:rPr>
              <w:t>101)</w:t>
            </w:r>
          </w:p>
        </w:tc>
        <w:tc>
          <w:tcPr>
            <w:tcW w:w="2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96" w:hanging="496"/>
        <w:spacing w:after="0"/>
        <w:tabs>
          <w:tab w:leader="none" w:pos="496" w:val="left"/>
        </w:tabs>
        <w:numPr>
          <w:ilvl w:val="0"/>
          <w:numId w:val="55"/>
        </w:numPr>
        <w:rPr>
          <w:rFonts w:ascii="Arial" w:cs="Arial" w:eastAsia="Arial" w:hAnsi="Arial"/>
          <w:sz w:val="20"/>
          <w:szCs w:val="20"/>
          <w:color w:val="auto"/>
        </w:rPr>
      </w:pPr>
      <w:r>
        <w:rPr>
          <w:rFonts w:ascii="Arial" w:cs="Arial" w:eastAsia="Arial" w:hAnsi="Arial"/>
          <w:sz w:val="20"/>
          <w:szCs w:val="20"/>
          <w:color w:val="auto"/>
        </w:rPr>
        <w:t>Filed herewith.</w:t>
      </w:r>
    </w:p>
    <w:p>
      <w:pPr>
        <w:spacing w:after="0" w:line="110" w:lineRule="exact"/>
        <w:rPr>
          <w:sz w:val="20"/>
          <w:szCs w:val="20"/>
          <w:color w:val="auto"/>
        </w:rPr>
      </w:pPr>
    </w:p>
    <w:p>
      <w:pPr>
        <w:ind w:left="496" w:hanging="496"/>
        <w:spacing w:after="0"/>
        <w:tabs>
          <w:tab w:leader="none" w:pos="496" w:val="left"/>
        </w:tabs>
        <w:numPr>
          <w:ilvl w:val="0"/>
          <w:numId w:val="56"/>
        </w:numPr>
        <w:rPr>
          <w:rFonts w:ascii="Arial" w:cs="Arial" w:eastAsia="Arial" w:hAnsi="Arial"/>
          <w:sz w:val="20"/>
          <w:szCs w:val="20"/>
          <w:color w:val="auto"/>
        </w:rPr>
      </w:pPr>
      <w:r>
        <w:rPr>
          <w:rFonts w:ascii="Arial" w:cs="Arial" w:eastAsia="Arial" w:hAnsi="Arial"/>
          <w:sz w:val="20"/>
          <w:szCs w:val="20"/>
          <w:color w:val="auto"/>
        </w:rPr>
        <w:t>Furnished herewith.</w:t>
      </w:r>
    </w:p>
    <w:p>
      <w:pPr>
        <w:spacing w:after="0" w:line="110" w:lineRule="exact"/>
        <w:rPr>
          <w:sz w:val="20"/>
          <w:szCs w:val="20"/>
          <w:color w:val="auto"/>
        </w:rPr>
      </w:pPr>
    </w:p>
    <w:p>
      <w:pPr>
        <w:ind w:left="556" w:hanging="556"/>
        <w:spacing w:after="0"/>
        <w:tabs>
          <w:tab w:leader="none" w:pos="556" w:val="left"/>
        </w:tabs>
        <w:numPr>
          <w:ilvl w:val="0"/>
          <w:numId w:val="57"/>
        </w:numPr>
        <w:rPr>
          <w:rFonts w:ascii="Arial" w:cs="Arial" w:eastAsia="Arial" w:hAnsi="Arial"/>
          <w:sz w:val="20"/>
          <w:szCs w:val="20"/>
          <w:color w:val="auto"/>
        </w:rPr>
      </w:pPr>
      <w:r>
        <w:rPr>
          <w:rFonts w:ascii="Arial" w:cs="Arial" w:eastAsia="Arial" w:hAnsi="Arial"/>
          <w:sz w:val="20"/>
          <w:szCs w:val="20"/>
          <w:color w:val="auto"/>
        </w:rPr>
        <w:t>Indicates management contract or compensatory plan.</w:t>
      </w:r>
    </w:p>
    <w:p>
      <w:pPr>
        <w:spacing w:after="0" w:line="110" w:lineRule="exact"/>
        <w:rPr>
          <w:sz w:val="20"/>
          <w:szCs w:val="20"/>
          <w:color w:val="auto"/>
        </w:rPr>
      </w:pPr>
    </w:p>
    <w:p>
      <w:pPr>
        <w:jc w:val="both"/>
        <w:ind w:left="-4" w:firstLine="4"/>
        <w:spacing w:after="0" w:line="239" w:lineRule="auto"/>
        <w:tabs>
          <w:tab w:leader="none" w:pos="763" w:val="left"/>
        </w:tabs>
        <w:numPr>
          <w:ilvl w:val="0"/>
          <w:numId w:val="58"/>
        </w:numPr>
        <w:rPr>
          <w:rFonts w:ascii="Arial" w:cs="Arial" w:eastAsia="Arial" w:hAnsi="Arial"/>
          <w:sz w:val="20"/>
          <w:szCs w:val="20"/>
          <w:color w:val="auto"/>
        </w:rPr>
      </w:pPr>
      <w:r>
        <w:rPr>
          <w:rFonts w:ascii="Arial" w:cs="Arial" w:eastAsia="Arial" w:hAnsi="Arial"/>
          <w:sz w:val="20"/>
          <w:szCs w:val="20"/>
          <w:color w:val="auto"/>
        </w:rPr>
        <w:t>Portions of this exhibit (indicated by asterisks) have been omitted pursuant to Regulation S-K, Item 601(b)(10). Such omitted information is not material and the registrant customarily and actually treats such information as private or confidential. Additionally, schedules and attachments to this exhibit have been omitted pursuant to Regulation S-K, Items 601(a)(5).</w:t>
      </w:r>
    </w:p>
    <w:p>
      <w:pPr>
        <w:sectPr>
          <w:pgSz w:w="11880" w:h="15480" w:orient="portrait"/>
          <w:cols w:equalWidth="0" w:num="1">
            <w:col w:w="9356"/>
          </w:cols>
          <w:pgMar w:left="1264" w:top="88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9356"/>
          </w:cols>
          <w:pgMar w:left="1264" w:top="881" w:right="1260" w:bottom="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Item 16. Form 10-K Summary</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180"/>
          </w:cols>
          <w:pgMar w:left="1260" w:top="85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9180"/>
          </w:cols>
          <w:pgMar w:left="1260" w:top="850" w:right="1440" w:bottom="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24"/>
          <w:szCs w:val="24"/>
          <w:b w:val="1"/>
          <w:bCs w:val="1"/>
          <w:color w:val="auto"/>
        </w:rPr>
        <w:t>SIGNATURES</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VERONA PHARMA PLC</w:t>
      </w:r>
    </w:p>
    <w:p>
      <w:pPr>
        <w:spacing w:after="0" w:line="370" w:lineRule="exact"/>
        <w:rPr>
          <w:sz w:val="20"/>
          <w:szCs w:val="20"/>
          <w:color w:val="auto"/>
        </w:rPr>
      </w:pPr>
    </w:p>
    <w:p>
      <w:pPr>
        <w:ind w:left="60"/>
        <w:spacing w:after="0"/>
        <w:tabs>
          <w:tab w:leader="none" w:pos="4600" w:val="left"/>
          <w:tab w:leader="none" w:pos="6880" w:val="left"/>
        </w:tabs>
        <w:rPr>
          <w:sz w:val="20"/>
          <w:szCs w:val="20"/>
          <w:color w:val="auto"/>
        </w:rPr>
      </w:pPr>
      <w:r>
        <w:rPr>
          <w:rFonts w:ascii="Arial" w:cs="Arial" w:eastAsia="Arial" w:hAnsi="Arial"/>
          <w:sz w:val="20"/>
          <w:szCs w:val="20"/>
          <w:color w:val="auto"/>
        </w:rPr>
        <w:t>Date: February 27, 2025</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David Zaccardelli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4351655</wp:posOffset>
                </wp:positionH>
                <wp:positionV relativeFrom="paragraph">
                  <wp:posOffset>49530</wp:posOffset>
                </wp:positionV>
                <wp:extent cx="158940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9405" cy="4763"/>
                        </a:xfrm>
                        <a:prstGeom prst="line">
                          <a:avLst/>
                        </a:prstGeom>
                        <a:solidFill>
                          <a:srgbClr val="FFFFFF"/>
                        </a:solidFill>
                        <a:ln w="12689">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65pt,3.9pt" to="467.8pt,3.9pt" o:allowincell="f" strokecolor="#000000" strokeweight="0.9991pt"/>
            </w:pict>
          </mc:Fallback>
        </mc:AlternateContent>
      </w:r>
    </w:p>
    <w:p>
      <w:pPr>
        <w:spacing w:after="0" w:line="50" w:lineRule="exact"/>
        <w:rPr>
          <w:sz w:val="20"/>
          <w:szCs w:val="20"/>
          <w:color w:val="auto"/>
        </w:rPr>
      </w:pPr>
    </w:p>
    <w:p>
      <w:pPr>
        <w:ind w:left="6900"/>
        <w:spacing w:after="0"/>
        <w:rPr>
          <w:sz w:val="20"/>
          <w:szCs w:val="20"/>
          <w:color w:val="auto"/>
        </w:rPr>
      </w:pPr>
      <w:r>
        <w:rPr>
          <w:rFonts w:ascii="Arial" w:cs="Arial" w:eastAsia="Arial" w:hAnsi="Arial"/>
          <w:sz w:val="19"/>
          <w:szCs w:val="19"/>
          <w:color w:val="auto"/>
        </w:rPr>
        <w:t>David Zaccardelli, Pharm. D.</w:t>
      </w:r>
    </w:p>
    <w:p>
      <w:pPr>
        <w:spacing w:after="0" w:line="276" w:lineRule="exact"/>
        <w:rPr>
          <w:sz w:val="20"/>
          <w:szCs w:val="20"/>
          <w:color w:val="auto"/>
        </w:rPr>
      </w:pPr>
    </w:p>
    <w:p>
      <w:pPr>
        <w:ind w:left="6900"/>
        <w:spacing w:after="0"/>
        <w:rPr>
          <w:sz w:val="20"/>
          <w:szCs w:val="20"/>
          <w:color w:val="auto"/>
        </w:rPr>
      </w:pPr>
      <w:r>
        <w:rPr>
          <w:rFonts w:ascii="Arial" w:cs="Arial" w:eastAsia="Arial" w:hAnsi="Arial"/>
          <w:sz w:val="20"/>
          <w:szCs w:val="20"/>
          <w:color w:val="auto"/>
        </w:rPr>
        <w:t>President and Chief</w:t>
      </w:r>
    </w:p>
    <w:p>
      <w:pPr>
        <w:spacing w:after="0" w:line="22" w:lineRule="exact"/>
        <w:rPr>
          <w:sz w:val="20"/>
          <w:szCs w:val="20"/>
          <w:color w:val="auto"/>
        </w:rPr>
      </w:pPr>
    </w:p>
    <w:p>
      <w:pPr>
        <w:ind w:left="6900"/>
        <w:spacing w:after="0"/>
        <w:rPr>
          <w:sz w:val="20"/>
          <w:szCs w:val="20"/>
          <w:color w:val="auto"/>
        </w:rPr>
      </w:pPr>
      <w:r>
        <w:rPr>
          <w:rFonts w:ascii="Arial" w:cs="Arial" w:eastAsia="Arial" w:hAnsi="Arial"/>
          <w:sz w:val="20"/>
          <w:szCs w:val="20"/>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in the capacities and on the dates indicated.</w:t>
      </w:r>
    </w:p>
    <w:p>
      <w:pPr>
        <w:sectPr>
          <w:pgSz w:w="11880" w:h="15480" w:orient="portrait"/>
          <w:cols w:equalWidth="0" w:num="1">
            <w:col w:w="9360"/>
          </w:cols>
          <w:pgMar w:left="1260" w:top="1295"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9360"/>
          </w:cols>
          <w:pgMar w:left="1260" w:top="1295" w:right="1260" w:bottom="0" w:gutter="0" w:footer="0" w:header="0"/>
          <w:type w:val="continuous"/>
        </w:sectPr>
      </w:pPr>
    </w:p>
    <w:bookmarkStart w:id="106" w:name="page107"/>
    <w:bookmarkEnd w:id="106"/>
    <w:tbl>
      <w:tblPr>
        <w:tblLayout w:type="fixed"/>
        <w:tblInd w:w="10" w:type="dxa"/>
        <w:tblCellMar>
          <w:top w:w="0" w:type="dxa"/>
          <w:left w:w="0" w:type="dxa"/>
          <w:bottom w:w="0" w:type="dxa"/>
          <w:right w:w="0" w:type="dxa"/>
        </w:tblCellMar>
      </w:tblPr>
      <w:tr>
        <w:trPr>
          <w:trHeight w:val="527"/>
        </w:trPr>
        <w:tc>
          <w:tcPr>
            <w:tcW w:w="29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20"/>
                <w:szCs w:val="20"/>
                <w:color w:val="auto"/>
                <w:w w:val="92"/>
              </w:rPr>
              <w:t>/s/ David Zaccardelli</w:t>
            </w:r>
          </w:p>
        </w:tc>
        <w:tc>
          <w:tcPr>
            <w:tcW w:w="464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20"/>
                <w:szCs w:val="20"/>
                <w:color w:val="auto"/>
              </w:rPr>
              <w:t>President and Chief Executive Officer</w:t>
            </w:r>
          </w:p>
        </w:tc>
        <w:tc>
          <w:tcPr>
            <w:tcW w:w="17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6"/>
              </w:rPr>
              <w:t>February 27, 2025</w:t>
            </w:r>
          </w:p>
        </w:tc>
      </w:tr>
      <w:tr>
        <w:trPr>
          <w:trHeight w:val="268"/>
        </w:trPr>
        <w:tc>
          <w:tcPr>
            <w:tcW w:w="2900" w:type="dxa"/>
            <w:vAlign w:val="bottom"/>
            <w:tcBorders>
              <w:left w:val="single" w:sz="8" w:color="auto"/>
              <w:bottom w:val="single" w:sz="8" w:color="auto"/>
            </w:tcBorders>
          </w:tcPr>
          <w:p>
            <w:pPr>
              <w:spacing w:after="0"/>
              <w:rPr>
                <w:sz w:val="23"/>
                <w:szCs w:val="23"/>
                <w:color w:val="auto"/>
              </w:rPr>
            </w:pPr>
          </w:p>
        </w:tc>
        <w:tc>
          <w:tcPr>
            <w:tcW w:w="4640" w:type="dxa"/>
            <w:vAlign w:val="bottom"/>
            <w:tcBorders>
              <w:right w:val="single" w:sz="8" w:color="auto"/>
            </w:tcBorders>
          </w:tcPr>
          <w:p>
            <w:pPr>
              <w:ind w:left="220"/>
              <w:spacing w:after="0"/>
              <w:rPr>
                <w:sz w:val="20"/>
                <w:szCs w:val="20"/>
                <w:color w:val="auto"/>
              </w:rPr>
            </w:pPr>
            <w:r>
              <w:rPr>
                <w:rFonts w:ascii="Arial" w:cs="Arial" w:eastAsia="Arial" w:hAnsi="Arial"/>
                <w:sz w:val="20"/>
                <w:szCs w:val="20"/>
                <w:b w:val="1"/>
                <w:bCs w:val="1"/>
                <w:i w:val="1"/>
                <w:iCs w:val="1"/>
                <w:color w:val="auto"/>
              </w:rPr>
              <w:t>(principal executive officer)</w:t>
            </w:r>
          </w:p>
        </w:tc>
        <w:tc>
          <w:tcPr>
            <w:tcW w:w="1760" w:type="dxa"/>
            <w:vAlign w:val="bottom"/>
            <w:tcBorders>
              <w:right w:val="single" w:sz="8" w:color="auto"/>
            </w:tcBorders>
          </w:tcPr>
          <w:p>
            <w:pPr>
              <w:spacing w:after="0"/>
              <w:rPr>
                <w:sz w:val="23"/>
                <w:szCs w:val="23"/>
                <w:color w:val="auto"/>
              </w:rPr>
            </w:pPr>
          </w:p>
        </w:tc>
      </w:tr>
      <w:tr>
        <w:trPr>
          <w:trHeight w:val="264"/>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David Zaccardelli, Pharm. D.</w:t>
            </w:r>
          </w:p>
        </w:tc>
        <w:tc>
          <w:tcPr>
            <w:tcW w:w="4640" w:type="dxa"/>
            <w:vAlign w:val="bottom"/>
            <w:tcBorders>
              <w:right w:val="single" w:sz="8" w:color="auto"/>
            </w:tcBorders>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r>
      <w:tr>
        <w:trPr>
          <w:trHeight w:val="542"/>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94"/>
              </w:rPr>
              <w:t>/s/ Mark W. Hahn</w:t>
            </w:r>
          </w:p>
        </w:tc>
        <w:tc>
          <w:tcPr>
            <w:tcW w:w="4640" w:type="dxa"/>
            <w:vAlign w:val="bottom"/>
            <w:tcBorders>
              <w:right w:val="single" w:sz="8" w:color="auto"/>
            </w:tcBorders>
          </w:tcPr>
          <w:p>
            <w:pPr>
              <w:ind w:left="220"/>
              <w:spacing w:after="0"/>
              <w:rPr>
                <w:sz w:val="20"/>
                <w:szCs w:val="20"/>
                <w:color w:val="auto"/>
              </w:rPr>
            </w:pPr>
            <w:r>
              <w:rPr>
                <w:rFonts w:ascii="Arial" w:cs="Arial" w:eastAsia="Arial" w:hAnsi="Arial"/>
                <w:sz w:val="20"/>
                <w:szCs w:val="20"/>
                <w:color w:val="auto"/>
              </w:rPr>
              <w:t>Chief Financial Officer</w:t>
            </w:r>
          </w:p>
        </w:tc>
        <w:tc>
          <w:tcPr>
            <w:tcW w:w="176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w w:val="96"/>
              </w:rPr>
              <w:t>February 27, 2025</w:t>
            </w:r>
          </w:p>
        </w:tc>
      </w:tr>
      <w:tr>
        <w:trPr>
          <w:trHeight w:val="268"/>
        </w:trPr>
        <w:tc>
          <w:tcPr>
            <w:tcW w:w="2900" w:type="dxa"/>
            <w:vAlign w:val="bottom"/>
            <w:tcBorders>
              <w:left w:val="single" w:sz="8" w:color="auto"/>
              <w:bottom w:val="single" w:sz="8" w:color="auto"/>
            </w:tcBorders>
          </w:tcPr>
          <w:p>
            <w:pPr>
              <w:spacing w:after="0"/>
              <w:rPr>
                <w:sz w:val="23"/>
                <w:szCs w:val="23"/>
                <w:color w:val="auto"/>
              </w:rPr>
            </w:pPr>
          </w:p>
        </w:tc>
        <w:tc>
          <w:tcPr>
            <w:tcW w:w="4640" w:type="dxa"/>
            <w:vAlign w:val="bottom"/>
            <w:tcBorders>
              <w:right w:val="single" w:sz="8" w:color="auto"/>
            </w:tcBorders>
          </w:tcPr>
          <w:p>
            <w:pPr>
              <w:ind w:left="220"/>
              <w:spacing w:after="0"/>
              <w:rPr>
                <w:sz w:val="20"/>
                <w:szCs w:val="20"/>
                <w:color w:val="auto"/>
              </w:rPr>
            </w:pPr>
            <w:r>
              <w:rPr>
                <w:rFonts w:ascii="Arial" w:cs="Arial" w:eastAsia="Arial" w:hAnsi="Arial"/>
                <w:sz w:val="20"/>
                <w:szCs w:val="20"/>
                <w:b w:val="1"/>
                <w:bCs w:val="1"/>
                <w:i w:val="1"/>
                <w:iCs w:val="1"/>
                <w:color w:val="auto"/>
              </w:rPr>
              <w:t>(principal financial and accounting officer)</w:t>
            </w:r>
          </w:p>
        </w:tc>
        <w:tc>
          <w:tcPr>
            <w:tcW w:w="1760" w:type="dxa"/>
            <w:vAlign w:val="bottom"/>
            <w:tcBorders>
              <w:right w:val="single" w:sz="8" w:color="auto"/>
            </w:tcBorders>
          </w:tcPr>
          <w:p>
            <w:pPr>
              <w:spacing w:after="0"/>
              <w:rPr>
                <w:sz w:val="23"/>
                <w:szCs w:val="23"/>
                <w:color w:val="auto"/>
              </w:rPr>
            </w:pPr>
          </w:p>
        </w:tc>
      </w:tr>
      <w:tr>
        <w:trPr>
          <w:trHeight w:val="264"/>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Mark W. Hahn</w:t>
            </w:r>
          </w:p>
        </w:tc>
        <w:tc>
          <w:tcPr>
            <w:tcW w:w="4640" w:type="dxa"/>
            <w:vAlign w:val="bottom"/>
            <w:tcBorders>
              <w:right w:val="single" w:sz="8" w:color="auto"/>
            </w:tcBorders>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r>
      <w:tr>
        <w:trPr>
          <w:trHeight w:val="577"/>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92"/>
              </w:rPr>
              <w:t>/s/ David Ebsworth, Ph.D.</w:t>
            </w:r>
          </w:p>
        </w:tc>
        <w:tc>
          <w:tcPr>
            <w:tcW w:w="4640" w:type="dxa"/>
            <w:vAlign w:val="bottom"/>
            <w:tcBorders>
              <w:right w:val="single" w:sz="8" w:color="auto"/>
            </w:tcBorders>
          </w:tcPr>
          <w:p>
            <w:pPr>
              <w:ind w:left="220"/>
              <w:spacing w:after="0"/>
              <w:rPr>
                <w:sz w:val="20"/>
                <w:szCs w:val="20"/>
                <w:color w:val="auto"/>
              </w:rPr>
            </w:pPr>
            <w:r>
              <w:rPr>
                <w:rFonts w:ascii="Arial" w:cs="Arial" w:eastAsia="Arial" w:hAnsi="Arial"/>
                <w:sz w:val="20"/>
                <w:szCs w:val="20"/>
                <w:color w:val="auto"/>
              </w:rPr>
              <w:t>Chairperson of the Board of Directors</w:t>
            </w:r>
          </w:p>
        </w:tc>
        <w:tc>
          <w:tcPr>
            <w:tcW w:w="176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w w:val="96"/>
              </w:rPr>
              <w:t>February 27, 2025</w:t>
            </w:r>
          </w:p>
        </w:tc>
      </w:tr>
      <w:tr>
        <w:trPr>
          <w:trHeight w:val="39"/>
        </w:trPr>
        <w:tc>
          <w:tcPr>
            <w:tcW w:w="2900" w:type="dxa"/>
            <w:vAlign w:val="bottom"/>
            <w:tcBorders>
              <w:left w:val="single" w:sz="8" w:color="auto"/>
              <w:bottom w:val="single" w:sz="8" w:color="auto"/>
            </w:tcBorders>
          </w:tcPr>
          <w:p>
            <w:pPr>
              <w:spacing w:after="0"/>
              <w:rPr>
                <w:sz w:val="3"/>
                <w:szCs w:val="3"/>
                <w:color w:val="auto"/>
              </w:rPr>
            </w:pPr>
          </w:p>
        </w:tc>
        <w:tc>
          <w:tcPr>
            <w:tcW w:w="4640" w:type="dxa"/>
            <w:vAlign w:val="bottom"/>
            <w:tcBorders>
              <w:right w:val="single" w:sz="8" w:color="auto"/>
            </w:tcBorders>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64"/>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David Ebsworth, Ph.D.</w:t>
            </w:r>
          </w:p>
        </w:tc>
        <w:tc>
          <w:tcPr>
            <w:tcW w:w="4640" w:type="dxa"/>
            <w:vAlign w:val="bottom"/>
            <w:tcBorders>
              <w:right w:val="single" w:sz="8" w:color="auto"/>
            </w:tcBorders>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r>
      <w:tr>
        <w:trPr>
          <w:trHeight w:val="577"/>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91"/>
              </w:rPr>
              <w:t>/s/ Christina Ackermann</w:t>
            </w:r>
          </w:p>
        </w:tc>
        <w:tc>
          <w:tcPr>
            <w:tcW w:w="4640" w:type="dxa"/>
            <w:vAlign w:val="bottom"/>
            <w:tcBorders>
              <w:right w:val="single" w:sz="8" w:color="auto"/>
            </w:tcBorders>
          </w:tcPr>
          <w:p>
            <w:pPr>
              <w:ind w:left="220"/>
              <w:spacing w:after="0"/>
              <w:rPr>
                <w:sz w:val="20"/>
                <w:szCs w:val="20"/>
                <w:color w:val="auto"/>
              </w:rPr>
            </w:pPr>
            <w:r>
              <w:rPr>
                <w:rFonts w:ascii="Arial" w:cs="Arial" w:eastAsia="Arial" w:hAnsi="Arial"/>
                <w:sz w:val="20"/>
                <w:szCs w:val="20"/>
                <w:color w:val="auto"/>
              </w:rPr>
              <w:t>Director</w:t>
            </w:r>
          </w:p>
        </w:tc>
        <w:tc>
          <w:tcPr>
            <w:tcW w:w="176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w w:val="96"/>
              </w:rPr>
              <w:t>February 27, 2025</w:t>
            </w:r>
          </w:p>
        </w:tc>
      </w:tr>
      <w:tr>
        <w:trPr>
          <w:trHeight w:val="54"/>
        </w:trPr>
        <w:tc>
          <w:tcPr>
            <w:tcW w:w="2900" w:type="dxa"/>
            <w:vAlign w:val="bottom"/>
            <w:tcBorders>
              <w:left w:val="single" w:sz="8" w:color="auto"/>
              <w:bottom w:val="single" w:sz="8" w:color="auto"/>
            </w:tcBorders>
          </w:tcPr>
          <w:p>
            <w:pPr>
              <w:spacing w:after="0"/>
              <w:rPr>
                <w:sz w:val="4"/>
                <w:szCs w:val="4"/>
                <w:color w:val="auto"/>
              </w:rPr>
            </w:pPr>
          </w:p>
        </w:tc>
        <w:tc>
          <w:tcPr>
            <w:tcW w:w="4640" w:type="dxa"/>
            <w:vAlign w:val="bottom"/>
            <w:tcBorders>
              <w:right w:val="single" w:sz="8" w:color="auto"/>
            </w:tcBorders>
          </w:tcPr>
          <w:p>
            <w:pPr>
              <w:spacing w:after="0"/>
              <w:rPr>
                <w:sz w:val="4"/>
                <w:szCs w:val="4"/>
                <w:color w:val="auto"/>
              </w:rPr>
            </w:pPr>
          </w:p>
        </w:tc>
        <w:tc>
          <w:tcPr>
            <w:tcW w:w="1760" w:type="dxa"/>
            <w:vAlign w:val="bottom"/>
            <w:tcBorders>
              <w:right w:val="single" w:sz="8" w:color="auto"/>
            </w:tcBorders>
          </w:tcPr>
          <w:p>
            <w:pPr>
              <w:spacing w:after="0"/>
              <w:rPr>
                <w:sz w:val="4"/>
                <w:szCs w:val="4"/>
                <w:color w:val="auto"/>
              </w:rPr>
            </w:pPr>
          </w:p>
        </w:tc>
      </w:tr>
      <w:tr>
        <w:trPr>
          <w:trHeight w:val="264"/>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Christina Ackermann</w:t>
            </w:r>
          </w:p>
        </w:tc>
        <w:tc>
          <w:tcPr>
            <w:tcW w:w="4640" w:type="dxa"/>
            <w:vAlign w:val="bottom"/>
            <w:tcBorders>
              <w:right w:val="single" w:sz="8" w:color="auto"/>
            </w:tcBorders>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r>
      <w:tr>
        <w:trPr>
          <w:trHeight w:val="606"/>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94"/>
              </w:rPr>
              <w:t>/s/ Michael Austwick</w:t>
            </w:r>
          </w:p>
        </w:tc>
        <w:tc>
          <w:tcPr>
            <w:tcW w:w="4640" w:type="dxa"/>
            <w:vAlign w:val="bottom"/>
            <w:tcBorders>
              <w:right w:val="single" w:sz="8" w:color="auto"/>
            </w:tcBorders>
          </w:tcPr>
          <w:p>
            <w:pPr>
              <w:ind w:left="220"/>
              <w:spacing w:after="0"/>
              <w:rPr>
                <w:sz w:val="20"/>
                <w:szCs w:val="20"/>
                <w:color w:val="auto"/>
              </w:rPr>
            </w:pPr>
            <w:r>
              <w:rPr>
                <w:rFonts w:ascii="Arial" w:cs="Arial" w:eastAsia="Arial" w:hAnsi="Arial"/>
                <w:sz w:val="20"/>
                <w:szCs w:val="20"/>
                <w:color w:val="auto"/>
              </w:rPr>
              <w:t>Director</w:t>
            </w:r>
          </w:p>
        </w:tc>
        <w:tc>
          <w:tcPr>
            <w:tcW w:w="176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w w:val="96"/>
              </w:rPr>
              <w:t>February 27, 2025</w:t>
            </w:r>
          </w:p>
        </w:tc>
      </w:tr>
      <w:tr>
        <w:trPr>
          <w:trHeight w:val="39"/>
        </w:trPr>
        <w:tc>
          <w:tcPr>
            <w:tcW w:w="2900" w:type="dxa"/>
            <w:vAlign w:val="bottom"/>
            <w:tcBorders>
              <w:left w:val="single" w:sz="8" w:color="auto"/>
              <w:bottom w:val="single" w:sz="8" w:color="auto"/>
            </w:tcBorders>
          </w:tcPr>
          <w:p>
            <w:pPr>
              <w:spacing w:after="0"/>
              <w:rPr>
                <w:sz w:val="3"/>
                <w:szCs w:val="3"/>
                <w:color w:val="auto"/>
              </w:rPr>
            </w:pPr>
          </w:p>
        </w:tc>
        <w:tc>
          <w:tcPr>
            <w:tcW w:w="4640" w:type="dxa"/>
            <w:vAlign w:val="bottom"/>
            <w:tcBorders>
              <w:right w:val="single" w:sz="8" w:color="auto"/>
            </w:tcBorders>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64"/>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Michael Austwick</w:t>
            </w:r>
          </w:p>
        </w:tc>
        <w:tc>
          <w:tcPr>
            <w:tcW w:w="4640" w:type="dxa"/>
            <w:vAlign w:val="bottom"/>
            <w:tcBorders>
              <w:right w:val="single" w:sz="8" w:color="auto"/>
            </w:tcBorders>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r>
      <w:tr>
        <w:trPr>
          <w:trHeight w:val="577"/>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87"/>
              </w:rPr>
              <w:t>/s/ James Brady</w:t>
            </w:r>
          </w:p>
        </w:tc>
        <w:tc>
          <w:tcPr>
            <w:tcW w:w="4640" w:type="dxa"/>
            <w:vAlign w:val="bottom"/>
            <w:tcBorders>
              <w:right w:val="single" w:sz="8" w:color="auto"/>
            </w:tcBorders>
          </w:tcPr>
          <w:p>
            <w:pPr>
              <w:ind w:left="220"/>
              <w:spacing w:after="0"/>
              <w:rPr>
                <w:sz w:val="20"/>
                <w:szCs w:val="20"/>
                <w:color w:val="auto"/>
              </w:rPr>
            </w:pPr>
            <w:r>
              <w:rPr>
                <w:rFonts w:ascii="Arial" w:cs="Arial" w:eastAsia="Arial" w:hAnsi="Arial"/>
                <w:sz w:val="20"/>
                <w:szCs w:val="20"/>
                <w:color w:val="auto"/>
              </w:rPr>
              <w:t>Director</w:t>
            </w:r>
          </w:p>
        </w:tc>
        <w:tc>
          <w:tcPr>
            <w:tcW w:w="176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w w:val="96"/>
              </w:rPr>
              <w:t>February 27, 2025</w:t>
            </w:r>
          </w:p>
        </w:tc>
      </w:tr>
      <w:tr>
        <w:trPr>
          <w:trHeight w:val="39"/>
        </w:trPr>
        <w:tc>
          <w:tcPr>
            <w:tcW w:w="2900" w:type="dxa"/>
            <w:vAlign w:val="bottom"/>
            <w:tcBorders>
              <w:left w:val="single" w:sz="8" w:color="auto"/>
              <w:bottom w:val="single" w:sz="8" w:color="auto"/>
            </w:tcBorders>
          </w:tcPr>
          <w:p>
            <w:pPr>
              <w:spacing w:after="0"/>
              <w:rPr>
                <w:sz w:val="3"/>
                <w:szCs w:val="3"/>
                <w:color w:val="auto"/>
              </w:rPr>
            </w:pPr>
          </w:p>
        </w:tc>
        <w:tc>
          <w:tcPr>
            <w:tcW w:w="4640" w:type="dxa"/>
            <w:vAlign w:val="bottom"/>
            <w:tcBorders>
              <w:right w:val="single" w:sz="8" w:color="auto"/>
            </w:tcBorders>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64"/>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James Brady</w:t>
            </w:r>
          </w:p>
        </w:tc>
        <w:tc>
          <w:tcPr>
            <w:tcW w:w="4640" w:type="dxa"/>
            <w:vAlign w:val="bottom"/>
            <w:tcBorders>
              <w:right w:val="single" w:sz="8" w:color="auto"/>
            </w:tcBorders>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r>
      <w:tr>
        <w:trPr>
          <w:trHeight w:val="577"/>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92"/>
              </w:rPr>
              <w:t>/s/ Ken Cunningham, M.D.</w:t>
            </w:r>
          </w:p>
        </w:tc>
        <w:tc>
          <w:tcPr>
            <w:tcW w:w="4640" w:type="dxa"/>
            <w:vAlign w:val="bottom"/>
            <w:tcBorders>
              <w:right w:val="single" w:sz="8" w:color="auto"/>
            </w:tcBorders>
          </w:tcPr>
          <w:p>
            <w:pPr>
              <w:ind w:left="220"/>
              <w:spacing w:after="0"/>
              <w:rPr>
                <w:sz w:val="20"/>
                <w:szCs w:val="20"/>
                <w:color w:val="auto"/>
              </w:rPr>
            </w:pPr>
            <w:r>
              <w:rPr>
                <w:rFonts w:ascii="Arial" w:cs="Arial" w:eastAsia="Arial" w:hAnsi="Arial"/>
                <w:sz w:val="20"/>
                <w:szCs w:val="20"/>
                <w:color w:val="auto"/>
              </w:rPr>
              <w:t>Director</w:t>
            </w:r>
          </w:p>
        </w:tc>
        <w:tc>
          <w:tcPr>
            <w:tcW w:w="176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w w:val="96"/>
              </w:rPr>
              <w:t>February 27, 2025</w:t>
            </w:r>
          </w:p>
        </w:tc>
      </w:tr>
      <w:tr>
        <w:trPr>
          <w:trHeight w:val="39"/>
        </w:trPr>
        <w:tc>
          <w:tcPr>
            <w:tcW w:w="2900" w:type="dxa"/>
            <w:vAlign w:val="bottom"/>
            <w:tcBorders>
              <w:left w:val="single" w:sz="8" w:color="auto"/>
              <w:bottom w:val="single" w:sz="8" w:color="auto"/>
            </w:tcBorders>
          </w:tcPr>
          <w:p>
            <w:pPr>
              <w:spacing w:after="0"/>
              <w:rPr>
                <w:sz w:val="3"/>
                <w:szCs w:val="3"/>
                <w:color w:val="auto"/>
              </w:rPr>
            </w:pPr>
          </w:p>
        </w:tc>
        <w:tc>
          <w:tcPr>
            <w:tcW w:w="4640" w:type="dxa"/>
            <w:vAlign w:val="bottom"/>
            <w:tcBorders>
              <w:right w:val="single" w:sz="8" w:color="auto"/>
            </w:tcBorders>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64"/>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Ken Cunningham, M.D.</w:t>
            </w:r>
          </w:p>
        </w:tc>
        <w:tc>
          <w:tcPr>
            <w:tcW w:w="4640" w:type="dxa"/>
            <w:vAlign w:val="bottom"/>
            <w:tcBorders>
              <w:right w:val="single" w:sz="8" w:color="auto"/>
            </w:tcBorders>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r>
      <w:tr>
        <w:trPr>
          <w:trHeight w:val="577"/>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88"/>
              </w:rPr>
              <w:t>/s/ Lisa Deschamps</w:t>
            </w:r>
          </w:p>
        </w:tc>
        <w:tc>
          <w:tcPr>
            <w:tcW w:w="4640" w:type="dxa"/>
            <w:vAlign w:val="bottom"/>
            <w:tcBorders>
              <w:right w:val="single" w:sz="8" w:color="auto"/>
            </w:tcBorders>
          </w:tcPr>
          <w:p>
            <w:pPr>
              <w:ind w:left="220"/>
              <w:spacing w:after="0"/>
              <w:rPr>
                <w:sz w:val="20"/>
                <w:szCs w:val="20"/>
                <w:color w:val="auto"/>
              </w:rPr>
            </w:pPr>
            <w:r>
              <w:rPr>
                <w:rFonts w:ascii="Arial" w:cs="Arial" w:eastAsia="Arial" w:hAnsi="Arial"/>
                <w:sz w:val="20"/>
                <w:szCs w:val="20"/>
                <w:color w:val="auto"/>
              </w:rPr>
              <w:t>Director</w:t>
            </w:r>
          </w:p>
        </w:tc>
        <w:tc>
          <w:tcPr>
            <w:tcW w:w="176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w w:val="96"/>
              </w:rPr>
              <w:t>February 27, 2025</w:t>
            </w:r>
          </w:p>
        </w:tc>
      </w:tr>
      <w:tr>
        <w:trPr>
          <w:trHeight w:val="39"/>
        </w:trPr>
        <w:tc>
          <w:tcPr>
            <w:tcW w:w="2900" w:type="dxa"/>
            <w:vAlign w:val="bottom"/>
            <w:tcBorders>
              <w:left w:val="single" w:sz="8" w:color="auto"/>
              <w:bottom w:val="single" w:sz="8" w:color="auto"/>
            </w:tcBorders>
          </w:tcPr>
          <w:p>
            <w:pPr>
              <w:spacing w:after="0"/>
              <w:rPr>
                <w:sz w:val="3"/>
                <w:szCs w:val="3"/>
                <w:color w:val="auto"/>
              </w:rPr>
            </w:pPr>
          </w:p>
        </w:tc>
        <w:tc>
          <w:tcPr>
            <w:tcW w:w="4640" w:type="dxa"/>
            <w:vAlign w:val="bottom"/>
            <w:tcBorders>
              <w:right w:val="single" w:sz="8" w:color="auto"/>
            </w:tcBorders>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64"/>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Lisa Deschamps</w:t>
            </w:r>
          </w:p>
        </w:tc>
        <w:tc>
          <w:tcPr>
            <w:tcW w:w="4640" w:type="dxa"/>
            <w:vAlign w:val="bottom"/>
            <w:tcBorders>
              <w:right w:val="single" w:sz="8" w:color="auto"/>
            </w:tcBorders>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r>
      <w:tr>
        <w:trPr>
          <w:trHeight w:val="577"/>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94"/>
              </w:rPr>
              <w:t>/s/ Martin Edwards, M.D.</w:t>
            </w:r>
          </w:p>
        </w:tc>
        <w:tc>
          <w:tcPr>
            <w:tcW w:w="4640" w:type="dxa"/>
            <w:vAlign w:val="bottom"/>
            <w:tcBorders>
              <w:right w:val="single" w:sz="8" w:color="auto"/>
            </w:tcBorders>
          </w:tcPr>
          <w:p>
            <w:pPr>
              <w:ind w:left="220"/>
              <w:spacing w:after="0"/>
              <w:rPr>
                <w:sz w:val="20"/>
                <w:szCs w:val="20"/>
                <w:color w:val="auto"/>
              </w:rPr>
            </w:pPr>
            <w:r>
              <w:rPr>
                <w:rFonts w:ascii="Arial" w:cs="Arial" w:eastAsia="Arial" w:hAnsi="Arial"/>
                <w:sz w:val="20"/>
                <w:szCs w:val="20"/>
                <w:color w:val="auto"/>
              </w:rPr>
              <w:t>Director</w:t>
            </w:r>
          </w:p>
        </w:tc>
        <w:tc>
          <w:tcPr>
            <w:tcW w:w="176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w w:val="96"/>
              </w:rPr>
              <w:t>February 27, 2025</w:t>
            </w:r>
          </w:p>
        </w:tc>
      </w:tr>
      <w:tr>
        <w:trPr>
          <w:trHeight w:val="39"/>
        </w:trPr>
        <w:tc>
          <w:tcPr>
            <w:tcW w:w="2900" w:type="dxa"/>
            <w:vAlign w:val="bottom"/>
            <w:tcBorders>
              <w:left w:val="single" w:sz="8" w:color="auto"/>
              <w:bottom w:val="single" w:sz="8" w:color="auto"/>
            </w:tcBorders>
          </w:tcPr>
          <w:p>
            <w:pPr>
              <w:spacing w:after="0"/>
              <w:rPr>
                <w:sz w:val="3"/>
                <w:szCs w:val="3"/>
                <w:color w:val="auto"/>
              </w:rPr>
            </w:pPr>
          </w:p>
        </w:tc>
        <w:tc>
          <w:tcPr>
            <w:tcW w:w="4640" w:type="dxa"/>
            <w:vAlign w:val="bottom"/>
            <w:tcBorders>
              <w:right w:val="single" w:sz="8" w:color="auto"/>
            </w:tcBorders>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64"/>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Martin Edwards, M.D.</w:t>
            </w:r>
          </w:p>
        </w:tc>
        <w:tc>
          <w:tcPr>
            <w:tcW w:w="4640" w:type="dxa"/>
            <w:vAlign w:val="bottom"/>
            <w:tcBorders>
              <w:right w:val="single" w:sz="8" w:color="auto"/>
            </w:tcBorders>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r>
      <w:tr>
        <w:trPr>
          <w:trHeight w:val="577"/>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89"/>
              </w:rPr>
              <w:t>/s/ Mahendra Shah, Ph.D.</w:t>
            </w:r>
          </w:p>
        </w:tc>
        <w:tc>
          <w:tcPr>
            <w:tcW w:w="4640" w:type="dxa"/>
            <w:vAlign w:val="bottom"/>
            <w:tcBorders>
              <w:right w:val="single" w:sz="8" w:color="auto"/>
            </w:tcBorders>
          </w:tcPr>
          <w:p>
            <w:pPr>
              <w:ind w:left="220"/>
              <w:spacing w:after="0"/>
              <w:rPr>
                <w:sz w:val="20"/>
                <w:szCs w:val="20"/>
                <w:color w:val="auto"/>
              </w:rPr>
            </w:pPr>
            <w:r>
              <w:rPr>
                <w:rFonts w:ascii="Arial" w:cs="Arial" w:eastAsia="Arial" w:hAnsi="Arial"/>
                <w:sz w:val="20"/>
                <w:szCs w:val="20"/>
                <w:color w:val="auto"/>
              </w:rPr>
              <w:t>Director</w:t>
            </w:r>
          </w:p>
        </w:tc>
        <w:tc>
          <w:tcPr>
            <w:tcW w:w="176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w w:val="96"/>
              </w:rPr>
              <w:t>February 27, 2025</w:t>
            </w:r>
          </w:p>
        </w:tc>
      </w:tr>
      <w:tr>
        <w:trPr>
          <w:trHeight w:val="39"/>
        </w:trPr>
        <w:tc>
          <w:tcPr>
            <w:tcW w:w="2900" w:type="dxa"/>
            <w:vAlign w:val="bottom"/>
            <w:tcBorders>
              <w:left w:val="single" w:sz="8" w:color="auto"/>
              <w:bottom w:val="single" w:sz="8" w:color="auto"/>
            </w:tcBorders>
          </w:tcPr>
          <w:p>
            <w:pPr>
              <w:spacing w:after="0"/>
              <w:rPr>
                <w:sz w:val="3"/>
                <w:szCs w:val="3"/>
                <w:color w:val="auto"/>
              </w:rPr>
            </w:pPr>
          </w:p>
        </w:tc>
        <w:tc>
          <w:tcPr>
            <w:tcW w:w="4640" w:type="dxa"/>
            <w:vAlign w:val="bottom"/>
            <w:tcBorders>
              <w:right w:val="single" w:sz="8" w:color="auto"/>
            </w:tcBorders>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64"/>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Mahendra Shah, Ph.D.</w:t>
            </w:r>
          </w:p>
        </w:tc>
        <w:tc>
          <w:tcPr>
            <w:tcW w:w="4640" w:type="dxa"/>
            <w:vAlign w:val="bottom"/>
            <w:tcBorders>
              <w:right w:val="single" w:sz="8" w:color="auto"/>
            </w:tcBorders>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r>
      <w:tr>
        <w:trPr>
          <w:trHeight w:val="577"/>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92"/>
              </w:rPr>
              <w:t>/s/ Vikas Sinha</w:t>
            </w:r>
          </w:p>
        </w:tc>
        <w:tc>
          <w:tcPr>
            <w:tcW w:w="4640" w:type="dxa"/>
            <w:vAlign w:val="bottom"/>
            <w:tcBorders>
              <w:right w:val="single" w:sz="8" w:color="auto"/>
            </w:tcBorders>
          </w:tcPr>
          <w:p>
            <w:pPr>
              <w:ind w:left="220"/>
              <w:spacing w:after="0"/>
              <w:rPr>
                <w:sz w:val="20"/>
                <w:szCs w:val="20"/>
                <w:color w:val="auto"/>
              </w:rPr>
            </w:pPr>
            <w:r>
              <w:rPr>
                <w:rFonts w:ascii="Arial" w:cs="Arial" w:eastAsia="Arial" w:hAnsi="Arial"/>
                <w:sz w:val="20"/>
                <w:szCs w:val="20"/>
                <w:color w:val="auto"/>
              </w:rPr>
              <w:t>Director</w:t>
            </w:r>
          </w:p>
        </w:tc>
        <w:tc>
          <w:tcPr>
            <w:tcW w:w="176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w w:val="96"/>
              </w:rPr>
              <w:t>February 27, 2025</w:t>
            </w:r>
          </w:p>
        </w:tc>
      </w:tr>
      <w:tr>
        <w:trPr>
          <w:trHeight w:val="39"/>
        </w:trPr>
        <w:tc>
          <w:tcPr>
            <w:tcW w:w="2900" w:type="dxa"/>
            <w:vAlign w:val="bottom"/>
            <w:tcBorders>
              <w:left w:val="single" w:sz="8" w:color="auto"/>
              <w:bottom w:val="single" w:sz="8" w:color="auto"/>
            </w:tcBorders>
          </w:tcPr>
          <w:p>
            <w:pPr>
              <w:spacing w:after="0"/>
              <w:rPr>
                <w:sz w:val="3"/>
                <w:szCs w:val="3"/>
                <w:color w:val="auto"/>
              </w:rPr>
            </w:pPr>
          </w:p>
        </w:tc>
        <w:tc>
          <w:tcPr>
            <w:tcW w:w="4640" w:type="dxa"/>
            <w:vAlign w:val="bottom"/>
            <w:tcBorders>
              <w:right w:val="single" w:sz="8" w:color="auto"/>
            </w:tcBorders>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64"/>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Vikas Sinha</w:t>
            </w:r>
          </w:p>
        </w:tc>
        <w:tc>
          <w:tcPr>
            <w:tcW w:w="4640" w:type="dxa"/>
            <w:vAlign w:val="bottom"/>
            <w:tcBorders>
              <w:right w:val="single" w:sz="8" w:color="auto"/>
            </w:tcBorders>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r>
      <w:tr>
        <w:trPr>
          <w:trHeight w:val="577"/>
        </w:trPr>
        <w:tc>
          <w:tcPr>
            <w:tcW w:w="2900" w:type="dxa"/>
            <w:vAlign w:val="bottom"/>
            <w:tcBorders>
              <w:left w:val="single" w:sz="8" w:color="auto"/>
            </w:tcBorders>
          </w:tcPr>
          <w:p>
            <w:pPr>
              <w:jc w:val="center"/>
              <w:spacing w:after="0"/>
              <w:rPr>
                <w:sz w:val="20"/>
                <w:szCs w:val="20"/>
                <w:color w:val="auto"/>
              </w:rPr>
            </w:pPr>
            <w:r>
              <w:rPr>
                <w:rFonts w:ascii="Arial" w:cs="Arial" w:eastAsia="Arial" w:hAnsi="Arial"/>
                <w:sz w:val="20"/>
                <w:szCs w:val="20"/>
                <w:color w:val="auto"/>
                <w:w w:val="93"/>
              </w:rPr>
              <w:t>/s/ Anders Ullman, M.D., Ph.D.</w:t>
            </w:r>
          </w:p>
        </w:tc>
        <w:tc>
          <w:tcPr>
            <w:tcW w:w="4640" w:type="dxa"/>
            <w:vAlign w:val="bottom"/>
            <w:tcBorders>
              <w:right w:val="single" w:sz="8" w:color="auto"/>
            </w:tcBorders>
          </w:tcPr>
          <w:p>
            <w:pPr>
              <w:ind w:left="220"/>
              <w:spacing w:after="0"/>
              <w:rPr>
                <w:sz w:val="20"/>
                <w:szCs w:val="20"/>
                <w:color w:val="auto"/>
              </w:rPr>
            </w:pPr>
            <w:r>
              <w:rPr>
                <w:rFonts w:ascii="Arial" w:cs="Arial" w:eastAsia="Arial" w:hAnsi="Arial"/>
                <w:sz w:val="20"/>
                <w:szCs w:val="20"/>
                <w:color w:val="auto"/>
              </w:rPr>
              <w:t>Director</w:t>
            </w:r>
          </w:p>
        </w:tc>
        <w:tc>
          <w:tcPr>
            <w:tcW w:w="176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w w:val="96"/>
              </w:rPr>
              <w:t>February 27, 2025</w:t>
            </w:r>
          </w:p>
        </w:tc>
      </w:tr>
      <w:tr>
        <w:trPr>
          <w:trHeight w:val="39"/>
        </w:trPr>
        <w:tc>
          <w:tcPr>
            <w:tcW w:w="2900" w:type="dxa"/>
            <w:vAlign w:val="bottom"/>
            <w:tcBorders>
              <w:left w:val="single" w:sz="8" w:color="auto"/>
              <w:bottom w:val="single" w:sz="8" w:color="auto"/>
            </w:tcBorders>
          </w:tcPr>
          <w:p>
            <w:pPr>
              <w:spacing w:after="0"/>
              <w:rPr>
                <w:sz w:val="3"/>
                <w:szCs w:val="3"/>
                <w:color w:val="auto"/>
              </w:rPr>
            </w:pPr>
          </w:p>
        </w:tc>
        <w:tc>
          <w:tcPr>
            <w:tcW w:w="4640" w:type="dxa"/>
            <w:vAlign w:val="bottom"/>
            <w:tcBorders>
              <w:right w:val="single" w:sz="8" w:color="auto"/>
            </w:tcBorders>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80"/>
        </w:trPr>
        <w:tc>
          <w:tcPr>
            <w:tcW w:w="29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Anders Ullman, M.D., Ph.D.</w:t>
            </w:r>
          </w:p>
        </w:tc>
        <w:tc>
          <w:tcPr>
            <w:tcW w:w="46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r>
    </w:tbl>
    <w:p>
      <w:pPr>
        <w:spacing w:after="0"/>
        <w:rPr>
          <w:sz w:val="20"/>
          <w:szCs w:val="20"/>
          <w:color w:val="auto"/>
        </w:rPr>
        <w:sectPr>
          <w:pgSz w:w="11880" w:h="15480" w:orient="portrait"/>
          <w:cols w:equalWidth="0" w:num="1">
            <w:col w:w="9300"/>
          </w:cols>
          <w:pgMar w:left="1260" w:top="889" w:right="1320" w:bottom="0" w:gutter="0" w:footer="0" w:header="0"/>
        </w:sectPr>
      </w:pPr>
      <w:r>
        <w:rPr>
          <w:sz w:val="20"/>
          <w:szCs w:val="20"/>
          <w:color w:val="auto"/>
        </w:rPr>
        <mc:AlternateContent>
          <mc:Choice Requires="wps">
            <w:drawing>
              <wp:anchor simplePos="0" relativeHeight="251657728" behindDoc="1" locked="0" layoutInCell="0" allowOverlap="1">
                <wp:simplePos x="0" y="0"/>
                <wp:positionH relativeFrom="page">
                  <wp:posOffset>802005</wp:posOffset>
                </wp:positionH>
                <wp:positionV relativeFrom="page">
                  <wp:posOffset>577215</wp:posOffset>
                </wp:positionV>
                <wp:extent cx="0" cy="714121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141210"/>
                        </a:xfrm>
                        <a:prstGeom prst="line">
                          <a:avLst/>
                        </a:prstGeom>
                        <a:solidFill>
                          <a:srgbClr val="FFFFFF"/>
                        </a:solidFill>
                        <a:ln w="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15pt,45.45pt" to="63.15pt,607.75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5579745</wp:posOffset>
                </wp:positionH>
                <wp:positionV relativeFrom="page">
                  <wp:posOffset>577215</wp:posOffset>
                </wp:positionV>
                <wp:extent cx="0" cy="714121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141210"/>
                        </a:xfrm>
                        <a:prstGeom prst="line">
                          <a:avLst/>
                        </a:prstGeom>
                        <a:solidFill>
                          <a:srgbClr val="FFFFFF"/>
                        </a:solidFill>
                        <a:ln w="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39.35pt,45.45pt" to="439.35pt,607.75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6703060</wp:posOffset>
                </wp:positionH>
                <wp:positionV relativeFrom="page">
                  <wp:posOffset>577215</wp:posOffset>
                </wp:positionV>
                <wp:extent cx="0" cy="714121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141210"/>
                        </a:xfrm>
                        <a:prstGeom prst="line">
                          <a:avLst/>
                        </a:prstGeom>
                        <a:solidFill>
                          <a:srgbClr val="FFFFFF"/>
                        </a:solidFill>
                        <a:ln w="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7.8pt,45.45pt" to="527.8pt,607.75pt" o:allowincell="f" strokecolor="#000000" strokeweight="0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9300"/>
          </w:cols>
          <w:pgMar w:left="1260" w:top="889" w:right="1320" w:bottom="0" w:gutter="0" w:footer="0" w:header="0"/>
          <w:type w:val="continuous"/>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08" w:name="page109"/>
    <w:bookmarkEnd w:id="108"/>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20" w:type="dxa"/>
            <w:vAlign w:val="bottom"/>
          </w:tcPr>
          <w:p>
            <w:pPr>
              <w:spacing w:after="0"/>
              <w:rPr>
                <w:sz w:val="20"/>
                <w:szCs w:val="20"/>
                <w:color w:val="auto"/>
              </w:rPr>
            </w:pPr>
            <w:r>
              <w:rPr>
                <w:rFonts w:ascii="Arial" w:cs="Arial" w:eastAsia="Arial" w:hAnsi="Arial"/>
                <w:sz w:val="19"/>
                <w:szCs w:val="19"/>
                <w:b w:val="1"/>
                <w:bCs w:val="1"/>
                <w:color w:val="auto"/>
              </w:rPr>
              <w:t>Index</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4"/>
        </w:trPr>
        <w:tc>
          <w:tcPr>
            <w:tcW w:w="8220" w:type="dxa"/>
            <w:vAlign w:val="bottom"/>
          </w:tcPr>
          <w:p>
            <w:pPr>
              <w:ind w:left="60"/>
              <w:spacing w:after="0"/>
              <w:rPr>
                <w:sz w:val="20"/>
                <w:szCs w:val="20"/>
                <w:color w:val="auto"/>
              </w:rPr>
            </w:pPr>
            <w:r>
              <w:rPr>
                <w:rFonts w:ascii="Arial" w:cs="Arial" w:eastAsia="Arial" w:hAnsi="Arial"/>
                <w:sz w:val="19"/>
                <w:szCs w:val="19"/>
                <w:color w:val="auto"/>
              </w:rPr>
              <w:t>Report of Independent Registered Public Accounting Firm (PCAOB ID: 42)</w:t>
            </w:r>
          </w:p>
        </w:tc>
        <w:tc>
          <w:tcPr>
            <w:tcW w:w="720" w:type="dxa"/>
            <w:vAlign w:val="bottom"/>
          </w:tcPr>
          <w:p>
            <w:pPr>
              <w:jc w:val="right"/>
              <w:spacing w:after="0"/>
              <w:rPr>
                <w:sz w:val="20"/>
                <w:szCs w:val="20"/>
                <w:color w:val="auto"/>
              </w:rPr>
            </w:pPr>
            <w:r>
              <w:rPr>
                <w:rFonts w:ascii="Arial" w:cs="Arial" w:eastAsia="Arial" w:hAnsi="Arial"/>
                <w:sz w:val="19"/>
                <w:szCs w:val="19"/>
                <w:color w:val="auto"/>
              </w:rPr>
              <w:t>F-2</w:t>
            </w:r>
          </w:p>
        </w:tc>
        <w:tc>
          <w:tcPr>
            <w:tcW w:w="0" w:type="dxa"/>
            <w:vAlign w:val="bottom"/>
          </w:tcPr>
          <w:p>
            <w:pPr>
              <w:spacing w:after="0"/>
              <w:rPr>
                <w:sz w:val="1"/>
                <w:szCs w:val="1"/>
                <w:color w:val="auto"/>
              </w:rPr>
            </w:pPr>
          </w:p>
        </w:tc>
      </w:tr>
      <w:tr>
        <w:trPr>
          <w:trHeight w:val="303"/>
        </w:trPr>
        <w:tc>
          <w:tcPr>
            <w:tcW w:w="8220" w:type="dxa"/>
            <w:vAlign w:val="bottom"/>
          </w:tcPr>
          <w:p>
            <w:pPr>
              <w:ind w:left="60"/>
              <w:spacing w:after="0"/>
              <w:rPr>
                <w:sz w:val="20"/>
                <w:szCs w:val="20"/>
                <w:color w:val="auto"/>
              </w:rPr>
            </w:pPr>
            <w:r>
              <w:rPr>
                <w:rFonts w:ascii="Arial" w:cs="Arial" w:eastAsia="Arial" w:hAnsi="Arial"/>
                <w:sz w:val="19"/>
                <w:szCs w:val="19"/>
                <w:color w:val="auto"/>
              </w:rPr>
              <w:t>Report of Independent Registered Public Accounting Firm (PCAOB ID: 876)</w:t>
            </w:r>
          </w:p>
        </w:tc>
        <w:tc>
          <w:tcPr>
            <w:tcW w:w="720" w:type="dxa"/>
            <w:vAlign w:val="bottom"/>
          </w:tcPr>
          <w:p>
            <w:pPr>
              <w:jc w:val="right"/>
              <w:spacing w:after="0"/>
              <w:rPr>
                <w:sz w:val="20"/>
                <w:szCs w:val="20"/>
                <w:color w:val="auto"/>
              </w:rPr>
            </w:pPr>
            <w:r>
              <w:rPr>
                <w:rFonts w:ascii="Arial" w:cs="Arial" w:eastAsia="Arial" w:hAnsi="Arial"/>
                <w:sz w:val="19"/>
                <w:szCs w:val="19"/>
                <w:color w:val="auto"/>
              </w:rPr>
              <w:t>F-6</w:t>
            </w:r>
          </w:p>
        </w:tc>
        <w:tc>
          <w:tcPr>
            <w:tcW w:w="0" w:type="dxa"/>
            <w:vAlign w:val="bottom"/>
          </w:tcPr>
          <w:p>
            <w:pPr>
              <w:spacing w:after="0"/>
              <w:rPr>
                <w:sz w:val="1"/>
                <w:szCs w:val="1"/>
                <w:color w:val="auto"/>
              </w:rPr>
            </w:pPr>
          </w:p>
        </w:tc>
      </w:tr>
      <w:tr>
        <w:trPr>
          <w:trHeight w:val="303"/>
        </w:trPr>
        <w:tc>
          <w:tcPr>
            <w:tcW w:w="8220" w:type="dxa"/>
            <w:vAlign w:val="bottom"/>
          </w:tcPr>
          <w:p>
            <w:pPr>
              <w:ind w:left="60"/>
              <w:spacing w:after="0"/>
              <w:rPr>
                <w:sz w:val="20"/>
                <w:szCs w:val="20"/>
                <w:color w:val="auto"/>
              </w:rPr>
            </w:pPr>
            <w:r>
              <w:rPr>
                <w:rFonts w:ascii="Arial" w:cs="Arial" w:eastAsia="Arial" w:hAnsi="Arial"/>
                <w:sz w:val="19"/>
                <w:szCs w:val="19"/>
                <w:color w:val="auto"/>
              </w:rPr>
              <w:t>Consolidated Balance Sheets as of December 31, 2024 and 2023</w:t>
            </w:r>
          </w:p>
        </w:tc>
        <w:tc>
          <w:tcPr>
            <w:tcW w:w="720" w:type="dxa"/>
            <w:vAlign w:val="bottom"/>
          </w:tcPr>
          <w:p>
            <w:pPr>
              <w:jc w:val="right"/>
              <w:spacing w:after="0"/>
              <w:rPr>
                <w:sz w:val="20"/>
                <w:szCs w:val="20"/>
                <w:color w:val="auto"/>
              </w:rPr>
            </w:pPr>
            <w:r>
              <w:rPr>
                <w:rFonts w:ascii="Arial" w:cs="Arial" w:eastAsia="Arial" w:hAnsi="Arial"/>
                <w:sz w:val="19"/>
                <w:szCs w:val="19"/>
                <w:color w:val="auto"/>
              </w:rPr>
              <w:t>F-7</w:t>
            </w:r>
          </w:p>
        </w:tc>
        <w:tc>
          <w:tcPr>
            <w:tcW w:w="0" w:type="dxa"/>
            <w:vAlign w:val="bottom"/>
          </w:tcPr>
          <w:p>
            <w:pPr>
              <w:spacing w:after="0"/>
              <w:rPr>
                <w:sz w:val="1"/>
                <w:szCs w:val="1"/>
                <w:color w:val="auto"/>
              </w:rPr>
            </w:pPr>
          </w:p>
        </w:tc>
      </w:tr>
      <w:tr>
        <w:trPr>
          <w:trHeight w:val="197"/>
        </w:trPr>
        <w:tc>
          <w:tcPr>
            <w:tcW w:w="8220" w:type="dxa"/>
            <w:vAlign w:val="bottom"/>
          </w:tcPr>
          <w:p>
            <w:pPr>
              <w:ind w:left="60"/>
              <w:spacing w:after="0" w:line="196" w:lineRule="exact"/>
              <w:rPr>
                <w:sz w:val="20"/>
                <w:szCs w:val="20"/>
                <w:color w:val="auto"/>
              </w:rPr>
            </w:pPr>
            <w:r>
              <w:rPr>
                <w:rFonts w:ascii="Arial" w:cs="Arial" w:eastAsia="Arial" w:hAnsi="Arial"/>
                <w:sz w:val="19"/>
                <w:szCs w:val="19"/>
                <w:color w:val="auto"/>
                <w:w w:val="96"/>
              </w:rPr>
              <w:t>Consolidated Statements of Operations and Comprehensive Loss for the years ended December 31,</w:t>
            </w: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F-8</w:t>
            </w:r>
          </w:p>
        </w:tc>
        <w:tc>
          <w:tcPr>
            <w:tcW w:w="0" w:type="dxa"/>
            <w:vAlign w:val="bottom"/>
          </w:tcPr>
          <w:p>
            <w:pPr>
              <w:spacing w:after="0"/>
              <w:rPr>
                <w:sz w:val="1"/>
                <w:szCs w:val="1"/>
                <w:color w:val="auto"/>
              </w:rPr>
            </w:pPr>
          </w:p>
        </w:tc>
      </w:tr>
      <w:tr>
        <w:trPr>
          <w:trHeight w:val="251"/>
        </w:trPr>
        <w:tc>
          <w:tcPr>
            <w:tcW w:w="8220" w:type="dxa"/>
            <w:vAlign w:val="bottom"/>
          </w:tcPr>
          <w:p>
            <w:pPr>
              <w:ind w:left="60"/>
              <w:spacing w:after="0"/>
              <w:rPr>
                <w:sz w:val="20"/>
                <w:szCs w:val="20"/>
                <w:color w:val="auto"/>
              </w:rPr>
            </w:pPr>
            <w:r>
              <w:rPr>
                <w:rFonts w:ascii="Arial" w:cs="Arial" w:eastAsia="Arial" w:hAnsi="Arial"/>
                <w:sz w:val="19"/>
                <w:szCs w:val="19"/>
                <w:color w:val="auto"/>
              </w:rPr>
              <w:t>2024, 2023 and 2022</w:t>
            </w: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8220" w:type="dxa"/>
            <w:vAlign w:val="bottom"/>
          </w:tcPr>
          <w:p>
            <w:pPr>
              <w:ind w:left="60"/>
              <w:spacing w:after="0" w:line="195" w:lineRule="exact"/>
              <w:rPr>
                <w:sz w:val="20"/>
                <w:szCs w:val="20"/>
                <w:color w:val="auto"/>
              </w:rPr>
            </w:pPr>
            <w:r>
              <w:rPr>
                <w:rFonts w:ascii="Arial" w:cs="Arial" w:eastAsia="Arial" w:hAnsi="Arial"/>
                <w:sz w:val="19"/>
                <w:szCs w:val="19"/>
                <w:color w:val="auto"/>
                <w:w w:val="94"/>
              </w:rPr>
              <w:t>Consolidated Statements of Changes in Shareholders’ Equity for the years ended December 31, 2024,</w:t>
            </w: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F-9</w:t>
            </w:r>
          </w:p>
        </w:tc>
        <w:tc>
          <w:tcPr>
            <w:tcW w:w="0" w:type="dxa"/>
            <w:vAlign w:val="bottom"/>
          </w:tcPr>
          <w:p>
            <w:pPr>
              <w:spacing w:after="0"/>
              <w:rPr>
                <w:sz w:val="1"/>
                <w:szCs w:val="1"/>
                <w:color w:val="auto"/>
              </w:rPr>
            </w:pPr>
          </w:p>
        </w:tc>
      </w:tr>
      <w:tr>
        <w:trPr>
          <w:trHeight w:val="251"/>
        </w:trPr>
        <w:tc>
          <w:tcPr>
            <w:tcW w:w="8220" w:type="dxa"/>
            <w:vAlign w:val="bottom"/>
          </w:tcPr>
          <w:p>
            <w:pPr>
              <w:ind w:left="60"/>
              <w:spacing w:after="0"/>
              <w:rPr>
                <w:sz w:val="20"/>
                <w:szCs w:val="20"/>
                <w:color w:val="auto"/>
              </w:rPr>
            </w:pPr>
            <w:r>
              <w:rPr>
                <w:rFonts w:ascii="Arial" w:cs="Arial" w:eastAsia="Arial" w:hAnsi="Arial"/>
                <w:sz w:val="19"/>
                <w:szCs w:val="19"/>
                <w:color w:val="auto"/>
              </w:rPr>
              <w:t>2023 and 2022</w:t>
            </w: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1"/>
        </w:trPr>
        <w:tc>
          <w:tcPr>
            <w:tcW w:w="8220" w:type="dxa"/>
            <w:vAlign w:val="bottom"/>
          </w:tcPr>
          <w:p>
            <w:pPr>
              <w:ind w:left="60"/>
              <w:spacing w:after="0"/>
              <w:rPr>
                <w:sz w:val="20"/>
                <w:szCs w:val="20"/>
                <w:color w:val="auto"/>
              </w:rPr>
            </w:pPr>
            <w:r>
              <w:rPr>
                <w:rFonts w:ascii="Arial" w:cs="Arial" w:eastAsia="Arial" w:hAnsi="Arial"/>
                <w:sz w:val="19"/>
                <w:szCs w:val="19"/>
                <w:color w:val="auto"/>
                <w:w w:val="99"/>
              </w:rPr>
              <w:t>Consolidated Statements of Cash Flows for the years ended December 31, 2024, 2023 and 2022</w:t>
            </w:r>
          </w:p>
        </w:tc>
        <w:tc>
          <w:tcPr>
            <w:tcW w:w="720" w:type="dxa"/>
            <w:vAlign w:val="bottom"/>
          </w:tcPr>
          <w:p>
            <w:pPr>
              <w:jc w:val="right"/>
              <w:spacing w:after="0"/>
              <w:rPr>
                <w:sz w:val="20"/>
                <w:szCs w:val="20"/>
                <w:color w:val="auto"/>
              </w:rPr>
            </w:pPr>
            <w:r>
              <w:rPr>
                <w:rFonts w:ascii="Arial" w:cs="Arial" w:eastAsia="Arial" w:hAnsi="Arial"/>
                <w:sz w:val="19"/>
                <w:szCs w:val="19"/>
                <w:color w:val="auto"/>
              </w:rPr>
              <w:t>F-11</w:t>
            </w:r>
          </w:p>
        </w:tc>
        <w:tc>
          <w:tcPr>
            <w:tcW w:w="0" w:type="dxa"/>
            <w:vAlign w:val="bottom"/>
          </w:tcPr>
          <w:p>
            <w:pPr>
              <w:spacing w:after="0"/>
              <w:rPr>
                <w:sz w:val="1"/>
                <w:szCs w:val="1"/>
                <w:color w:val="auto"/>
              </w:rPr>
            </w:pPr>
          </w:p>
        </w:tc>
      </w:tr>
      <w:tr>
        <w:trPr>
          <w:trHeight w:val="303"/>
        </w:trPr>
        <w:tc>
          <w:tcPr>
            <w:tcW w:w="8220" w:type="dxa"/>
            <w:vAlign w:val="bottom"/>
          </w:tcPr>
          <w:p>
            <w:pPr>
              <w:ind w:left="60"/>
              <w:spacing w:after="0"/>
              <w:rPr>
                <w:sz w:val="20"/>
                <w:szCs w:val="20"/>
                <w:color w:val="auto"/>
              </w:rPr>
            </w:pPr>
            <w:r>
              <w:rPr>
                <w:rFonts w:ascii="Arial" w:cs="Arial" w:eastAsia="Arial" w:hAnsi="Arial"/>
                <w:sz w:val="19"/>
                <w:szCs w:val="19"/>
                <w:color w:val="auto"/>
              </w:rPr>
              <w:t>Notes to Consolidated Financial Statements</w:t>
            </w:r>
          </w:p>
        </w:tc>
        <w:tc>
          <w:tcPr>
            <w:tcW w:w="720" w:type="dxa"/>
            <w:vAlign w:val="bottom"/>
          </w:tcPr>
          <w:p>
            <w:pPr>
              <w:jc w:val="right"/>
              <w:spacing w:after="0"/>
              <w:rPr>
                <w:sz w:val="20"/>
                <w:szCs w:val="20"/>
                <w:color w:val="auto"/>
              </w:rPr>
            </w:pPr>
            <w:r>
              <w:rPr>
                <w:rFonts w:ascii="Arial" w:cs="Arial" w:eastAsia="Arial" w:hAnsi="Arial"/>
                <w:sz w:val="19"/>
                <w:szCs w:val="19"/>
                <w:color w:val="auto"/>
              </w:rPr>
              <w:t>F-12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-1532255</wp:posOffset>
            </wp:positionV>
            <wp:extent cx="5733415" cy="155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5733415" cy="1553210"/>
                    </a:xfrm>
                    <a:prstGeom prst="rect">
                      <a:avLst/>
                    </a:prstGeom>
                    <a:noFill/>
                  </pic:spPr>
                </pic:pic>
              </a:graphicData>
            </a:graphic>
          </wp:anchor>
        </w:drawing>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w:t>
      </w:r>
    </w:p>
    <w:p>
      <w:pPr>
        <w:sectPr>
          <w:pgSz w:w="11880" w:h="15480" w:orient="portrait"/>
          <w:cols w:equalWidth="0" w:num="1">
            <w:col w:w="9000"/>
          </w:cols>
          <w:pgMar w:left="1440" w:top="1440" w:right="1440" w:bottom="0" w:gutter="0" w:footer="0" w:header="0"/>
          <w:type w:val="continuous"/>
        </w:sectPr>
      </w:pPr>
    </w:p>
    <w:bookmarkStart w:id="109" w:name="page110"/>
    <w:bookmarkEnd w:id="109"/>
    <w:p>
      <w:pPr>
        <w:spacing w:after="0" w:line="200" w:lineRule="exact"/>
        <w:rPr>
          <w:sz w:val="20"/>
          <w:szCs w:val="20"/>
          <w:color w:val="auto"/>
        </w:rPr>
      </w:pPr>
    </w:p>
    <w:p>
      <w:pPr>
        <w:spacing w:after="0" w:line="253" w:lineRule="exact"/>
        <w:rPr>
          <w:sz w:val="20"/>
          <w:szCs w:val="20"/>
          <w:color w:val="auto"/>
        </w:rPr>
      </w:pPr>
    </w:p>
    <w:p>
      <w:pPr>
        <w:ind w:right="2100" w:firstLine="2090"/>
        <w:spacing w:after="0" w:line="421"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To the Shareholders and the Board of Directors of Verona Pharma plc</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Internal Control Over Financial Reporting</w:t>
      </w:r>
    </w:p>
    <w:p>
      <w:pPr>
        <w:spacing w:after="0" w:line="228"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We have audited Verona Pharma plc’s internal control over financial reporting as of December 31, 2024, based on criteria established in Internal Control—Integrated Framework issued by the Committee of Sponsoring Organizations of the Treadway Commission (2013 framework) (the COSO criteria). In our opinion, Verona Pharma plc (the Company) maintained, in all material respects, effective internal control over financial reporting as of December 31, 2024, based on the COSO criteria.</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We also have audited, in accordance with the standards of the Public Company Accounting Oversight Board (United States) (PCAOB), the consolidated balance sheets of the Company as of December 31, 2024 and the related consolidated statement of operations and comprehensive loss, shareholders’ equity and cash flows for the year ended December 31, 2024, and the related notes and our report dated February 27, 2025 expressed an unqualified opinion thereon.</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22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Definition and Limitations of Internal Control Over Financial Reporting</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F-2</w:t>
      </w:r>
    </w:p>
    <w:p>
      <w:pPr>
        <w:sectPr>
          <w:pgSz w:w="11880" w:h="15480" w:orient="portrait"/>
          <w:cols w:equalWidth="0" w:num="1">
            <w:col w:w="9000"/>
          </w:cols>
          <w:pgMar w:left="1440" w:top="1440" w:right="1440" w:bottom="0" w:gutter="0" w:footer="0" w:header="0"/>
          <w:type w:val="continuous"/>
        </w:sectPr>
      </w:pPr>
    </w:p>
    <w:bookmarkStart w:id="110" w:name="page111"/>
    <w:bookmarkEnd w:id="110"/>
    <w:p>
      <w:pPr>
        <w:spacing w:after="0" w:line="1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Raleigh, North Carolina</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February 27, 2025</w:t>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w:t>
      </w:r>
    </w:p>
    <w:p>
      <w:pPr>
        <w:sectPr>
          <w:pgSz w:w="11880" w:h="15480" w:orient="portrait"/>
          <w:cols w:equalWidth="0" w:num="1">
            <w:col w:w="9000"/>
          </w:cols>
          <w:pgMar w:left="1440" w:top="1440" w:right="1440" w:bottom="0" w:gutter="0" w:footer="0" w:header="0"/>
          <w:type w:val="continuous"/>
        </w:sectPr>
      </w:pPr>
    </w:p>
    <w:bookmarkStart w:id="111" w:name="page112"/>
    <w:bookmarkEnd w:id="111"/>
    <w:p>
      <w:pPr>
        <w:spacing w:after="0" w:line="12" w:lineRule="exact"/>
        <w:rPr>
          <w:sz w:val="20"/>
          <w:szCs w:val="20"/>
          <w:color w:val="auto"/>
        </w:rPr>
      </w:pPr>
    </w:p>
    <w:p>
      <w:pPr>
        <w:ind w:left="210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To the Shareholders and the Board of Directors of Verona Pharma plc</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22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We have audited the accompanying consolidated balance sheet of Verona Pharma plc (the Company) as of December 31, 2024, the related consolidated statement of operations and comprehensive loss, shareholders’ equity and cash flows for the year ended December 31, 2024, and the related notes (collectively referred to as the “consolidated financial statements”). In our opinion, the consolidated financial statements present fairly, in all material respects, the financial position of the Company at December 31, 2024 and the results of its operations and its cash flows for the year ended December 31, 2024, in conformity with U.S. generally accepted accounting principles.</w:t>
      </w:r>
    </w:p>
    <w:p>
      <w:pPr>
        <w:spacing w:after="0" w:line="19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27, 2025 expressed an unqualified opinion thereon.</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228"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Audit Matter</w:t>
      </w:r>
    </w:p>
    <w:p>
      <w:pPr>
        <w:spacing w:after="0" w:line="22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they relate.</w:t>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F-4</w:t>
      </w:r>
    </w:p>
    <w:p>
      <w:pPr>
        <w:sectPr>
          <w:pgSz w:w="11880" w:h="15480" w:orient="portrait"/>
          <w:cols w:equalWidth="0" w:num="1">
            <w:col w:w="9000"/>
          </w:cols>
          <w:pgMar w:left="1440" w:top="1440" w:right="1440" w:bottom="0" w:gutter="0" w:footer="0" w:header="0"/>
          <w:type w:val="continuous"/>
        </w:sectPr>
      </w:pPr>
    </w:p>
    <w:bookmarkStart w:id="112" w:name="page113"/>
    <w:bookmarkEnd w:id="112"/>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7720" w:type="dxa"/>
            <w:vAlign w:val="bottom"/>
          </w:tcPr>
          <w:p>
            <w:pPr>
              <w:ind w:left="860"/>
              <w:spacing w:after="0"/>
              <w:rPr>
                <w:sz w:val="20"/>
                <w:szCs w:val="20"/>
                <w:color w:val="auto"/>
              </w:rPr>
            </w:pPr>
            <w:r>
              <w:rPr>
                <w:rFonts w:ascii="Arial" w:cs="Arial" w:eastAsia="Arial" w:hAnsi="Arial"/>
                <w:sz w:val="19"/>
                <w:szCs w:val="19"/>
                <w:b w:val="1"/>
                <w:bCs w:val="1"/>
                <w:color w:val="auto"/>
              </w:rPr>
              <w:t>Revenue Interest Purchase and Sales Agreement</w:t>
            </w:r>
          </w:p>
        </w:tc>
        <w:tc>
          <w:tcPr>
            <w:tcW w:w="0" w:type="dxa"/>
            <w:vAlign w:val="bottom"/>
          </w:tcPr>
          <w:p>
            <w:pPr>
              <w:spacing w:after="0"/>
              <w:rPr>
                <w:sz w:val="1"/>
                <w:szCs w:val="1"/>
                <w:color w:val="auto"/>
              </w:rPr>
            </w:pPr>
          </w:p>
        </w:tc>
      </w:tr>
      <w:tr>
        <w:trPr>
          <w:trHeight w:val="592"/>
        </w:trPr>
        <w:tc>
          <w:tcPr>
            <w:tcW w:w="1600" w:type="dxa"/>
            <w:vAlign w:val="bottom"/>
          </w:tcPr>
          <w:p>
            <w:pPr>
              <w:spacing w:after="0"/>
              <w:rPr>
                <w:sz w:val="20"/>
                <w:szCs w:val="20"/>
                <w:color w:val="auto"/>
              </w:rPr>
            </w:pPr>
            <w:r>
              <w:rPr>
                <w:rFonts w:ascii="Arial" w:cs="Arial" w:eastAsia="Arial" w:hAnsi="Arial"/>
                <w:sz w:val="19"/>
                <w:szCs w:val="19"/>
                <w:b w:val="1"/>
                <w:bCs w:val="1"/>
                <w:i w:val="1"/>
                <w:iCs w:val="1"/>
                <w:color w:val="auto"/>
                <w:w w:val="97"/>
              </w:rPr>
              <w:t>Description of the</w:t>
            </w:r>
          </w:p>
        </w:tc>
        <w:tc>
          <w:tcPr>
            <w:tcW w:w="7720" w:type="dxa"/>
            <w:vAlign w:val="bottom"/>
          </w:tcPr>
          <w:p>
            <w:pPr>
              <w:ind w:left="220"/>
              <w:spacing w:after="0"/>
              <w:rPr>
                <w:sz w:val="20"/>
                <w:szCs w:val="20"/>
                <w:color w:val="auto"/>
              </w:rPr>
            </w:pPr>
            <w:r>
              <w:rPr>
                <w:rFonts w:ascii="Arial" w:cs="Arial" w:eastAsia="Arial" w:hAnsi="Arial"/>
                <w:sz w:val="19"/>
                <w:szCs w:val="19"/>
                <w:color w:val="auto"/>
                <w:w w:val="96"/>
              </w:rPr>
              <w:t>As described in Note 5 to the consolidated financial statements, the Company entered into a</w:t>
            </w:r>
          </w:p>
        </w:tc>
        <w:tc>
          <w:tcPr>
            <w:tcW w:w="0" w:type="dxa"/>
            <w:vAlign w:val="bottom"/>
          </w:tcPr>
          <w:p>
            <w:pPr>
              <w:spacing w:after="0"/>
              <w:rPr>
                <w:sz w:val="1"/>
                <w:szCs w:val="1"/>
                <w:color w:val="auto"/>
              </w:rPr>
            </w:pPr>
          </w:p>
        </w:tc>
      </w:tr>
      <w:tr>
        <w:trPr>
          <w:trHeight w:val="217"/>
        </w:trPr>
        <w:tc>
          <w:tcPr>
            <w:tcW w:w="1600" w:type="dxa"/>
            <w:vAlign w:val="bottom"/>
          </w:tcPr>
          <w:p>
            <w:pPr>
              <w:spacing w:after="0" w:line="217" w:lineRule="exact"/>
              <w:rPr>
                <w:sz w:val="20"/>
                <w:szCs w:val="20"/>
                <w:color w:val="auto"/>
              </w:rPr>
            </w:pPr>
            <w:r>
              <w:rPr>
                <w:rFonts w:ascii="Arial" w:cs="Arial" w:eastAsia="Arial" w:hAnsi="Arial"/>
                <w:sz w:val="19"/>
                <w:szCs w:val="19"/>
                <w:b w:val="1"/>
                <w:bCs w:val="1"/>
                <w:i w:val="1"/>
                <w:iCs w:val="1"/>
                <w:color w:val="auto"/>
              </w:rPr>
              <w:t>Matter</w:t>
            </w:r>
          </w:p>
        </w:tc>
        <w:tc>
          <w:tcPr>
            <w:tcW w:w="7720" w:type="dxa"/>
            <w:vAlign w:val="bottom"/>
          </w:tcPr>
          <w:p>
            <w:pPr>
              <w:ind w:left="220"/>
              <w:spacing w:after="0" w:line="217" w:lineRule="exact"/>
              <w:rPr>
                <w:sz w:val="20"/>
                <w:szCs w:val="20"/>
                <w:color w:val="auto"/>
              </w:rPr>
            </w:pPr>
            <w:r>
              <w:rPr>
                <w:rFonts w:ascii="Arial" w:cs="Arial" w:eastAsia="Arial" w:hAnsi="Arial"/>
                <w:sz w:val="19"/>
                <w:szCs w:val="19"/>
                <w:color w:val="auto"/>
                <w:w w:val="91"/>
              </w:rPr>
              <w:t>Revenue Interest Purchase and Sales Agreement (“RIPSA”) with third parties. Under the terms of</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7720" w:type="dxa"/>
            <w:vAlign w:val="bottom"/>
          </w:tcPr>
          <w:p>
            <w:pPr>
              <w:ind w:left="220"/>
              <w:spacing w:after="0" w:line="215" w:lineRule="exact"/>
              <w:rPr>
                <w:sz w:val="20"/>
                <w:szCs w:val="20"/>
                <w:color w:val="auto"/>
              </w:rPr>
            </w:pPr>
            <w:r>
              <w:rPr>
                <w:rFonts w:ascii="Arial" w:cs="Arial" w:eastAsia="Arial" w:hAnsi="Arial"/>
                <w:sz w:val="19"/>
                <w:szCs w:val="19"/>
                <w:color w:val="auto"/>
                <w:w w:val="99"/>
              </w:rPr>
              <w:t>the RIPSA, the Company received $100 million in exchange for the right to receive royalty</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7720" w:type="dxa"/>
            <w:vAlign w:val="bottom"/>
          </w:tcPr>
          <w:p>
            <w:pPr>
              <w:ind w:left="220"/>
              <w:spacing w:after="0" w:line="215" w:lineRule="exact"/>
              <w:rPr>
                <w:sz w:val="20"/>
                <w:szCs w:val="20"/>
                <w:color w:val="auto"/>
              </w:rPr>
            </w:pPr>
            <w:r>
              <w:rPr>
                <w:rFonts w:ascii="Arial" w:cs="Arial" w:eastAsia="Arial" w:hAnsi="Arial"/>
                <w:sz w:val="19"/>
                <w:szCs w:val="19"/>
                <w:color w:val="auto"/>
                <w:w w:val="96"/>
              </w:rPr>
              <w:t>payments based on global net sales of the Company’s commercialized drug, Ohtuvayre, and</w:t>
            </w:r>
          </w:p>
        </w:tc>
        <w:tc>
          <w:tcPr>
            <w:tcW w:w="0" w:type="dxa"/>
            <w:vAlign w:val="bottom"/>
          </w:tcPr>
          <w:p>
            <w:pPr>
              <w:spacing w:after="0"/>
              <w:rPr>
                <w:sz w:val="1"/>
                <w:szCs w:val="1"/>
                <w:color w:val="auto"/>
              </w:rPr>
            </w:pPr>
          </w:p>
        </w:tc>
      </w:tr>
      <w:tr>
        <w:trPr>
          <w:trHeight w:val="251"/>
        </w:trPr>
        <w:tc>
          <w:tcPr>
            <w:tcW w:w="1600" w:type="dxa"/>
            <w:vAlign w:val="bottom"/>
          </w:tcPr>
          <w:p>
            <w:pPr>
              <w:spacing w:after="0"/>
              <w:rPr>
                <w:sz w:val="21"/>
                <w:szCs w:val="21"/>
                <w:color w:val="auto"/>
              </w:rPr>
            </w:pPr>
          </w:p>
        </w:tc>
        <w:tc>
          <w:tcPr>
            <w:tcW w:w="7720" w:type="dxa"/>
            <w:vAlign w:val="bottom"/>
          </w:tcPr>
          <w:p>
            <w:pPr>
              <w:ind w:left="220"/>
              <w:spacing w:after="0"/>
              <w:rPr>
                <w:sz w:val="20"/>
                <w:szCs w:val="20"/>
                <w:color w:val="auto"/>
              </w:rPr>
            </w:pPr>
            <w:r>
              <w:rPr>
                <w:rFonts w:ascii="Arial" w:cs="Arial" w:eastAsia="Arial" w:hAnsi="Arial"/>
                <w:sz w:val="19"/>
                <w:szCs w:val="19"/>
                <w:color w:val="auto"/>
              </w:rPr>
              <w:t>certain proceeds from licensees outside of the US.</w:t>
            </w:r>
          </w:p>
        </w:tc>
        <w:tc>
          <w:tcPr>
            <w:tcW w:w="0" w:type="dxa"/>
            <w:vAlign w:val="bottom"/>
          </w:tcPr>
          <w:p>
            <w:pPr>
              <w:spacing w:after="0"/>
              <w:rPr>
                <w:sz w:val="1"/>
                <w:szCs w:val="1"/>
                <w:color w:val="auto"/>
              </w:rPr>
            </w:pPr>
          </w:p>
        </w:tc>
      </w:tr>
      <w:tr>
        <w:trPr>
          <w:trHeight w:val="394"/>
        </w:trPr>
        <w:tc>
          <w:tcPr>
            <w:tcW w:w="1600" w:type="dxa"/>
            <w:vAlign w:val="bottom"/>
          </w:tcPr>
          <w:p>
            <w:pPr>
              <w:spacing w:after="0"/>
              <w:rPr>
                <w:sz w:val="24"/>
                <w:szCs w:val="24"/>
                <w:color w:val="auto"/>
              </w:rPr>
            </w:pPr>
          </w:p>
        </w:tc>
        <w:tc>
          <w:tcPr>
            <w:tcW w:w="7720" w:type="dxa"/>
            <w:vAlign w:val="bottom"/>
          </w:tcPr>
          <w:p>
            <w:pPr>
              <w:ind w:left="220"/>
              <w:spacing w:after="0"/>
              <w:rPr>
                <w:sz w:val="20"/>
                <w:szCs w:val="20"/>
                <w:color w:val="auto"/>
              </w:rPr>
            </w:pPr>
            <w:r>
              <w:rPr>
                <w:rFonts w:ascii="Arial" w:cs="Arial" w:eastAsia="Arial" w:hAnsi="Arial"/>
                <w:sz w:val="19"/>
                <w:szCs w:val="19"/>
                <w:color w:val="auto"/>
                <w:w w:val="98"/>
              </w:rPr>
              <w:t>Proceeds from the RIPSA are recorded as liabilities (specifically revenue interest purchase</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7720" w:type="dxa"/>
            <w:vAlign w:val="bottom"/>
          </w:tcPr>
          <w:p>
            <w:pPr>
              <w:ind w:left="220"/>
              <w:spacing w:after="0" w:line="215" w:lineRule="exact"/>
              <w:rPr>
                <w:sz w:val="20"/>
                <w:szCs w:val="20"/>
                <w:color w:val="auto"/>
              </w:rPr>
            </w:pPr>
            <w:r>
              <w:rPr>
                <w:rFonts w:ascii="Arial" w:cs="Arial" w:eastAsia="Arial" w:hAnsi="Arial"/>
                <w:sz w:val="19"/>
                <w:szCs w:val="19"/>
                <w:color w:val="auto"/>
                <w:w w:val="96"/>
              </w:rPr>
              <w:t>security agreement on the consolidated balance sheet) and are amortized using the effective</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7720" w:type="dxa"/>
            <w:vAlign w:val="bottom"/>
          </w:tcPr>
          <w:p>
            <w:pPr>
              <w:ind w:left="220"/>
              <w:spacing w:after="0" w:line="215" w:lineRule="exact"/>
              <w:rPr>
                <w:sz w:val="20"/>
                <w:szCs w:val="20"/>
                <w:color w:val="auto"/>
              </w:rPr>
            </w:pPr>
            <w:r>
              <w:rPr>
                <w:rFonts w:ascii="Arial" w:cs="Arial" w:eastAsia="Arial" w:hAnsi="Arial"/>
                <w:sz w:val="19"/>
                <w:szCs w:val="19"/>
                <w:color w:val="auto"/>
                <w:w w:val="92"/>
              </w:rPr>
              <w:t>interest rate method over the estimated period the RIPSA will be repaid with the imputed interest</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7720" w:type="dxa"/>
            <w:vAlign w:val="bottom"/>
          </w:tcPr>
          <w:p>
            <w:pPr>
              <w:ind w:left="220"/>
              <w:spacing w:after="0" w:line="215" w:lineRule="exact"/>
              <w:rPr>
                <w:sz w:val="20"/>
                <w:szCs w:val="20"/>
                <w:color w:val="auto"/>
              </w:rPr>
            </w:pPr>
            <w:r>
              <w:rPr>
                <w:rFonts w:ascii="Arial" w:cs="Arial" w:eastAsia="Arial" w:hAnsi="Arial"/>
                <w:sz w:val="19"/>
                <w:szCs w:val="19"/>
                <w:color w:val="auto"/>
                <w:w w:val="99"/>
              </w:rPr>
              <w:t>recorded as interest expense. The carrying amount of the liability was $106.1 million as of</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7720" w:type="dxa"/>
            <w:vAlign w:val="bottom"/>
          </w:tcPr>
          <w:p>
            <w:pPr>
              <w:ind w:left="220"/>
              <w:spacing w:after="0" w:line="215" w:lineRule="exact"/>
              <w:rPr>
                <w:sz w:val="20"/>
                <w:szCs w:val="20"/>
                <w:color w:val="auto"/>
              </w:rPr>
            </w:pPr>
            <w:r>
              <w:rPr>
                <w:rFonts w:ascii="Arial" w:cs="Arial" w:eastAsia="Arial" w:hAnsi="Arial"/>
                <w:sz w:val="19"/>
                <w:szCs w:val="19"/>
                <w:color w:val="auto"/>
              </w:rPr>
              <w:t>December 31, 2024, and imputed interest expense was $12.7 million for the year ending</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7720" w:type="dxa"/>
            <w:vAlign w:val="bottom"/>
          </w:tcPr>
          <w:p>
            <w:pPr>
              <w:ind w:left="220"/>
              <w:spacing w:after="0" w:line="215" w:lineRule="exact"/>
              <w:rPr>
                <w:sz w:val="20"/>
                <w:szCs w:val="20"/>
                <w:color w:val="auto"/>
              </w:rPr>
            </w:pPr>
            <w:r>
              <w:rPr>
                <w:rFonts w:ascii="Arial" w:cs="Arial" w:eastAsia="Arial" w:hAnsi="Arial"/>
                <w:sz w:val="19"/>
                <w:szCs w:val="19"/>
                <w:color w:val="auto"/>
                <w:w w:val="91"/>
              </w:rPr>
              <w:t>December 31, 2024. At each reporting period, the Company reassesses the amount and timing of</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7720" w:type="dxa"/>
            <w:vAlign w:val="bottom"/>
          </w:tcPr>
          <w:p>
            <w:pPr>
              <w:ind w:left="220"/>
              <w:spacing w:after="0" w:line="215" w:lineRule="exact"/>
              <w:rPr>
                <w:sz w:val="20"/>
                <w:szCs w:val="20"/>
                <w:color w:val="auto"/>
              </w:rPr>
            </w:pPr>
            <w:r>
              <w:rPr>
                <w:rFonts w:ascii="Arial" w:cs="Arial" w:eastAsia="Arial" w:hAnsi="Arial"/>
                <w:sz w:val="19"/>
                <w:szCs w:val="19"/>
                <w:color w:val="auto"/>
                <w:w w:val="91"/>
              </w:rPr>
              <w:t>the payments, which are based on future global net sales, and accounts for any changes through</w:t>
            </w:r>
          </w:p>
        </w:tc>
        <w:tc>
          <w:tcPr>
            <w:tcW w:w="0" w:type="dxa"/>
            <w:vAlign w:val="bottom"/>
          </w:tcPr>
          <w:p>
            <w:pPr>
              <w:spacing w:after="0"/>
              <w:rPr>
                <w:sz w:val="1"/>
                <w:szCs w:val="1"/>
                <w:color w:val="auto"/>
              </w:rPr>
            </w:pPr>
          </w:p>
        </w:tc>
      </w:tr>
      <w:tr>
        <w:trPr>
          <w:trHeight w:val="251"/>
        </w:trPr>
        <w:tc>
          <w:tcPr>
            <w:tcW w:w="1600" w:type="dxa"/>
            <w:vAlign w:val="bottom"/>
          </w:tcPr>
          <w:p>
            <w:pPr>
              <w:spacing w:after="0"/>
              <w:rPr>
                <w:sz w:val="21"/>
                <w:szCs w:val="21"/>
                <w:color w:val="auto"/>
              </w:rPr>
            </w:pPr>
          </w:p>
        </w:tc>
        <w:tc>
          <w:tcPr>
            <w:tcW w:w="7720" w:type="dxa"/>
            <w:vAlign w:val="bottom"/>
          </w:tcPr>
          <w:p>
            <w:pPr>
              <w:ind w:left="220"/>
              <w:spacing w:after="0"/>
              <w:rPr>
                <w:sz w:val="20"/>
                <w:szCs w:val="20"/>
                <w:color w:val="auto"/>
              </w:rPr>
            </w:pPr>
            <w:r>
              <w:rPr>
                <w:rFonts w:ascii="Arial" w:cs="Arial" w:eastAsia="Arial" w:hAnsi="Arial"/>
                <w:sz w:val="19"/>
                <w:szCs w:val="19"/>
                <w:color w:val="auto"/>
              </w:rPr>
              <w:t>an adjustment to the effective interest rate on a prospective basis.</w:t>
            </w:r>
          </w:p>
        </w:tc>
        <w:tc>
          <w:tcPr>
            <w:tcW w:w="0" w:type="dxa"/>
            <w:vAlign w:val="bottom"/>
          </w:tcPr>
          <w:p>
            <w:pPr>
              <w:spacing w:after="0"/>
              <w:rPr>
                <w:sz w:val="1"/>
                <w:szCs w:val="1"/>
                <w:color w:val="auto"/>
              </w:rPr>
            </w:pPr>
          </w:p>
        </w:tc>
      </w:tr>
      <w:tr>
        <w:trPr>
          <w:trHeight w:val="394"/>
        </w:trPr>
        <w:tc>
          <w:tcPr>
            <w:tcW w:w="1600" w:type="dxa"/>
            <w:vAlign w:val="bottom"/>
          </w:tcPr>
          <w:p>
            <w:pPr>
              <w:spacing w:after="0"/>
              <w:rPr>
                <w:sz w:val="24"/>
                <w:szCs w:val="24"/>
                <w:color w:val="auto"/>
              </w:rPr>
            </w:pPr>
          </w:p>
        </w:tc>
        <w:tc>
          <w:tcPr>
            <w:tcW w:w="7720" w:type="dxa"/>
            <w:vAlign w:val="bottom"/>
          </w:tcPr>
          <w:p>
            <w:pPr>
              <w:ind w:left="220"/>
              <w:spacing w:after="0"/>
              <w:rPr>
                <w:sz w:val="20"/>
                <w:szCs w:val="20"/>
                <w:color w:val="auto"/>
              </w:rPr>
            </w:pPr>
            <w:r>
              <w:rPr>
                <w:rFonts w:ascii="Arial" w:cs="Arial" w:eastAsia="Arial" w:hAnsi="Arial"/>
                <w:sz w:val="19"/>
                <w:szCs w:val="19"/>
                <w:color w:val="auto"/>
                <w:w w:val="94"/>
              </w:rPr>
              <w:t>The accounting for the RIPSA was highly judgmental due to the significant estimation required</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7720" w:type="dxa"/>
            <w:vAlign w:val="bottom"/>
          </w:tcPr>
          <w:p>
            <w:pPr>
              <w:ind w:left="220"/>
              <w:spacing w:after="0" w:line="215" w:lineRule="exact"/>
              <w:rPr>
                <w:sz w:val="20"/>
                <w:szCs w:val="20"/>
                <w:color w:val="auto"/>
              </w:rPr>
            </w:pPr>
            <w:r>
              <w:rPr>
                <w:rFonts w:ascii="Arial" w:cs="Arial" w:eastAsia="Arial" w:hAnsi="Arial"/>
                <w:sz w:val="19"/>
                <w:szCs w:val="19"/>
                <w:color w:val="auto"/>
                <w:w w:val="99"/>
              </w:rPr>
              <w:t>to forecast global net sales. In particular, the forecasted global net sales were sensitive to</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7720" w:type="dxa"/>
            <w:vAlign w:val="bottom"/>
          </w:tcPr>
          <w:p>
            <w:pPr>
              <w:ind w:left="220"/>
              <w:spacing w:after="0" w:line="215" w:lineRule="exact"/>
              <w:rPr>
                <w:sz w:val="20"/>
                <w:szCs w:val="20"/>
                <w:color w:val="auto"/>
              </w:rPr>
            </w:pPr>
            <w:r>
              <w:rPr>
                <w:rFonts w:ascii="Arial" w:cs="Arial" w:eastAsia="Arial" w:hAnsi="Arial"/>
                <w:sz w:val="19"/>
                <w:szCs w:val="19"/>
                <w:color w:val="auto"/>
                <w:w w:val="91"/>
              </w:rPr>
              <w:t>significant assumptions such as the treatable patient population and rate of adoption and involves</w:t>
            </w:r>
          </w:p>
        </w:tc>
        <w:tc>
          <w:tcPr>
            <w:tcW w:w="0" w:type="dxa"/>
            <w:vAlign w:val="bottom"/>
          </w:tcPr>
          <w:p>
            <w:pPr>
              <w:spacing w:after="0"/>
              <w:rPr>
                <w:sz w:val="1"/>
                <w:szCs w:val="1"/>
                <w:color w:val="auto"/>
              </w:rPr>
            </w:pPr>
          </w:p>
        </w:tc>
      </w:tr>
      <w:tr>
        <w:trPr>
          <w:trHeight w:val="251"/>
        </w:trPr>
        <w:tc>
          <w:tcPr>
            <w:tcW w:w="1600" w:type="dxa"/>
            <w:vAlign w:val="bottom"/>
          </w:tcPr>
          <w:p>
            <w:pPr>
              <w:spacing w:after="0"/>
              <w:rPr>
                <w:sz w:val="21"/>
                <w:szCs w:val="21"/>
                <w:color w:val="auto"/>
              </w:rPr>
            </w:pPr>
          </w:p>
        </w:tc>
        <w:tc>
          <w:tcPr>
            <w:tcW w:w="7720" w:type="dxa"/>
            <w:vAlign w:val="bottom"/>
          </w:tcPr>
          <w:p>
            <w:pPr>
              <w:ind w:left="220"/>
              <w:spacing w:after="0"/>
              <w:rPr>
                <w:sz w:val="20"/>
                <w:szCs w:val="20"/>
                <w:color w:val="auto"/>
              </w:rPr>
            </w:pPr>
            <w:r>
              <w:rPr>
                <w:rFonts w:ascii="Arial" w:cs="Arial" w:eastAsia="Arial" w:hAnsi="Arial"/>
                <w:sz w:val="19"/>
                <w:szCs w:val="19"/>
                <w:color w:val="auto"/>
              </w:rPr>
              <w:t>significant estimation uncertainty given the limited Ohtuvayre sales data.</w:t>
            </w:r>
          </w:p>
        </w:tc>
        <w:tc>
          <w:tcPr>
            <w:tcW w:w="0" w:type="dxa"/>
            <w:vAlign w:val="bottom"/>
          </w:tcPr>
          <w:p>
            <w:pPr>
              <w:spacing w:after="0"/>
              <w:rPr>
                <w:sz w:val="1"/>
                <w:szCs w:val="1"/>
                <w:color w:val="auto"/>
              </w:rPr>
            </w:pPr>
          </w:p>
        </w:tc>
      </w:tr>
      <w:tr>
        <w:trPr>
          <w:trHeight w:val="570"/>
        </w:trPr>
        <w:tc>
          <w:tcPr>
            <w:tcW w:w="1600" w:type="dxa"/>
            <w:vAlign w:val="bottom"/>
          </w:tcPr>
          <w:p>
            <w:pPr>
              <w:spacing w:after="0"/>
              <w:rPr>
                <w:sz w:val="20"/>
                <w:szCs w:val="20"/>
                <w:color w:val="auto"/>
              </w:rPr>
            </w:pPr>
            <w:r>
              <w:rPr>
                <w:rFonts w:ascii="Arial" w:cs="Arial" w:eastAsia="Arial" w:hAnsi="Arial"/>
                <w:sz w:val="19"/>
                <w:szCs w:val="19"/>
                <w:b w:val="1"/>
                <w:bCs w:val="1"/>
                <w:i w:val="1"/>
                <w:iCs w:val="1"/>
                <w:color w:val="auto"/>
              </w:rPr>
              <w:t>How we</w:t>
            </w:r>
          </w:p>
        </w:tc>
        <w:tc>
          <w:tcPr>
            <w:tcW w:w="7720" w:type="dxa"/>
            <w:vAlign w:val="bottom"/>
          </w:tcPr>
          <w:p>
            <w:pPr>
              <w:ind w:left="220"/>
              <w:spacing w:after="0"/>
              <w:rPr>
                <w:sz w:val="20"/>
                <w:szCs w:val="20"/>
                <w:color w:val="auto"/>
              </w:rPr>
            </w:pPr>
            <w:r>
              <w:rPr>
                <w:rFonts w:ascii="Arial" w:cs="Arial" w:eastAsia="Arial" w:hAnsi="Arial"/>
                <w:sz w:val="19"/>
                <w:szCs w:val="19"/>
                <w:color w:val="auto"/>
                <w:w w:val="94"/>
              </w:rPr>
              <w:t>We obtained an understanding, evaluated the design and tested the operating effectiveness of</w:t>
            </w:r>
          </w:p>
        </w:tc>
        <w:tc>
          <w:tcPr>
            <w:tcW w:w="0" w:type="dxa"/>
            <w:vAlign w:val="bottom"/>
          </w:tcPr>
          <w:p>
            <w:pPr>
              <w:spacing w:after="0"/>
              <w:rPr>
                <w:sz w:val="1"/>
                <w:szCs w:val="1"/>
                <w:color w:val="auto"/>
              </w:rPr>
            </w:pPr>
          </w:p>
        </w:tc>
      </w:tr>
      <w:tr>
        <w:trPr>
          <w:trHeight w:val="215"/>
        </w:trPr>
        <w:tc>
          <w:tcPr>
            <w:tcW w:w="1600" w:type="dxa"/>
            <w:vAlign w:val="bottom"/>
          </w:tcPr>
          <w:p>
            <w:pPr>
              <w:spacing w:after="0" w:line="215" w:lineRule="exact"/>
              <w:rPr>
                <w:sz w:val="20"/>
                <w:szCs w:val="20"/>
                <w:color w:val="auto"/>
              </w:rPr>
            </w:pPr>
            <w:r>
              <w:rPr>
                <w:rFonts w:ascii="Arial" w:cs="Arial" w:eastAsia="Arial" w:hAnsi="Arial"/>
                <w:sz w:val="19"/>
                <w:szCs w:val="19"/>
                <w:b w:val="1"/>
                <w:bCs w:val="1"/>
                <w:i w:val="1"/>
                <w:iCs w:val="1"/>
                <w:color w:val="auto"/>
              </w:rPr>
              <w:t>Addressed the</w:t>
            </w:r>
          </w:p>
        </w:tc>
        <w:tc>
          <w:tcPr>
            <w:tcW w:w="7720" w:type="dxa"/>
            <w:vAlign w:val="bottom"/>
          </w:tcPr>
          <w:p>
            <w:pPr>
              <w:ind w:left="220"/>
              <w:spacing w:after="0" w:line="215" w:lineRule="exact"/>
              <w:rPr>
                <w:sz w:val="20"/>
                <w:szCs w:val="20"/>
                <w:color w:val="auto"/>
              </w:rPr>
            </w:pPr>
            <w:r>
              <w:rPr>
                <w:rFonts w:ascii="Arial" w:cs="Arial" w:eastAsia="Arial" w:hAnsi="Arial"/>
                <w:sz w:val="19"/>
                <w:szCs w:val="19"/>
                <w:color w:val="auto"/>
              </w:rPr>
              <w:t>controls over the Company’s processes to account for the RIPSA, including controls over</w:t>
            </w:r>
          </w:p>
        </w:tc>
        <w:tc>
          <w:tcPr>
            <w:tcW w:w="0" w:type="dxa"/>
            <w:vAlign w:val="bottom"/>
          </w:tcPr>
          <w:p>
            <w:pPr>
              <w:spacing w:after="0"/>
              <w:rPr>
                <w:sz w:val="1"/>
                <w:szCs w:val="1"/>
                <w:color w:val="auto"/>
              </w:rPr>
            </w:pPr>
          </w:p>
        </w:tc>
      </w:tr>
      <w:tr>
        <w:trPr>
          <w:trHeight w:val="215"/>
        </w:trPr>
        <w:tc>
          <w:tcPr>
            <w:tcW w:w="1600" w:type="dxa"/>
            <w:vAlign w:val="bottom"/>
          </w:tcPr>
          <w:p>
            <w:pPr>
              <w:spacing w:after="0" w:line="215" w:lineRule="exact"/>
              <w:rPr>
                <w:sz w:val="20"/>
                <w:szCs w:val="20"/>
                <w:color w:val="auto"/>
              </w:rPr>
            </w:pPr>
            <w:r>
              <w:rPr>
                <w:rFonts w:ascii="Arial" w:cs="Arial" w:eastAsia="Arial" w:hAnsi="Arial"/>
                <w:sz w:val="19"/>
                <w:szCs w:val="19"/>
                <w:b w:val="1"/>
                <w:bCs w:val="1"/>
                <w:i w:val="1"/>
                <w:iCs w:val="1"/>
                <w:color w:val="auto"/>
              </w:rPr>
              <w:t>Matter in our</w:t>
            </w:r>
          </w:p>
        </w:tc>
        <w:tc>
          <w:tcPr>
            <w:tcW w:w="7720" w:type="dxa"/>
            <w:vAlign w:val="bottom"/>
          </w:tcPr>
          <w:p>
            <w:pPr>
              <w:ind w:left="220"/>
              <w:spacing w:after="0" w:line="215" w:lineRule="exact"/>
              <w:rPr>
                <w:sz w:val="20"/>
                <w:szCs w:val="20"/>
                <w:color w:val="auto"/>
              </w:rPr>
            </w:pPr>
            <w:r>
              <w:rPr>
                <w:rFonts w:ascii="Arial" w:cs="Arial" w:eastAsia="Arial" w:hAnsi="Arial"/>
                <w:sz w:val="19"/>
                <w:szCs w:val="19"/>
                <w:color w:val="auto"/>
              </w:rPr>
              <w:t>management’s review of the forecasted global net sales and proceeds from licensees.</w:t>
            </w:r>
          </w:p>
        </w:tc>
        <w:tc>
          <w:tcPr>
            <w:tcW w:w="0" w:type="dxa"/>
            <w:vAlign w:val="bottom"/>
          </w:tcPr>
          <w:p>
            <w:pPr>
              <w:spacing w:after="0"/>
              <w:rPr>
                <w:sz w:val="1"/>
                <w:szCs w:val="1"/>
                <w:color w:val="auto"/>
              </w:rPr>
            </w:pPr>
          </w:p>
        </w:tc>
      </w:tr>
      <w:tr>
        <w:trPr>
          <w:trHeight w:val="253"/>
        </w:trPr>
        <w:tc>
          <w:tcPr>
            <w:tcW w:w="1600" w:type="dxa"/>
            <w:vAlign w:val="bottom"/>
          </w:tcPr>
          <w:p>
            <w:pPr>
              <w:spacing w:after="0"/>
              <w:rPr>
                <w:sz w:val="20"/>
                <w:szCs w:val="20"/>
                <w:color w:val="auto"/>
              </w:rPr>
            </w:pPr>
            <w:r>
              <w:rPr>
                <w:rFonts w:ascii="Arial" w:cs="Arial" w:eastAsia="Arial" w:hAnsi="Arial"/>
                <w:sz w:val="19"/>
                <w:szCs w:val="19"/>
                <w:b w:val="1"/>
                <w:bCs w:val="1"/>
                <w:i w:val="1"/>
                <w:iCs w:val="1"/>
                <w:color w:val="auto"/>
              </w:rPr>
              <w:t>Audit</w:t>
            </w:r>
          </w:p>
        </w:tc>
        <w:tc>
          <w:tcPr>
            <w:tcW w:w="7720" w:type="dxa"/>
            <w:vAlign w:val="bottom"/>
            <w:vMerge w:val="restart"/>
          </w:tcPr>
          <w:p>
            <w:pPr>
              <w:ind w:left="220"/>
              <w:spacing w:after="0"/>
              <w:rPr>
                <w:sz w:val="20"/>
                <w:szCs w:val="20"/>
                <w:color w:val="auto"/>
              </w:rPr>
            </w:pPr>
            <w:r>
              <w:rPr>
                <w:rFonts w:ascii="Arial" w:cs="Arial" w:eastAsia="Arial" w:hAnsi="Arial"/>
                <w:sz w:val="19"/>
                <w:szCs w:val="19"/>
                <w:color w:val="auto"/>
              </w:rPr>
              <w:t>To evaluate the accounting for the RIPSA, our audit procedures included, among others,</w:t>
            </w:r>
          </w:p>
        </w:tc>
        <w:tc>
          <w:tcPr>
            <w:tcW w:w="0" w:type="dxa"/>
            <w:vAlign w:val="bottom"/>
          </w:tcPr>
          <w:p>
            <w:pPr>
              <w:spacing w:after="0"/>
              <w:rPr>
                <w:sz w:val="1"/>
                <w:szCs w:val="1"/>
                <w:color w:val="auto"/>
              </w:rPr>
            </w:pPr>
          </w:p>
        </w:tc>
      </w:tr>
      <w:tr>
        <w:trPr>
          <w:trHeight w:val="179"/>
        </w:trPr>
        <w:tc>
          <w:tcPr>
            <w:tcW w:w="1600" w:type="dxa"/>
            <w:vAlign w:val="bottom"/>
          </w:tcPr>
          <w:p>
            <w:pPr>
              <w:spacing w:after="0"/>
              <w:rPr>
                <w:sz w:val="15"/>
                <w:szCs w:val="15"/>
                <w:color w:val="auto"/>
              </w:rPr>
            </w:pPr>
          </w:p>
        </w:tc>
        <w:tc>
          <w:tcPr>
            <w:tcW w:w="7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7720" w:type="dxa"/>
            <w:vAlign w:val="bottom"/>
          </w:tcPr>
          <w:p>
            <w:pPr>
              <w:ind w:left="220"/>
              <w:spacing w:after="0" w:line="215" w:lineRule="exact"/>
              <w:rPr>
                <w:sz w:val="20"/>
                <w:szCs w:val="20"/>
                <w:color w:val="auto"/>
              </w:rPr>
            </w:pPr>
            <w:r>
              <w:rPr>
                <w:rFonts w:ascii="Arial" w:cs="Arial" w:eastAsia="Arial" w:hAnsi="Arial"/>
                <w:sz w:val="19"/>
                <w:szCs w:val="19"/>
                <w:color w:val="auto"/>
                <w:w w:val="89"/>
              </w:rPr>
              <w:t>assessing management’s forecasted global net sales and other assumptions included in the model.</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7720" w:type="dxa"/>
            <w:vAlign w:val="bottom"/>
          </w:tcPr>
          <w:p>
            <w:pPr>
              <w:ind w:left="220"/>
              <w:spacing w:after="0" w:line="215" w:lineRule="exact"/>
              <w:rPr>
                <w:sz w:val="20"/>
                <w:szCs w:val="20"/>
                <w:color w:val="auto"/>
              </w:rPr>
            </w:pPr>
            <w:r>
              <w:rPr>
                <w:rFonts w:ascii="Arial" w:cs="Arial" w:eastAsia="Arial" w:hAnsi="Arial"/>
                <w:sz w:val="19"/>
                <w:szCs w:val="19"/>
                <w:color w:val="auto"/>
              </w:rPr>
              <w:t>We compared the significant assumptions noted above with current industry, market and</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7720" w:type="dxa"/>
            <w:vAlign w:val="bottom"/>
          </w:tcPr>
          <w:p>
            <w:pPr>
              <w:ind w:left="220"/>
              <w:spacing w:after="0" w:line="215" w:lineRule="exact"/>
              <w:rPr>
                <w:sz w:val="20"/>
                <w:szCs w:val="20"/>
                <w:color w:val="auto"/>
              </w:rPr>
            </w:pPr>
            <w:r>
              <w:rPr>
                <w:rFonts w:ascii="Arial" w:cs="Arial" w:eastAsia="Arial" w:hAnsi="Arial"/>
                <w:sz w:val="19"/>
                <w:szCs w:val="19"/>
                <w:color w:val="auto"/>
                <w:w w:val="90"/>
              </w:rPr>
              <w:t>economic trends, assessed the accuracy of management’s historical projections of global net sales</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7720" w:type="dxa"/>
            <w:vAlign w:val="bottom"/>
          </w:tcPr>
          <w:p>
            <w:pPr>
              <w:ind w:left="220"/>
              <w:spacing w:after="0" w:line="215" w:lineRule="exact"/>
              <w:rPr>
                <w:sz w:val="20"/>
                <w:szCs w:val="20"/>
                <w:color w:val="auto"/>
              </w:rPr>
            </w:pPr>
            <w:r>
              <w:rPr>
                <w:rFonts w:ascii="Arial" w:cs="Arial" w:eastAsia="Arial" w:hAnsi="Arial"/>
                <w:sz w:val="19"/>
                <w:szCs w:val="19"/>
                <w:color w:val="auto"/>
                <w:w w:val="96"/>
              </w:rPr>
              <w:t>and performed sensitivity analyses of the significant assumptions to evaluate changes in the</w:t>
            </w:r>
          </w:p>
        </w:tc>
        <w:tc>
          <w:tcPr>
            <w:tcW w:w="0" w:type="dxa"/>
            <w:vAlign w:val="bottom"/>
          </w:tcPr>
          <w:p>
            <w:pPr>
              <w:spacing w:after="0"/>
              <w:rPr>
                <w:sz w:val="1"/>
                <w:szCs w:val="1"/>
                <w:color w:val="auto"/>
              </w:rPr>
            </w:pPr>
          </w:p>
        </w:tc>
      </w:tr>
      <w:tr>
        <w:trPr>
          <w:trHeight w:val="251"/>
        </w:trPr>
        <w:tc>
          <w:tcPr>
            <w:tcW w:w="1600" w:type="dxa"/>
            <w:vAlign w:val="bottom"/>
          </w:tcPr>
          <w:p>
            <w:pPr>
              <w:spacing w:after="0"/>
              <w:rPr>
                <w:sz w:val="21"/>
                <w:szCs w:val="21"/>
                <w:color w:val="auto"/>
              </w:rPr>
            </w:pPr>
          </w:p>
        </w:tc>
        <w:tc>
          <w:tcPr>
            <w:tcW w:w="7720" w:type="dxa"/>
            <w:vAlign w:val="bottom"/>
          </w:tcPr>
          <w:p>
            <w:pPr>
              <w:ind w:left="220"/>
              <w:spacing w:after="0"/>
              <w:rPr>
                <w:sz w:val="20"/>
                <w:szCs w:val="20"/>
                <w:color w:val="auto"/>
              </w:rPr>
            </w:pPr>
            <w:r>
              <w:rPr>
                <w:rFonts w:ascii="Arial" w:cs="Arial" w:eastAsia="Arial" w:hAnsi="Arial"/>
                <w:sz w:val="19"/>
                <w:szCs w:val="19"/>
                <w:color w:val="auto"/>
              </w:rPr>
              <w:t>RIPSA liability and related interest expense.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Arial" w:cs="Arial" w:eastAsia="Arial" w:hAnsi="Arial"/>
          <w:sz w:val="19"/>
          <w:szCs w:val="19"/>
          <w:color w:val="auto"/>
        </w:rPr>
        <w:t>/s/ Ernst &amp; Young LLP</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2024.</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Raleigh, North Carolina</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February 27, 2025</w:t>
      </w:r>
    </w:p>
    <w:p>
      <w:pPr>
        <w:sectPr>
          <w:pgSz w:w="11880" w:h="15480" w:orient="portrait"/>
          <w:cols w:equalWidth="0" w:num="1">
            <w:col w:w="9380"/>
          </w:cols>
          <w:pgMar w:left="1440" w:top="1440"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F-5</w:t>
      </w:r>
    </w:p>
    <w:p>
      <w:pPr>
        <w:sectPr>
          <w:pgSz w:w="11880" w:h="15480" w:orient="portrait"/>
          <w:cols w:equalWidth="0" w:num="1">
            <w:col w:w="9380"/>
          </w:cols>
          <w:pgMar w:left="1440" w:top="1440" w:right="1060" w:bottom="0" w:gutter="0" w:footer="0" w:header="0"/>
          <w:type w:val="continuous"/>
        </w:sectPr>
      </w:pPr>
    </w:p>
    <w:bookmarkStart w:id="113" w:name="page114"/>
    <w:bookmarkEnd w:id="113"/>
    <w:p>
      <w:pPr>
        <w:spacing w:after="0" w:line="12" w:lineRule="exact"/>
        <w:rPr>
          <w:sz w:val="20"/>
          <w:szCs w:val="20"/>
          <w:color w:val="auto"/>
        </w:rPr>
      </w:pPr>
    </w:p>
    <w:p>
      <w:pPr>
        <w:ind w:right="2100" w:firstLine="2090"/>
        <w:spacing w:after="0" w:line="421"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To the Board of Directors and Shareholders of Verona Pharma plc</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audited the consolidated balance sheet of Verona Pharma plc and its subsidiaries (the “Company”) as of December 31, 2023, and the related consolidated statements of operations and comprehensive loss, of shareholders’ equity and of cash flows for each of the two years in the period ended December 31, 2023, including the related notes (collectively referred to as the “consolidated financial statements”). In our opinion, the consolidated financial statements present fairly, in all material respects, the financial position of the Company as of December 31, 2023, and the results of its operations and its cash flows for each of the two years in the period ended December 31, 2023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5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/s/ PricewaterhouseCoopers LLP</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Reading, United Kingdom</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February 29, 2024</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We served as the Company's auditor from 2015 to 2024.</w:t>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F-6</w:t>
      </w:r>
    </w:p>
    <w:p>
      <w:pPr>
        <w:sectPr>
          <w:pgSz w:w="11880" w:h="15480" w:orient="portrait"/>
          <w:cols w:equalWidth="0" w:num="1">
            <w:col w:w="9000"/>
          </w:cols>
          <w:pgMar w:left="1440" w:top="1440" w:right="1440" w:bottom="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09"/>
        </w:trPr>
        <w:tc>
          <w:tcPr>
            <w:tcW w:w="6600" w:type="dxa"/>
            <w:vAlign w:val="bottom"/>
          </w:tcPr>
          <w:p>
            <w:pPr>
              <w:ind w:left="4100"/>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0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399,757</w:t>
            </w:r>
          </w:p>
        </w:tc>
        <w:tc>
          <w:tcPr>
            <w:tcW w:w="34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271,772</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31,496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6600" w:type="dxa"/>
            <w:vAlign w:val="bottom"/>
          </w:tcPr>
          <w:p>
            <w:pPr>
              <w:ind w:left="220"/>
              <w:spacing w:after="0"/>
              <w:rPr>
                <w:sz w:val="20"/>
                <w:szCs w:val="20"/>
                <w:color w:val="auto"/>
              </w:rPr>
            </w:pPr>
            <w:r>
              <w:rPr>
                <w:rFonts w:ascii="Arial" w:cs="Arial" w:eastAsia="Arial" w:hAnsi="Arial"/>
                <w:sz w:val="17"/>
                <w:szCs w:val="17"/>
                <w:color w:val="auto"/>
              </w:rPr>
              <w:t>Prepaid expenses</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7,573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3,617</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7"/>
                <w:szCs w:val="17"/>
                <w:color w:val="auto"/>
              </w:rPr>
              <w:t>Tax incentive receivable</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5,762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10,954</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7"/>
                <w:szCs w:val="17"/>
                <w:color w:val="auto"/>
              </w:rPr>
              <w:t>Inventory</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6,249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660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2,735</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3,365</w:t>
            </w:r>
          </w:p>
        </w:tc>
        <w:tc>
          <w:tcPr>
            <w:tcW w:w="0" w:type="dxa"/>
            <w:vAlign w:val="bottom"/>
          </w:tcPr>
          <w:p>
            <w:pPr>
              <w:spacing w:after="0"/>
              <w:rPr>
                <w:sz w:val="1"/>
                <w:szCs w:val="1"/>
                <w:color w:val="auto"/>
              </w:rPr>
            </w:pPr>
          </w:p>
        </w:tc>
      </w:tr>
      <w:tr>
        <w:trPr>
          <w:trHeight w:val="226"/>
        </w:trPr>
        <w:tc>
          <w:tcPr>
            <w:tcW w:w="6600" w:type="dxa"/>
            <w:vAlign w:val="bottom"/>
          </w:tcPr>
          <w:p>
            <w:pPr>
              <w:ind w:left="340"/>
              <w:spacing w:after="0"/>
              <w:rPr>
                <w:sz w:val="20"/>
                <w:szCs w:val="20"/>
                <w:color w:val="auto"/>
              </w:rPr>
            </w:pPr>
            <w:r>
              <w:rPr>
                <w:rFonts w:ascii="Arial" w:cs="Arial" w:eastAsia="Arial" w:hAnsi="Arial"/>
                <w:sz w:val="17"/>
                <w:szCs w:val="17"/>
                <w:b w:val="1"/>
                <w:bCs w:val="1"/>
                <w:color w:val="auto"/>
              </w:rPr>
              <w:t>Total current assets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453,572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289,708</w:t>
            </w:r>
          </w:p>
        </w:tc>
        <w:tc>
          <w:tcPr>
            <w:tcW w:w="0" w:type="dxa"/>
            <w:vAlign w:val="bottom"/>
          </w:tcPr>
          <w:p>
            <w:pPr>
              <w:spacing w:after="0"/>
              <w:rPr>
                <w:sz w:val="1"/>
                <w:szCs w:val="1"/>
                <w:color w:val="auto"/>
              </w:rPr>
            </w:pPr>
          </w:p>
        </w:tc>
      </w:tr>
      <w:tr>
        <w:trPr>
          <w:trHeight w:val="430"/>
        </w:trPr>
        <w:tc>
          <w:tcPr>
            <w:tcW w:w="6600" w:type="dxa"/>
            <w:vAlign w:val="bottom"/>
          </w:tcPr>
          <w:p>
            <w:pPr>
              <w:spacing w:after="0"/>
              <w:rPr>
                <w:sz w:val="20"/>
                <w:szCs w:val="20"/>
                <w:color w:val="auto"/>
              </w:rPr>
            </w:pPr>
            <w:r>
              <w:rPr>
                <w:rFonts w:ascii="Arial" w:cs="Arial" w:eastAsia="Arial" w:hAnsi="Arial"/>
                <w:sz w:val="17"/>
                <w:szCs w:val="17"/>
                <w:b w:val="1"/>
                <w:bCs w:val="1"/>
                <w:color w:val="auto"/>
              </w:rPr>
              <w:t>Non-current assets: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600" w:type="dxa"/>
            <w:vAlign w:val="bottom"/>
          </w:tcPr>
          <w:p>
            <w:pPr>
              <w:ind w:left="220"/>
              <w:spacing w:after="0"/>
              <w:rPr>
                <w:sz w:val="20"/>
                <w:szCs w:val="20"/>
                <w:color w:val="auto"/>
              </w:rPr>
            </w:pPr>
            <w:r>
              <w:rPr>
                <w:rFonts w:ascii="Arial" w:cs="Arial" w:eastAsia="Arial" w:hAnsi="Arial"/>
                <w:sz w:val="17"/>
                <w:szCs w:val="17"/>
                <w:color w:val="auto"/>
              </w:rPr>
              <w:t>Furniture and equipment, net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1,105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7"/>
                <w:szCs w:val="17"/>
                <w:color w:val="auto"/>
              </w:rPr>
              <w:t>Inventory, long-term</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1,972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6600" w:type="dxa"/>
            <w:vAlign w:val="bottom"/>
          </w:tcPr>
          <w:p>
            <w:pPr>
              <w:ind w:left="220"/>
              <w:spacing w:after="0"/>
              <w:rPr>
                <w:sz w:val="20"/>
                <w:szCs w:val="20"/>
                <w:color w:val="auto"/>
              </w:rPr>
            </w:pPr>
            <w:r>
              <w:rPr>
                <w:rFonts w:ascii="Arial" w:cs="Arial" w:eastAsia="Arial" w:hAnsi="Arial"/>
                <w:sz w:val="17"/>
                <w:szCs w:val="17"/>
                <w:color w:val="auto"/>
              </w:rPr>
              <w:t>Goodwill</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545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545</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7"/>
                <w:szCs w:val="17"/>
                <w:color w:val="auto"/>
              </w:rPr>
              <w:t>Equity interest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15,000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15,000</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7"/>
                <w:szCs w:val="17"/>
                <w:color w:val="auto"/>
              </w:rPr>
              <w:t>Right-of-use assets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2,048</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2,847</w:t>
            </w:r>
          </w:p>
        </w:tc>
        <w:tc>
          <w:tcPr>
            <w:tcW w:w="0" w:type="dxa"/>
            <w:vAlign w:val="bottom"/>
          </w:tcPr>
          <w:p>
            <w:pPr>
              <w:spacing w:after="0"/>
              <w:rPr>
                <w:sz w:val="1"/>
                <w:szCs w:val="1"/>
                <w:color w:val="auto"/>
              </w:rPr>
            </w:pPr>
          </w:p>
        </w:tc>
      </w:tr>
      <w:tr>
        <w:trPr>
          <w:trHeight w:val="210"/>
        </w:trPr>
        <w:tc>
          <w:tcPr>
            <w:tcW w:w="6600" w:type="dxa"/>
            <w:vAlign w:val="bottom"/>
          </w:tcPr>
          <w:p>
            <w:pPr>
              <w:ind w:left="340"/>
              <w:spacing w:after="0"/>
              <w:rPr>
                <w:sz w:val="20"/>
                <w:szCs w:val="20"/>
                <w:color w:val="auto"/>
              </w:rPr>
            </w:pPr>
            <w:r>
              <w:rPr>
                <w:rFonts w:ascii="Arial" w:cs="Arial" w:eastAsia="Arial" w:hAnsi="Arial"/>
                <w:sz w:val="17"/>
                <w:szCs w:val="17"/>
                <w:b w:val="1"/>
                <w:bCs w:val="1"/>
                <w:color w:val="auto"/>
              </w:rPr>
              <w:t>Total non-current assets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20,670</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18,416</w:t>
            </w:r>
          </w:p>
        </w:tc>
        <w:tc>
          <w:tcPr>
            <w:tcW w:w="0" w:type="dxa"/>
            <w:vAlign w:val="bottom"/>
          </w:tcPr>
          <w:p>
            <w:pPr>
              <w:spacing w:after="0"/>
              <w:rPr>
                <w:sz w:val="1"/>
                <w:szCs w:val="1"/>
                <w:color w:val="auto"/>
              </w:rPr>
            </w:pPr>
          </w:p>
        </w:tc>
      </w:tr>
      <w:tr>
        <w:trPr>
          <w:trHeight w:val="191"/>
        </w:trPr>
        <w:tc>
          <w:tcPr>
            <w:tcW w:w="6600" w:type="dxa"/>
            <w:vAlign w:val="bottom"/>
          </w:tcPr>
          <w:p>
            <w:pPr>
              <w:ind w:left="460"/>
              <w:spacing w:after="0" w:line="191" w:lineRule="exact"/>
              <w:rPr>
                <w:sz w:val="20"/>
                <w:szCs w:val="20"/>
                <w:color w:val="auto"/>
              </w:rPr>
            </w:pPr>
            <w:r>
              <w:rPr>
                <w:rFonts w:ascii="Arial" w:cs="Arial" w:eastAsia="Arial" w:hAnsi="Arial"/>
                <w:sz w:val="17"/>
                <w:szCs w:val="17"/>
                <w:b w:val="1"/>
                <w:bCs w:val="1"/>
                <w:color w:val="auto"/>
              </w:rPr>
              <w:t>Total assets</w:t>
            </w:r>
          </w:p>
        </w:tc>
        <w:tc>
          <w:tcPr>
            <w:tcW w:w="280" w:type="dxa"/>
            <w:vAlign w:val="bottom"/>
            <w:tcBorders>
              <w:bottom w:val="single" w:sz="8" w:color="auto"/>
            </w:tcBorders>
          </w:tcPr>
          <w:p>
            <w:pPr>
              <w:jc w:val="right"/>
              <w:ind w:right="54"/>
              <w:spacing w:after="0" w:line="191"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474,242</w:t>
            </w:r>
          </w:p>
        </w:tc>
        <w:tc>
          <w:tcPr>
            <w:tcW w:w="60" w:type="dxa"/>
            <w:vAlign w:val="bottom"/>
          </w:tcPr>
          <w:p>
            <w:pPr>
              <w:spacing w:after="0"/>
              <w:rPr>
                <w:sz w:val="16"/>
                <w:szCs w:val="16"/>
                <w:color w:val="auto"/>
              </w:rPr>
            </w:pPr>
          </w:p>
        </w:tc>
        <w:tc>
          <w:tcPr>
            <w:tcW w:w="280" w:type="dxa"/>
            <w:vAlign w:val="bottom"/>
            <w:tcBorders>
              <w:bottom w:val="single" w:sz="8" w:color="auto"/>
            </w:tcBorders>
          </w:tcPr>
          <w:p>
            <w:pPr>
              <w:jc w:val="right"/>
              <w:ind w:right="54"/>
              <w:spacing w:after="0" w:line="191"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308,124</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2540"/>
              <w:spacing w:after="0"/>
              <w:rPr>
                <w:sz w:val="20"/>
                <w:szCs w:val="20"/>
                <w:color w:val="auto"/>
              </w:rPr>
            </w:pPr>
            <w:r>
              <w:rPr>
                <w:rFonts w:ascii="Arial" w:cs="Arial" w:eastAsia="Arial" w:hAnsi="Arial"/>
                <w:sz w:val="17"/>
                <w:szCs w:val="17"/>
                <w:b w:val="1"/>
                <w:bCs w:val="1"/>
                <w:color w:val="auto"/>
              </w:rPr>
              <w:t>LIABILITIES AND SHAREHOLDERS’ EQUITY</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60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11,266</w:t>
            </w:r>
          </w:p>
        </w:tc>
        <w:tc>
          <w:tcPr>
            <w:tcW w:w="34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3,492</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7"/>
                <w:szCs w:val="17"/>
                <w:color w:val="auto"/>
              </w:rPr>
              <w:t>Accrued expenses</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16,757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3,585</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7"/>
                <w:szCs w:val="17"/>
                <w:color w:val="auto"/>
              </w:rPr>
              <w:t>Royalties payable</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1,100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7"/>
                <w:szCs w:val="17"/>
                <w:color w:val="auto"/>
              </w:rPr>
              <w:t>Revenue interest purchase and sale agreement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687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7"/>
                <w:szCs w:val="17"/>
                <w:color w:val="auto"/>
              </w:rPr>
              <w:t>Current operating lease liabilities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1,120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1,180</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7"/>
                <w:szCs w:val="17"/>
                <w:color w:val="auto"/>
              </w:rPr>
              <w:t>Taxes payable</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8,889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6600" w:type="dxa"/>
            <w:vAlign w:val="bottom"/>
          </w:tcPr>
          <w:p>
            <w:pPr>
              <w:ind w:left="220"/>
              <w:spacing w:after="0"/>
              <w:rPr>
                <w:sz w:val="20"/>
                <w:szCs w:val="20"/>
                <w:color w:val="auto"/>
              </w:rPr>
            </w:pPr>
            <w:r>
              <w:rPr>
                <w:rFonts w:ascii="Arial" w:cs="Arial" w:eastAsia="Arial" w:hAnsi="Arial"/>
                <w:sz w:val="17"/>
                <w:szCs w:val="17"/>
                <w:color w:val="auto"/>
              </w:rPr>
              <w:t>Other current liabilities</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2,862</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w:t>
            </w:r>
          </w:p>
        </w:tc>
        <w:tc>
          <w:tcPr>
            <w:tcW w:w="0" w:type="dxa"/>
            <w:vAlign w:val="bottom"/>
          </w:tcPr>
          <w:p>
            <w:pPr>
              <w:spacing w:after="0"/>
              <w:rPr>
                <w:sz w:val="1"/>
                <w:szCs w:val="1"/>
                <w:color w:val="auto"/>
              </w:rPr>
            </w:pPr>
          </w:p>
        </w:tc>
      </w:tr>
      <w:tr>
        <w:trPr>
          <w:trHeight w:val="226"/>
        </w:trPr>
        <w:tc>
          <w:tcPr>
            <w:tcW w:w="6600" w:type="dxa"/>
            <w:vAlign w:val="bottom"/>
          </w:tcPr>
          <w:p>
            <w:pPr>
              <w:ind w:left="340"/>
              <w:spacing w:after="0"/>
              <w:rPr>
                <w:sz w:val="20"/>
                <w:szCs w:val="20"/>
                <w:color w:val="auto"/>
              </w:rPr>
            </w:pPr>
            <w:r>
              <w:rPr>
                <w:rFonts w:ascii="Arial" w:cs="Arial" w:eastAsia="Arial" w:hAnsi="Arial"/>
                <w:sz w:val="17"/>
                <w:szCs w:val="17"/>
                <w:b w:val="1"/>
                <w:bCs w:val="1"/>
                <w:color w:val="auto"/>
              </w:rPr>
              <w:t>Total current liabilities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42,681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8,692</w:t>
            </w:r>
          </w:p>
        </w:tc>
        <w:tc>
          <w:tcPr>
            <w:tcW w:w="0" w:type="dxa"/>
            <w:vAlign w:val="bottom"/>
          </w:tcPr>
          <w:p>
            <w:pPr>
              <w:spacing w:after="0"/>
              <w:rPr>
                <w:sz w:val="1"/>
                <w:szCs w:val="1"/>
                <w:color w:val="auto"/>
              </w:rPr>
            </w:pPr>
          </w:p>
        </w:tc>
      </w:tr>
      <w:tr>
        <w:trPr>
          <w:trHeight w:val="430"/>
        </w:trPr>
        <w:tc>
          <w:tcPr>
            <w:tcW w:w="6600" w:type="dxa"/>
            <w:vAlign w:val="bottom"/>
          </w:tcPr>
          <w:p>
            <w:pPr>
              <w:spacing w:after="0"/>
              <w:rPr>
                <w:sz w:val="20"/>
                <w:szCs w:val="20"/>
                <w:color w:val="auto"/>
              </w:rPr>
            </w:pPr>
            <w:r>
              <w:rPr>
                <w:rFonts w:ascii="Arial" w:cs="Arial" w:eastAsia="Arial" w:hAnsi="Arial"/>
                <w:sz w:val="17"/>
                <w:szCs w:val="17"/>
                <w:b w:val="1"/>
                <w:bCs w:val="1"/>
                <w:color w:val="auto"/>
              </w:rPr>
              <w:t>Non-current liabilities: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600" w:type="dxa"/>
            <w:vAlign w:val="bottom"/>
          </w:tcPr>
          <w:p>
            <w:pPr>
              <w:ind w:left="220"/>
              <w:spacing w:after="0"/>
              <w:rPr>
                <w:sz w:val="20"/>
                <w:szCs w:val="20"/>
                <w:color w:val="auto"/>
              </w:rPr>
            </w:pPr>
            <w:r>
              <w:rPr>
                <w:rFonts w:ascii="Arial" w:cs="Arial" w:eastAsia="Arial" w:hAnsi="Arial"/>
                <w:sz w:val="17"/>
                <w:szCs w:val="17"/>
                <w:color w:val="auto"/>
              </w:rPr>
              <w:t>Term loan</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120,341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48,374</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7"/>
                <w:szCs w:val="17"/>
                <w:color w:val="auto"/>
              </w:rPr>
              <w:t>Revenue interest purchase and sale agreement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105,420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7"/>
                <w:szCs w:val="17"/>
                <w:color w:val="auto"/>
              </w:rPr>
              <w:t>Non-current operating lease liabilities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1,241</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1,775</w:t>
            </w:r>
          </w:p>
        </w:tc>
        <w:tc>
          <w:tcPr>
            <w:tcW w:w="0" w:type="dxa"/>
            <w:vAlign w:val="bottom"/>
          </w:tcPr>
          <w:p>
            <w:pPr>
              <w:spacing w:after="0"/>
              <w:rPr>
                <w:sz w:val="1"/>
                <w:szCs w:val="1"/>
                <w:color w:val="auto"/>
              </w:rPr>
            </w:pPr>
          </w:p>
        </w:tc>
      </w:tr>
      <w:tr>
        <w:trPr>
          <w:trHeight w:val="210"/>
        </w:trPr>
        <w:tc>
          <w:tcPr>
            <w:tcW w:w="6600" w:type="dxa"/>
            <w:vAlign w:val="bottom"/>
          </w:tcPr>
          <w:p>
            <w:pPr>
              <w:ind w:left="340"/>
              <w:spacing w:after="0"/>
              <w:rPr>
                <w:sz w:val="20"/>
                <w:szCs w:val="20"/>
                <w:color w:val="auto"/>
              </w:rPr>
            </w:pPr>
            <w:r>
              <w:rPr>
                <w:rFonts w:ascii="Arial" w:cs="Arial" w:eastAsia="Arial" w:hAnsi="Arial"/>
                <w:sz w:val="17"/>
                <w:szCs w:val="17"/>
                <w:b w:val="1"/>
                <w:bCs w:val="1"/>
                <w:color w:val="auto"/>
              </w:rPr>
              <w:t>Total non-current liabilities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227,002</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50,149</w:t>
            </w:r>
          </w:p>
        </w:tc>
        <w:tc>
          <w:tcPr>
            <w:tcW w:w="0" w:type="dxa"/>
            <w:vAlign w:val="bottom"/>
          </w:tcPr>
          <w:p>
            <w:pPr>
              <w:spacing w:after="0"/>
              <w:rPr>
                <w:sz w:val="1"/>
                <w:szCs w:val="1"/>
                <w:color w:val="auto"/>
              </w:rPr>
            </w:pPr>
          </w:p>
        </w:tc>
      </w:tr>
      <w:tr>
        <w:trPr>
          <w:trHeight w:val="226"/>
        </w:trPr>
        <w:tc>
          <w:tcPr>
            <w:tcW w:w="6600" w:type="dxa"/>
            <w:vAlign w:val="bottom"/>
          </w:tcPr>
          <w:p>
            <w:pPr>
              <w:ind w:left="460"/>
              <w:spacing w:after="0"/>
              <w:rPr>
                <w:sz w:val="20"/>
                <w:szCs w:val="20"/>
                <w:color w:val="auto"/>
              </w:rPr>
            </w:pPr>
            <w:r>
              <w:rPr>
                <w:rFonts w:ascii="Arial" w:cs="Arial" w:eastAsia="Arial" w:hAnsi="Arial"/>
                <w:sz w:val="17"/>
                <w:szCs w:val="17"/>
                <w:b w:val="1"/>
                <w:bCs w:val="1"/>
                <w:color w:val="auto"/>
              </w:rPr>
              <w:t>Total liabilities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269,683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58,841</w:t>
            </w:r>
          </w:p>
        </w:tc>
        <w:tc>
          <w:tcPr>
            <w:tcW w:w="0" w:type="dxa"/>
            <w:vAlign w:val="bottom"/>
          </w:tcPr>
          <w:p>
            <w:pPr>
              <w:spacing w:after="0"/>
              <w:rPr>
                <w:sz w:val="1"/>
                <w:szCs w:val="1"/>
                <w:color w:val="auto"/>
              </w:rPr>
            </w:pPr>
          </w:p>
        </w:tc>
      </w:tr>
      <w:tr>
        <w:trPr>
          <w:trHeight w:val="430"/>
        </w:trPr>
        <w:tc>
          <w:tcPr>
            <w:tcW w:w="6600" w:type="dxa"/>
            <w:vAlign w:val="bottom"/>
          </w:tcPr>
          <w:p>
            <w:pPr>
              <w:spacing w:after="0"/>
              <w:rPr>
                <w:sz w:val="20"/>
                <w:szCs w:val="20"/>
                <w:color w:val="auto"/>
              </w:rPr>
            </w:pPr>
            <w:r>
              <w:rPr>
                <w:rFonts w:ascii="Arial" w:cs="Arial" w:eastAsia="Arial" w:hAnsi="Arial"/>
                <w:sz w:val="17"/>
                <w:szCs w:val="17"/>
                <w:b w:val="1"/>
                <w:bCs w:val="1"/>
                <w:color w:val="auto"/>
              </w:rPr>
              <w:t>Commitments and contingencies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6600" w:type="dxa"/>
            <w:vAlign w:val="bottom"/>
          </w:tcPr>
          <w:p>
            <w:pPr>
              <w:spacing w:after="0"/>
              <w:rPr>
                <w:sz w:val="20"/>
                <w:szCs w:val="20"/>
                <w:color w:val="auto"/>
              </w:rPr>
            </w:pPr>
            <w:r>
              <w:rPr>
                <w:rFonts w:ascii="Arial" w:cs="Arial" w:eastAsia="Arial" w:hAnsi="Arial"/>
                <w:sz w:val="17"/>
                <w:szCs w:val="17"/>
                <w:b w:val="1"/>
                <w:bCs w:val="1"/>
                <w:color w:val="auto"/>
              </w:rPr>
              <w:t>Shareholders' equity:</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600" w:type="dxa"/>
            <w:vAlign w:val="bottom"/>
          </w:tcPr>
          <w:p>
            <w:pPr>
              <w:spacing w:after="0" w:line="181" w:lineRule="exact"/>
              <w:rPr>
                <w:sz w:val="20"/>
                <w:szCs w:val="20"/>
                <w:color w:val="auto"/>
              </w:rPr>
            </w:pPr>
            <w:r>
              <w:rPr>
                <w:rFonts w:ascii="Arial" w:cs="Arial" w:eastAsia="Arial" w:hAnsi="Arial"/>
                <w:sz w:val="17"/>
                <w:szCs w:val="17"/>
                <w:color w:val="auto"/>
                <w:w w:val="93"/>
              </w:rPr>
              <w:t>Ordinary £0.05 par value shares: 703,189,462 and 667,659,630 issued, and 677,008,254 and</w:t>
            </w:r>
          </w:p>
        </w:tc>
        <w:tc>
          <w:tcPr>
            <w:tcW w:w="2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45,021</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42,771</w:t>
            </w:r>
          </w:p>
        </w:tc>
        <w:tc>
          <w:tcPr>
            <w:tcW w:w="0" w:type="dxa"/>
            <w:vAlign w:val="bottom"/>
          </w:tcPr>
          <w:p>
            <w:pPr>
              <w:spacing w:after="0"/>
              <w:rPr>
                <w:sz w:val="1"/>
                <w:szCs w:val="1"/>
                <w:color w:val="auto"/>
              </w:rPr>
            </w:pPr>
          </w:p>
        </w:tc>
      </w:tr>
      <w:tr>
        <w:trPr>
          <w:trHeight w:val="128"/>
        </w:trPr>
        <w:tc>
          <w:tcPr>
            <w:tcW w:w="6600" w:type="dxa"/>
            <w:vAlign w:val="bottom"/>
            <w:vMerge w:val="restart"/>
          </w:tcPr>
          <w:p>
            <w:pPr>
              <w:spacing w:after="0"/>
              <w:rPr>
                <w:sz w:val="20"/>
                <w:szCs w:val="20"/>
                <w:color w:val="auto"/>
              </w:rPr>
            </w:pPr>
            <w:r>
              <w:rPr>
                <w:rFonts w:ascii="Arial" w:cs="Arial" w:eastAsia="Arial" w:hAnsi="Arial"/>
                <w:sz w:val="17"/>
                <w:szCs w:val="17"/>
                <w:color w:val="auto"/>
              </w:rPr>
              <w:t>643,536,094 outstanding, at December 31, 2024 and 2023, respectively</w:t>
            </w:r>
          </w:p>
        </w:tc>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66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728,199</w:t>
            </w: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601,063</w:t>
            </w:r>
          </w:p>
        </w:tc>
        <w:tc>
          <w:tcPr>
            <w:tcW w:w="0" w:type="dxa"/>
            <w:vAlign w:val="bottom"/>
          </w:tcPr>
          <w:p>
            <w:pPr>
              <w:spacing w:after="0"/>
              <w:rPr>
                <w:sz w:val="1"/>
                <w:szCs w:val="1"/>
                <w:color w:val="auto"/>
              </w:rPr>
            </w:pPr>
          </w:p>
        </w:tc>
      </w:tr>
      <w:tr>
        <w:trPr>
          <w:trHeight w:val="226"/>
        </w:trPr>
        <w:tc>
          <w:tcPr>
            <w:tcW w:w="660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7"/>
                <w:szCs w:val="17"/>
                <w:color w:val="auto"/>
              </w:rPr>
              <w:t>Ordinary shares held in treasury</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(1,659)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(1,517)</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(4,601)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(4,601)</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7"/>
                <w:szCs w:val="17"/>
                <w:color w:val="auto"/>
              </w:rPr>
              <w:t>Accumulated deficit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(562,401)</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(388,433)</w:t>
            </w:r>
          </w:p>
        </w:tc>
        <w:tc>
          <w:tcPr>
            <w:tcW w:w="0" w:type="dxa"/>
            <w:vAlign w:val="bottom"/>
          </w:tcPr>
          <w:p>
            <w:pPr>
              <w:spacing w:after="0"/>
              <w:rPr>
                <w:sz w:val="1"/>
                <w:szCs w:val="1"/>
                <w:color w:val="auto"/>
              </w:rPr>
            </w:pPr>
          </w:p>
        </w:tc>
      </w:tr>
      <w:tr>
        <w:trPr>
          <w:trHeight w:val="210"/>
        </w:trPr>
        <w:tc>
          <w:tcPr>
            <w:tcW w:w="6600" w:type="dxa"/>
            <w:vAlign w:val="bottom"/>
          </w:tcPr>
          <w:p>
            <w:pPr>
              <w:ind w:left="340"/>
              <w:spacing w:after="0"/>
              <w:rPr>
                <w:sz w:val="20"/>
                <w:szCs w:val="20"/>
                <w:color w:val="auto"/>
              </w:rPr>
            </w:pPr>
            <w:r>
              <w:rPr>
                <w:rFonts w:ascii="Arial" w:cs="Arial" w:eastAsia="Arial" w:hAnsi="Arial"/>
                <w:sz w:val="17"/>
                <w:szCs w:val="17"/>
                <w:b w:val="1"/>
                <w:bCs w:val="1"/>
                <w:color w:val="auto"/>
              </w:rPr>
              <w:t>Total shareholders' equity</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204,559</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249,283</w:t>
            </w:r>
          </w:p>
        </w:tc>
        <w:tc>
          <w:tcPr>
            <w:tcW w:w="0" w:type="dxa"/>
            <w:vAlign w:val="bottom"/>
          </w:tcPr>
          <w:p>
            <w:pPr>
              <w:spacing w:after="0"/>
              <w:rPr>
                <w:sz w:val="1"/>
                <w:szCs w:val="1"/>
                <w:color w:val="auto"/>
              </w:rPr>
            </w:pPr>
          </w:p>
        </w:tc>
      </w:tr>
      <w:tr>
        <w:trPr>
          <w:trHeight w:val="191"/>
        </w:trPr>
        <w:tc>
          <w:tcPr>
            <w:tcW w:w="6600" w:type="dxa"/>
            <w:vAlign w:val="bottom"/>
          </w:tcPr>
          <w:p>
            <w:pPr>
              <w:ind w:left="460"/>
              <w:spacing w:after="0" w:line="191" w:lineRule="exact"/>
              <w:rPr>
                <w:sz w:val="20"/>
                <w:szCs w:val="20"/>
                <w:color w:val="auto"/>
              </w:rPr>
            </w:pPr>
            <w:r>
              <w:rPr>
                <w:rFonts w:ascii="Arial" w:cs="Arial" w:eastAsia="Arial" w:hAnsi="Arial"/>
                <w:sz w:val="17"/>
                <w:szCs w:val="17"/>
                <w:b w:val="1"/>
                <w:bCs w:val="1"/>
                <w:color w:val="auto"/>
              </w:rPr>
              <w:t>Total liabilities and shareholders' equity</w:t>
            </w:r>
          </w:p>
        </w:tc>
        <w:tc>
          <w:tcPr>
            <w:tcW w:w="280" w:type="dxa"/>
            <w:vAlign w:val="bottom"/>
            <w:tcBorders>
              <w:bottom w:val="single" w:sz="8" w:color="auto"/>
            </w:tcBorders>
          </w:tcPr>
          <w:p>
            <w:pPr>
              <w:jc w:val="right"/>
              <w:ind w:right="54"/>
              <w:spacing w:after="0" w:line="191"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474,242</w:t>
            </w:r>
          </w:p>
        </w:tc>
        <w:tc>
          <w:tcPr>
            <w:tcW w:w="60" w:type="dxa"/>
            <w:vAlign w:val="bottom"/>
          </w:tcPr>
          <w:p>
            <w:pPr>
              <w:spacing w:after="0"/>
              <w:rPr>
                <w:sz w:val="16"/>
                <w:szCs w:val="16"/>
                <w:color w:val="auto"/>
              </w:rPr>
            </w:pPr>
          </w:p>
        </w:tc>
        <w:tc>
          <w:tcPr>
            <w:tcW w:w="280" w:type="dxa"/>
            <w:vAlign w:val="bottom"/>
            <w:tcBorders>
              <w:bottom w:val="single" w:sz="8" w:color="auto"/>
            </w:tcBorders>
          </w:tcPr>
          <w:p>
            <w:pPr>
              <w:jc w:val="right"/>
              <w:ind w:right="54"/>
              <w:spacing w:after="0" w:line="191"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308,124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-6973570</wp:posOffset>
            </wp:positionV>
            <wp:extent cx="5706110" cy="6980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5706110" cy="69805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F-7</w:t>
      </w:r>
    </w:p>
    <w:p>
      <w:pPr>
        <w:sectPr>
          <w:pgSz w:w="11880" w:h="15480" w:orient="portrait"/>
          <w:cols w:equalWidth="0" w:num="1">
            <w:col w:w="9000"/>
          </w:cols>
          <w:pgMar w:left="1440" w:top="327" w:right="1440" w:bottom="0" w:gutter="0" w:footer="0" w:header="0"/>
          <w:type w:val="continuous"/>
        </w:sectPr>
      </w:pPr>
    </w:p>
    <w:bookmarkStart w:id="115" w:name="page116"/>
    <w:bookmarkEnd w:id="115"/>
    <w:p>
      <w:pPr>
        <w:jc w:val="center"/>
        <w:ind w:right="60"/>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Consolidated Statements of Operations and Comprehensive Loss</w:t>
      </w:r>
    </w:p>
    <w:p>
      <w:pPr>
        <w:spacing w:after="0" w:line="12"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4"/>
              <w:spacing w:after="0"/>
              <w:rPr>
                <w:sz w:val="20"/>
                <w:szCs w:val="20"/>
                <w:color w:val="auto"/>
              </w:rPr>
            </w:pPr>
            <w:r>
              <w:rPr>
                <w:rFonts w:ascii="Arial" w:cs="Arial" w:eastAsia="Arial" w:hAnsi="Arial"/>
                <w:sz w:val="15"/>
                <w:szCs w:val="15"/>
                <w:b w:val="1"/>
                <w:bCs w:val="1"/>
                <w:color w:val="auto"/>
              </w:rPr>
              <w:t>Year ended 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2023</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9"/>
                <w:szCs w:val="19"/>
                <w:b w:val="1"/>
                <w:bCs w:val="1"/>
                <w:color w:val="auto"/>
              </w:rPr>
              <w:t>Revenue:</w:t>
            </w:r>
          </w:p>
        </w:tc>
        <w:tc>
          <w:tcPr>
            <w:tcW w:w="240" w:type="dxa"/>
            <w:vAlign w:val="bottom"/>
            <w:vMerge w:val="restart"/>
          </w:tcPr>
          <w:p>
            <w:pPr>
              <w:jc w:val="right"/>
              <w:ind w:right="4"/>
              <w:spacing w:after="0"/>
              <w:rPr>
                <w:sz w:val="20"/>
                <w:szCs w:val="20"/>
                <w:color w:val="auto"/>
              </w:rPr>
            </w:pPr>
            <w:r>
              <w:rPr>
                <w:rFonts w:ascii="Arial" w:cs="Arial" w:eastAsia="Arial" w:hAnsi="Arial"/>
                <w:sz w:val="19"/>
                <w:szCs w:val="19"/>
                <w:color w:val="auto"/>
              </w:rPr>
              <w:t>$</w:t>
            </w:r>
          </w:p>
        </w:tc>
        <w:tc>
          <w:tcPr>
            <w:tcW w:w="860" w:type="dxa"/>
            <w:vAlign w:val="bottom"/>
            <w:vMerge w:val="restart"/>
          </w:tcPr>
          <w:p>
            <w:pPr>
              <w:jc w:val="right"/>
              <w:spacing w:after="0"/>
              <w:rPr>
                <w:sz w:val="20"/>
                <w:szCs w:val="20"/>
                <w:color w:val="auto"/>
              </w:rPr>
            </w:pPr>
            <w:r>
              <w:rPr>
                <w:rFonts w:ascii="Arial" w:cs="Arial" w:eastAsia="Arial" w:hAnsi="Arial"/>
                <w:sz w:val="19"/>
                <w:szCs w:val="19"/>
                <w:color w:val="auto"/>
              </w:rPr>
              <w:t>42,261</w:t>
            </w:r>
          </w:p>
        </w:tc>
        <w:tc>
          <w:tcPr>
            <w:tcW w:w="340" w:type="dxa"/>
            <w:vAlign w:val="bottom"/>
            <w:gridSpan w:val="2"/>
            <w:vMerge w:val="restart"/>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380" w:type="dxa"/>
            <w:vAlign w:val="bottom"/>
            <w:gridSpan w:val="2"/>
            <w:vMerge w:val="restart"/>
          </w:tcPr>
          <w:p>
            <w:pPr>
              <w:jc w:val="right"/>
              <w:ind w:right="84"/>
              <w:spacing w:after="0"/>
              <w:rPr>
                <w:sz w:val="20"/>
                <w:szCs w:val="20"/>
                <w:color w:val="auto"/>
              </w:rPr>
            </w:pPr>
            <w:r>
              <w:rPr>
                <w:rFonts w:ascii="Arial" w:cs="Arial" w:eastAsia="Arial" w:hAnsi="Arial"/>
                <w:sz w:val="19"/>
                <w:szCs w:val="19"/>
                <w:color w:val="auto"/>
              </w:rPr>
              <w:t>$</w:t>
            </w:r>
          </w:p>
        </w:tc>
        <w:tc>
          <w:tcPr>
            <w:tcW w:w="8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26"/>
        </w:trPr>
        <w:tc>
          <w:tcPr>
            <w:tcW w:w="5540" w:type="dxa"/>
            <w:vAlign w:val="bottom"/>
          </w:tcPr>
          <w:p>
            <w:pPr>
              <w:ind w:left="220"/>
              <w:spacing w:after="0"/>
              <w:rPr>
                <w:sz w:val="20"/>
                <w:szCs w:val="20"/>
                <w:color w:val="auto"/>
              </w:rPr>
            </w:pPr>
            <w:r>
              <w:rPr>
                <w:rFonts w:ascii="Arial" w:cs="Arial" w:eastAsia="Arial" w:hAnsi="Arial"/>
                <w:sz w:val="19"/>
                <w:szCs w:val="19"/>
                <w:color w:val="auto"/>
              </w:rPr>
              <w:t>Product sales, net</w:t>
            </w:r>
          </w:p>
        </w:tc>
        <w:tc>
          <w:tcPr>
            <w:tcW w:w="240" w:type="dxa"/>
            <w:vAlign w:val="bottom"/>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540" w:type="dxa"/>
            <w:vAlign w:val="bottom"/>
          </w:tcPr>
          <w:p>
            <w:pPr>
              <w:ind w:left="220"/>
              <w:spacing w:after="0"/>
              <w:rPr>
                <w:sz w:val="20"/>
                <w:szCs w:val="20"/>
                <w:color w:val="auto"/>
              </w:rPr>
            </w:pPr>
            <w:r>
              <w:rPr>
                <w:rFonts w:ascii="Arial" w:cs="Arial" w:eastAsia="Arial" w:hAnsi="Arial"/>
                <w:sz w:val="19"/>
                <w:szCs w:val="19"/>
                <w:color w:val="auto"/>
              </w:rPr>
              <w:t>Other revenue</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458</w:t>
            </w:r>
          </w:p>
        </w:tc>
        <w:tc>
          <w:tcPr>
            <w:tcW w:w="0" w:type="dxa"/>
            <w:vAlign w:val="bottom"/>
          </w:tcPr>
          <w:p>
            <w:pPr>
              <w:spacing w:after="0"/>
              <w:rPr>
                <w:sz w:val="1"/>
                <w:szCs w:val="1"/>
                <w:color w:val="auto"/>
              </w:rPr>
            </w:pPr>
          </w:p>
        </w:tc>
      </w:tr>
      <w:tr>
        <w:trPr>
          <w:trHeight w:val="268"/>
        </w:trPr>
        <w:tc>
          <w:tcPr>
            <w:tcW w:w="5540" w:type="dxa"/>
            <w:vAlign w:val="bottom"/>
          </w:tcPr>
          <w:p>
            <w:pPr>
              <w:spacing w:after="0"/>
              <w:rPr>
                <w:sz w:val="20"/>
                <w:szCs w:val="20"/>
                <w:color w:val="auto"/>
              </w:rPr>
            </w:pPr>
            <w:r>
              <w:rPr>
                <w:rFonts w:ascii="Arial" w:cs="Arial" w:eastAsia="Arial" w:hAnsi="Arial"/>
                <w:sz w:val="19"/>
                <w:szCs w:val="19"/>
                <w:b w:val="1"/>
                <w:bCs w:val="1"/>
                <w:color w:val="auto"/>
              </w:rPr>
              <w:t>Total revenue, net</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42,279</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458</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9"/>
                <w:szCs w:val="19"/>
                <w:b w:val="1"/>
                <w:bCs w:val="1"/>
                <w:color w:val="auto"/>
              </w:rPr>
              <w:t>Operating expenses:</w:t>
            </w:r>
          </w:p>
        </w:tc>
        <w:tc>
          <w:tcPr>
            <w:tcW w:w="24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9"/>
                <w:szCs w:val="19"/>
                <w:color w:val="auto"/>
              </w:rPr>
              <w:t>2,582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9"/>
                <w:szCs w:val="19"/>
                <w:color w:val="auto"/>
              </w:rPr>
              <w:t>346</w:t>
            </w:r>
          </w:p>
        </w:tc>
        <w:tc>
          <w:tcPr>
            <w:tcW w:w="0" w:type="dxa"/>
            <w:vAlign w:val="bottom"/>
          </w:tcPr>
          <w:p>
            <w:pPr>
              <w:spacing w:after="0"/>
              <w:rPr>
                <w:sz w:val="1"/>
                <w:szCs w:val="1"/>
                <w:color w:val="auto"/>
              </w:rPr>
            </w:pPr>
          </w:p>
        </w:tc>
      </w:tr>
      <w:tr>
        <w:trPr>
          <w:trHeight w:val="326"/>
        </w:trPr>
        <w:tc>
          <w:tcPr>
            <w:tcW w:w="5540" w:type="dxa"/>
            <w:vAlign w:val="bottom"/>
          </w:tcPr>
          <w:p>
            <w:pPr>
              <w:ind w:left="220"/>
              <w:spacing w:after="0"/>
              <w:rPr>
                <w:sz w:val="20"/>
                <w:szCs w:val="20"/>
                <w:color w:val="auto"/>
              </w:rPr>
            </w:pPr>
            <w:r>
              <w:rPr>
                <w:rFonts w:ascii="Arial" w:cs="Arial" w:eastAsia="Arial" w:hAnsi="Arial"/>
                <w:sz w:val="19"/>
                <w:szCs w:val="19"/>
                <w:color w:val="auto"/>
              </w:rPr>
              <w:t>Cost of sales</w:t>
            </w:r>
          </w:p>
        </w:tc>
        <w:tc>
          <w:tcPr>
            <w:tcW w:w="2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540" w:type="dxa"/>
            <w:vAlign w:val="bottom"/>
          </w:tcPr>
          <w:p>
            <w:pPr>
              <w:ind w:left="220"/>
              <w:spacing w:after="0"/>
              <w:rPr>
                <w:sz w:val="20"/>
                <w:szCs w:val="20"/>
                <w:color w:val="auto"/>
              </w:rPr>
            </w:pPr>
            <w:r>
              <w:rPr>
                <w:rFonts w:ascii="Arial" w:cs="Arial" w:eastAsia="Arial" w:hAnsi="Arial"/>
                <w:sz w:val="19"/>
                <w:szCs w:val="19"/>
                <w:color w:val="auto"/>
              </w:rPr>
              <w:t>Research and development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44,574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17,216</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49,283</w:t>
            </w:r>
          </w:p>
        </w:tc>
        <w:tc>
          <w:tcPr>
            <w:tcW w:w="0" w:type="dxa"/>
            <w:vAlign w:val="bottom"/>
          </w:tcPr>
          <w:p>
            <w:pPr>
              <w:spacing w:after="0"/>
              <w:rPr>
                <w:sz w:val="1"/>
                <w:szCs w:val="1"/>
                <w:color w:val="auto"/>
              </w:rPr>
            </w:pPr>
          </w:p>
        </w:tc>
      </w:tr>
      <w:tr>
        <w:trPr>
          <w:trHeight w:val="308"/>
        </w:trPr>
        <w:tc>
          <w:tcPr>
            <w:tcW w:w="5540" w:type="dxa"/>
            <w:vAlign w:val="bottom"/>
          </w:tcPr>
          <w:p>
            <w:pPr>
              <w:ind w:left="220"/>
              <w:spacing w:after="0"/>
              <w:rPr>
                <w:sz w:val="20"/>
                <w:szCs w:val="20"/>
                <w:color w:val="auto"/>
              </w:rPr>
            </w:pPr>
            <w:r>
              <w:rPr>
                <w:rFonts w:ascii="Arial" w:cs="Arial" w:eastAsia="Arial" w:hAnsi="Arial"/>
                <w:sz w:val="19"/>
                <w:szCs w:val="19"/>
                <w:color w:val="auto"/>
              </w:rPr>
              <w:t>Selling, general and administrative</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149,750</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50,353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26,579</w:t>
            </w:r>
          </w:p>
        </w:tc>
        <w:tc>
          <w:tcPr>
            <w:tcW w:w="0" w:type="dxa"/>
            <w:vAlign w:val="bottom"/>
          </w:tcPr>
          <w:p>
            <w:pPr>
              <w:spacing w:after="0"/>
              <w:rPr>
                <w:sz w:val="1"/>
                <w:szCs w:val="1"/>
                <w:color w:val="auto"/>
              </w:rPr>
            </w:pPr>
          </w:p>
        </w:tc>
      </w:tr>
      <w:tr>
        <w:trPr>
          <w:trHeight w:val="268"/>
        </w:trPr>
        <w:tc>
          <w:tcPr>
            <w:tcW w:w="5540" w:type="dxa"/>
            <w:vAlign w:val="bottom"/>
          </w:tcPr>
          <w:p>
            <w:pPr>
              <w:spacing w:after="0"/>
              <w:rPr>
                <w:sz w:val="20"/>
                <w:szCs w:val="20"/>
                <w:color w:val="auto"/>
              </w:rPr>
            </w:pPr>
            <w:r>
              <w:rPr>
                <w:rFonts w:ascii="Arial" w:cs="Arial" w:eastAsia="Arial" w:hAnsi="Arial"/>
                <w:sz w:val="19"/>
                <w:szCs w:val="19"/>
                <w:b w:val="1"/>
                <w:bCs w:val="1"/>
                <w:color w:val="auto"/>
              </w:rPr>
              <w:t>Total operating expenses</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196,906</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67,569</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76,208</w:t>
            </w:r>
          </w:p>
        </w:tc>
        <w:tc>
          <w:tcPr>
            <w:tcW w:w="0" w:type="dxa"/>
            <w:vAlign w:val="bottom"/>
          </w:tcPr>
          <w:p>
            <w:pPr>
              <w:spacing w:after="0"/>
              <w:rPr>
                <w:sz w:val="1"/>
                <w:szCs w:val="1"/>
                <w:color w:val="auto"/>
              </w:rPr>
            </w:pPr>
          </w:p>
        </w:tc>
      </w:tr>
      <w:tr>
        <w:trPr>
          <w:trHeight w:val="251"/>
        </w:trPr>
        <w:tc>
          <w:tcPr>
            <w:tcW w:w="5540" w:type="dxa"/>
            <w:vAlign w:val="bottom"/>
          </w:tcPr>
          <w:p>
            <w:pPr>
              <w:spacing w:after="0"/>
              <w:rPr>
                <w:sz w:val="20"/>
                <w:szCs w:val="20"/>
                <w:color w:val="auto"/>
              </w:rPr>
            </w:pPr>
            <w:r>
              <w:rPr>
                <w:rFonts w:ascii="Arial" w:cs="Arial" w:eastAsia="Arial" w:hAnsi="Arial"/>
                <w:sz w:val="19"/>
                <w:szCs w:val="19"/>
                <w:b w:val="1"/>
                <w:bCs w:val="1"/>
                <w:color w:val="auto"/>
              </w:rPr>
              <w:t>Operating loss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(154,627)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(67,569)</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(75,750)</w:t>
            </w:r>
          </w:p>
        </w:tc>
        <w:tc>
          <w:tcPr>
            <w:tcW w:w="0" w:type="dxa"/>
            <w:vAlign w:val="bottom"/>
          </w:tcPr>
          <w:p>
            <w:pPr>
              <w:spacing w:after="0"/>
              <w:rPr>
                <w:sz w:val="1"/>
                <w:szCs w:val="1"/>
                <w:color w:val="auto"/>
              </w:rPr>
            </w:pPr>
          </w:p>
        </w:tc>
      </w:tr>
      <w:tr>
        <w:trPr>
          <w:trHeight w:val="266"/>
        </w:trPr>
        <w:tc>
          <w:tcPr>
            <w:tcW w:w="5540" w:type="dxa"/>
            <w:vAlign w:val="bottom"/>
          </w:tcPr>
          <w:p>
            <w:pPr>
              <w:spacing w:after="0"/>
              <w:rPr>
                <w:sz w:val="20"/>
                <w:szCs w:val="20"/>
                <w:color w:val="auto"/>
              </w:rPr>
            </w:pPr>
            <w:r>
              <w:rPr>
                <w:rFonts w:ascii="Arial" w:cs="Arial" w:eastAsia="Arial" w:hAnsi="Arial"/>
                <w:sz w:val="19"/>
                <w:szCs w:val="19"/>
                <w:b w:val="1"/>
                <w:bCs w:val="1"/>
                <w:color w:val="auto"/>
              </w:rPr>
              <w:t>Other income/(expense):</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5540" w:type="dxa"/>
            <w:vAlign w:val="bottom"/>
          </w:tcPr>
          <w:p>
            <w:pPr>
              <w:ind w:left="220"/>
              <w:spacing w:after="0"/>
              <w:rPr>
                <w:sz w:val="20"/>
                <w:szCs w:val="20"/>
                <w:color w:val="auto"/>
              </w:rPr>
            </w:pPr>
            <w:r>
              <w:rPr>
                <w:rFonts w:ascii="Arial" w:cs="Arial" w:eastAsia="Arial" w:hAnsi="Arial"/>
                <w:sz w:val="19"/>
                <w:szCs w:val="19"/>
                <w:color w:val="auto"/>
              </w:rPr>
              <w:t>Research and development tax credit</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3,600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1,104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9,634</w:t>
            </w:r>
          </w:p>
        </w:tc>
        <w:tc>
          <w:tcPr>
            <w:tcW w:w="0" w:type="dxa"/>
            <w:vAlign w:val="bottom"/>
          </w:tcPr>
          <w:p>
            <w:pPr>
              <w:spacing w:after="0"/>
              <w:rPr>
                <w:sz w:val="1"/>
                <w:szCs w:val="1"/>
                <w:color w:val="auto"/>
              </w:rPr>
            </w:pPr>
          </w:p>
        </w:tc>
      </w:tr>
      <w:tr>
        <w:trPr>
          <w:trHeight w:val="288"/>
        </w:trPr>
        <w:tc>
          <w:tcPr>
            <w:tcW w:w="5540" w:type="dxa"/>
            <w:vAlign w:val="bottom"/>
          </w:tcPr>
          <w:p>
            <w:pPr>
              <w:ind w:left="220"/>
              <w:spacing w:after="0"/>
              <w:rPr>
                <w:sz w:val="20"/>
                <w:szCs w:val="20"/>
                <w:color w:val="auto"/>
              </w:rPr>
            </w:pPr>
            <w:r>
              <w:rPr>
                <w:rFonts w:ascii="Arial" w:cs="Arial" w:eastAsia="Arial" w:hAnsi="Arial"/>
                <w:sz w:val="19"/>
                <w:szCs w:val="19"/>
                <w:color w:val="auto"/>
              </w:rPr>
              <w:t>Loss on extinguishment of debt</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(3,653)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(815)</w:t>
            </w:r>
          </w:p>
        </w:tc>
        <w:tc>
          <w:tcPr>
            <w:tcW w:w="0" w:type="dxa"/>
            <w:vAlign w:val="bottom"/>
          </w:tcPr>
          <w:p>
            <w:pPr>
              <w:spacing w:after="0"/>
              <w:rPr>
                <w:sz w:val="1"/>
                <w:szCs w:val="1"/>
                <w:color w:val="auto"/>
              </w:rPr>
            </w:pPr>
          </w:p>
        </w:tc>
      </w:tr>
      <w:tr>
        <w:trPr>
          <w:trHeight w:val="288"/>
        </w:trPr>
        <w:tc>
          <w:tcPr>
            <w:tcW w:w="5540" w:type="dxa"/>
            <w:vAlign w:val="bottom"/>
          </w:tcPr>
          <w:p>
            <w:pPr>
              <w:ind w:left="220"/>
              <w:spacing w:after="0"/>
              <w:rPr>
                <w:sz w:val="20"/>
                <w:szCs w:val="20"/>
                <w:color w:val="auto"/>
              </w:rPr>
            </w:pPr>
            <w:r>
              <w:rPr>
                <w:rFonts w:ascii="Arial" w:cs="Arial" w:eastAsia="Arial" w:hAnsi="Arial"/>
                <w:sz w:val="19"/>
                <w:szCs w:val="19"/>
                <w:color w:val="auto"/>
              </w:rPr>
              <w:t>Interest income</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15,262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12,761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2,821</w:t>
            </w:r>
          </w:p>
        </w:tc>
        <w:tc>
          <w:tcPr>
            <w:tcW w:w="0" w:type="dxa"/>
            <w:vAlign w:val="bottom"/>
          </w:tcPr>
          <w:p>
            <w:pPr>
              <w:spacing w:after="0"/>
              <w:rPr>
                <w:sz w:val="1"/>
                <w:szCs w:val="1"/>
                <w:color w:val="auto"/>
              </w:rPr>
            </w:pPr>
          </w:p>
        </w:tc>
      </w:tr>
      <w:tr>
        <w:trPr>
          <w:trHeight w:val="288"/>
        </w:trPr>
        <w:tc>
          <w:tcPr>
            <w:tcW w:w="5540" w:type="dxa"/>
            <w:vAlign w:val="bottom"/>
          </w:tcPr>
          <w:p>
            <w:pPr>
              <w:ind w:left="220"/>
              <w:spacing w:after="0"/>
              <w:rPr>
                <w:sz w:val="20"/>
                <w:szCs w:val="20"/>
                <w:color w:val="auto"/>
              </w:rPr>
            </w:pPr>
            <w:r>
              <w:rPr>
                <w:rFonts w:ascii="Arial" w:cs="Arial" w:eastAsia="Arial" w:hAnsi="Arial"/>
                <w:sz w:val="19"/>
                <w:szCs w:val="19"/>
                <w:color w:val="auto"/>
              </w:rPr>
              <w:t>Interest expense</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(23,542)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(2,057)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(521)</w:t>
            </w:r>
          </w:p>
        </w:tc>
        <w:tc>
          <w:tcPr>
            <w:tcW w:w="0" w:type="dxa"/>
            <w:vAlign w:val="bottom"/>
          </w:tcPr>
          <w:p>
            <w:pPr>
              <w:spacing w:after="0"/>
              <w:rPr>
                <w:sz w:val="1"/>
                <w:szCs w:val="1"/>
                <w:color w:val="auto"/>
              </w:rPr>
            </w:pPr>
          </w:p>
        </w:tc>
      </w:tr>
      <w:tr>
        <w:trPr>
          <w:trHeight w:val="308"/>
        </w:trPr>
        <w:tc>
          <w:tcPr>
            <w:tcW w:w="5540" w:type="dxa"/>
            <w:vAlign w:val="bottom"/>
          </w:tcPr>
          <w:p>
            <w:pPr>
              <w:ind w:left="220"/>
              <w:spacing w:after="0"/>
              <w:rPr>
                <w:sz w:val="20"/>
                <w:szCs w:val="20"/>
                <w:color w:val="auto"/>
              </w:rPr>
            </w:pPr>
            <w:r>
              <w:rPr>
                <w:rFonts w:ascii="Arial" w:cs="Arial" w:eastAsia="Arial" w:hAnsi="Arial"/>
                <w:sz w:val="19"/>
                <w:szCs w:val="19"/>
                <w:color w:val="auto"/>
              </w:rPr>
              <w:t>Foreign exchange (loss)/gain</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(169)</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1,866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(3,817)</w:t>
            </w:r>
          </w:p>
        </w:tc>
        <w:tc>
          <w:tcPr>
            <w:tcW w:w="0" w:type="dxa"/>
            <w:vAlign w:val="bottom"/>
          </w:tcPr>
          <w:p>
            <w:pPr>
              <w:spacing w:after="0"/>
              <w:rPr>
                <w:sz w:val="1"/>
                <w:szCs w:val="1"/>
                <w:color w:val="auto"/>
              </w:rPr>
            </w:pPr>
          </w:p>
        </w:tc>
      </w:tr>
      <w:tr>
        <w:trPr>
          <w:trHeight w:val="268"/>
        </w:trPr>
        <w:tc>
          <w:tcPr>
            <w:tcW w:w="5540" w:type="dxa"/>
            <w:vAlign w:val="bottom"/>
          </w:tcPr>
          <w:p>
            <w:pPr>
              <w:spacing w:after="0"/>
              <w:rPr>
                <w:sz w:val="20"/>
                <w:szCs w:val="20"/>
                <w:color w:val="auto"/>
              </w:rPr>
            </w:pPr>
            <w:r>
              <w:rPr>
                <w:rFonts w:ascii="Arial" w:cs="Arial" w:eastAsia="Arial" w:hAnsi="Arial"/>
                <w:sz w:val="19"/>
                <w:szCs w:val="19"/>
                <w:b w:val="1"/>
                <w:bCs w:val="1"/>
                <w:color w:val="auto"/>
              </w:rPr>
              <w:t>Total other (expense)/income, net</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(8,502)</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13,674</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7,302</w:t>
            </w:r>
          </w:p>
        </w:tc>
        <w:tc>
          <w:tcPr>
            <w:tcW w:w="0" w:type="dxa"/>
            <w:vAlign w:val="bottom"/>
          </w:tcPr>
          <w:p>
            <w:pPr>
              <w:spacing w:after="0"/>
              <w:rPr>
                <w:sz w:val="1"/>
                <w:szCs w:val="1"/>
                <w:color w:val="auto"/>
              </w:rPr>
            </w:pPr>
          </w:p>
        </w:tc>
      </w:tr>
      <w:tr>
        <w:trPr>
          <w:trHeight w:val="251"/>
        </w:trPr>
        <w:tc>
          <w:tcPr>
            <w:tcW w:w="5540" w:type="dxa"/>
            <w:vAlign w:val="bottom"/>
          </w:tcPr>
          <w:p>
            <w:pPr>
              <w:spacing w:after="0"/>
              <w:rPr>
                <w:sz w:val="20"/>
                <w:szCs w:val="20"/>
                <w:color w:val="auto"/>
              </w:rPr>
            </w:pPr>
            <w:r>
              <w:rPr>
                <w:rFonts w:ascii="Arial" w:cs="Arial" w:eastAsia="Arial" w:hAnsi="Arial"/>
                <w:sz w:val="19"/>
                <w:szCs w:val="19"/>
                <w:b w:val="1"/>
                <w:bCs w:val="1"/>
                <w:color w:val="auto"/>
              </w:rPr>
              <w:t>Loss before income taxes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(163,129)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(53,895)</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(68,448)</w:t>
            </w:r>
          </w:p>
        </w:tc>
        <w:tc>
          <w:tcPr>
            <w:tcW w:w="0" w:type="dxa"/>
            <w:vAlign w:val="bottom"/>
          </w:tcPr>
          <w:p>
            <w:pPr>
              <w:spacing w:after="0"/>
              <w:rPr>
                <w:sz w:val="1"/>
                <w:szCs w:val="1"/>
                <w:color w:val="auto"/>
              </w:rPr>
            </w:pPr>
          </w:p>
        </w:tc>
      </w:tr>
      <w:tr>
        <w:trPr>
          <w:trHeight w:val="305"/>
        </w:trPr>
        <w:tc>
          <w:tcPr>
            <w:tcW w:w="5540" w:type="dxa"/>
            <w:vAlign w:val="bottom"/>
          </w:tcPr>
          <w:p>
            <w:pPr>
              <w:ind w:left="220"/>
              <w:spacing w:after="0"/>
              <w:rPr>
                <w:sz w:val="20"/>
                <w:szCs w:val="20"/>
                <w:color w:val="auto"/>
              </w:rPr>
            </w:pPr>
            <w:r>
              <w:rPr>
                <w:rFonts w:ascii="Arial" w:cs="Arial" w:eastAsia="Arial" w:hAnsi="Arial"/>
                <w:sz w:val="19"/>
                <w:szCs w:val="19"/>
                <w:color w:val="auto"/>
              </w:rPr>
              <w:t>Income tax expense</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(10,289)</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(253)</w:t>
            </w:r>
          </w:p>
        </w:tc>
        <w:tc>
          <w:tcPr>
            <w:tcW w:w="0" w:type="dxa"/>
            <w:vAlign w:val="bottom"/>
          </w:tcPr>
          <w:p>
            <w:pPr>
              <w:spacing w:after="0"/>
              <w:rPr>
                <w:sz w:val="1"/>
                <w:szCs w:val="1"/>
                <w:color w:val="auto"/>
              </w:rPr>
            </w:pPr>
          </w:p>
        </w:tc>
      </w:tr>
      <w:tr>
        <w:trPr>
          <w:trHeight w:val="249"/>
        </w:trPr>
        <w:tc>
          <w:tcPr>
            <w:tcW w:w="5540" w:type="dxa"/>
            <w:vAlign w:val="bottom"/>
          </w:tcPr>
          <w:p>
            <w:pPr>
              <w:spacing w:after="0"/>
              <w:rPr>
                <w:sz w:val="20"/>
                <w:szCs w:val="20"/>
                <w:color w:val="auto"/>
              </w:rPr>
            </w:pPr>
            <w:r>
              <w:rPr>
                <w:rFonts w:ascii="Arial" w:cs="Arial" w:eastAsia="Arial" w:hAnsi="Arial"/>
                <w:sz w:val="19"/>
                <w:szCs w:val="19"/>
                <w:b w:val="1"/>
                <w:bCs w:val="1"/>
                <w:color w:val="auto"/>
              </w:rPr>
              <w:t>Net loss</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(173,418)</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(54,369)</w:t>
            </w: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84"/>
              <w:spacing w:after="0"/>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(68,701)</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220"/>
              <w:spacing w:after="0"/>
              <w:rPr>
                <w:sz w:val="20"/>
                <w:szCs w:val="20"/>
                <w:color w:val="auto"/>
              </w:rPr>
            </w:pPr>
            <w:r>
              <w:rPr>
                <w:rFonts w:ascii="Arial" w:cs="Arial" w:eastAsia="Arial" w:hAnsi="Arial"/>
                <w:sz w:val="19"/>
                <w:szCs w:val="19"/>
                <w:color w:val="auto"/>
              </w:rPr>
              <w:t>Loss per ordinary share — basic and diluted</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40" w:type="dxa"/>
            <w:vAlign w:val="bottom"/>
            <w:vMerge w:val="continue"/>
          </w:tcPr>
          <w:p>
            <w:pPr>
              <w:spacing w:after="0"/>
              <w:rPr>
                <w:sz w:val="18"/>
                <w:szCs w:val="18"/>
                <w:color w:val="auto"/>
              </w:rPr>
            </w:pPr>
          </w:p>
        </w:tc>
        <w:tc>
          <w:tcPr>
            <w:tcW w:w="240" w:type="dxa"/>
            <w:vAlign w:val="bottom"/>
            <w:tcBorders>
              <w:bottom w:val="single" w:sz="8" w:color="auto"/>
            </w:tcBorders>
          </w:tcPr>
          <w:p>
            <w:pPr>
              <w:jc w:val="right"/>
              <w:ind w:right="4"/>
              <w:spacing w:after="0" w:line="214" w:lineRule="exact"/>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spacing w:after="0" w:line="214" w:lineRule="exact"/>
              <w:rPr>
                <w:sz w:val="20"/>
                <w:szCs w:val="20"/>
                <w:color w:val="auto"/>
              </w:rPr>
            </w:pPr>
            <w:r>
              <w:rPr>
                <w:rFonts w:ascii="Arial" w:cs="Arial" w:eastAsia="Arial" w:hAnsi="Arial"/>
                <w:sz w:val="19"/>
                <w:szCs w:val="19"/>
                <w:color w:val="auto"/>
              </w:rPr>
              <w:t>(0.27)</w:t>
            </w:r>
          </w:p>
        </w:tc>
        <w:tc>
          <w:tcPr>
            <w:tcW w:w="80" w:type="dxa"/>
            <w:vAlign w:val="bottom"/>
            <w:vMerge w:val="continue"/>
          </w:tcPr>
          <w:p>
            <w:pPr>
              <w:spacing w:after="0"/>
              <w:rPr>
                <w:sz w:val="18"/>
                <w:szCs w:val="18"/>
                <w:color w:val="auto"/>
              </w:rPr>
            </w:pPr>
          </w:p>
        </w:tc>
        <w:tc>
          <w:tcPr>
            <w:tcW w:w="260" w:type="dxa"/>
            <w:vAlign w:val="bottom"/>
            <w:tcBorders>
              <w:bottom w:val="single" w:sz="8" w:color="auto"/>
            </w:tcBorders>
          </w:tcPr>
          <w:p>
            <w:pPr>
              <w:jc w:val="right"/>
              <w:ind w:right="24"/>
              <w:spacing w:after="0" w:line="214" w:lineRule="exact"/>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tcPr>
          <w:p>
            <w:pPr>
              <w:jc w:val="right"/>
              <w:spacing w:after="0" w:line="214" w:lineRule="exact"/>
              <w:rPr>
                <w:sz w:val="20"/>
                <w:szCs w:val="20"/>
                <w:color w:val="auto"/>
              </w:rPr>
            </w:pPr>
            <w:r>
              <w:rPr>
                <w:rFonts w:ascii="Arial" w:cs="Arial" w:eastAsia="Arial" w:hAnsi="Arial"/>
                <w:sz w:val="19"/>
                <w:szCs w:val="19"/>
                <w:color w:val="auto"/>
              </w:rPr>
              <w:t>(0.09)</w:t>
            </w:r>
          </w:p>
        </w:tc>
        <w:tc>
          <w:tcPr>
            <w:tcW w:w="6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84"/>
              <w:spacing w:after="0" w:line="214" w:lineRule="exact"/>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line="214" w:lineRule="exact"/>
              <w:rPr>
                <w:sz w:val="20"/>
                <w:szCs w:val="20"/>
                <w:color w:val="auto"/>
              </w:rPr>
            </w:pPr>
            <w:r>
              <w:rPr>
                <w:rFonts w:ascii="Arial" w:cs="Arial" w:eastAsia="Arial" w:hAnsi="Arial"/>
                <w:sz w:val="19"/>
                <w:szCs w:val="19"/>
                <w:color w:val="auto"/>
              </w:rPr>
              <w:t>(0.13)</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9"/>
                <w:szCs w:val="19"/>
                <w:color w:val="auto"/>
              </w:rPr>
              <w:t>Weighted-average shares outstanding - basic and diluted</w:t>
            </w: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5540" w:type="dxa"/>
            <w:vAlign w:val="bottom"/>
            <w:vMerge w:val="continue"/>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w w:val="94"/>
              </w:rPr>
              <w:t>652,310,582</w:t>
            </w:r>
          </w:p>
        </w:tc>
        <w:tc>
          <w:tcPr>
            <w:tcW w:w="1180" w:type="dxa"/>
            <w:vAlign w:val="bottom"/>
            <w:gridSpan w:val="3"/>
          </w:tcPr>
          <w:p>
            <w:pPr>
              <w:jc w:val="right"/>
              <w:spacing w:after="0"/>
              <w:rPr>
                <w:sz w:val="20"/>
                <w:szCs w:val="20"/>
                <w:color w:val="auto"/>
              </w:rPr>
            </w:pPr>
            <w:r>
              <w:rPr>
                <w:rFonts w:ascii="Arial" w:cs="Arial" w:eastAsia="Arial" w:hAnsi="Arial"/>
                <w:sz w:val="19"/>
                <w:szCs w:val="19"/>
                <w:color w:val="auto"/>
              </w:rPr>
              <w:t>634,142,660</w:t>
            </w:r>
          </w:p>
        </w:tc>
        <w:tc>
          <w:tcPr>
            <w:tcW w:w="1180" w:type="dxa"/>
            <w:vAlign w:val="bottom"/>
            <w:gridSpan w:val="3"/>
          </w:tcPr>
          <w:p>
            <w:pPr>
              <w:jc w:val="right"/>
              <w:spacing w:after="0"/>
              <w:rPr>
                <w:sz w:val="20"/>
                <w:szCs w:val="20"/>
                <w:color w:val="auto"/>
              </w:rPr>
            </w:pPr>
            <w:r>
              <w:rPr>
                <w:rFonts w:ascii="Arial" w:cs="Arial" w:eastAsia="Arial" w:hAnsi="Arial"/>
                <w:sz w:val="19"/>
                <w:szCs w:val="19"/>
                <w:color w:val="auto"/>
              </w:rPr>
              <w:t>529,071,526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-4178300</wp:posOffset>
            </wp:positionV>
            <wp:extent cx="5770245" cy="4206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5770245" cy="420624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060"/>
          </w:cols>
          <w:pgMar w:left="1440" w:top="327"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F-8</w:t>
      </w:r>
    </w:p>
    <w:p>
      <w:pPr>
        <w:sectPr>
          <w:pgSz w:w="11880" w:h="15480" w:orient="portrait"/>
          <w:cols w:equalWidth="0" w:num="1">
            <w:col w:w="9060"/>
          </w:cols>
          <w:pgMar w:left="1440" w:top="327" w:right="1380" w:bottom="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 thousands except share data)</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0" w:right="280"/>
        <w:spacing w:after="0" w:line="252" w:lineRule="auto"/>
        <w:rPr>
          <w:sz w:val="20"/>
          <w:szCs w:val="20"/>
          <w:color w:val="auto"/>
        </w:rPr>
      </w:pPr>
      <w:r>
        <w:rPr>
          <w:rFonts w:ascii="Arial" w:cs="Arial" w:eastAsia="Arial" w:hAnsi="Arial"/>
          <w:sz w:val="17"/>
          <w:szCs w:val="17"/>
          <w:b w:val="1"/>
          <w:bCs w:val="1"/>
          <w:color w:val="auto"/>
        </w:rPr>
        <w:t>Balance at January 1, 2022</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Net loss</w:t>
      </w:r>
    </w:p>
    <w:p>
      <w:pPr>
        <w:spacing w:after="0" w:line="49" w:lineRule="exact"/>
        <w:rPr>
          <w:sz w:val="20"/>
          <w:szCs w:val="20"/>
          <w:color w:val="auto"/>
        </w:rPr>
      </w:pPr>
    </w:p>
    <w:p>
      <w:pPr>
        <w:ind w:left="320" w:right="100"/>
        <w:spacing w:after="0" w:line="234" w:lineRule="auto"/>
        <w:rPr>
          <w:sz w:val="20"/>
          <w:szCs w:val="20"/>
          <w:color w:val="auto"/>
        </w:rPr>
      </w:pPr>
      <w:r>
        <w:rPr>
          <w:rFonts w:ascii="Arial" w:cs="Arial" w:eastAsia="Arial" w:hAnsi="Arial"/>
          <w:sz w:val="17"/>
          <w:szCs w:val="17"/>
          <w:color w:val="auto"/>
        </w:rPr>
        <w:t>Issuance of ordinary shares, net of issuance costs</w:t>
      </w:r>
    </w:p>
    <w:p>
      <w:pPr>
        <w:spacing w:after="0" w:line="19" w:lineRule="exact"/>
        <w:rPr>
          <w:sz w:val="20"/>
          <w:szCs w:val="20"/>
          <w:color w:val="auto"/>
        </w:rPr>
      </w:pPr>
    </w:p>
    <w:p>
      <w:pPr>
        <w:ind w:left="320" w:right="20"/>
        <w:spacing w:after="0" w:line="273" w:lineRule="auto"/>
        <w:rPr>
          <w:sz w:val="20"/>
          <w:szCs w:val="20"/>
          <w:color w:val="auto"/>
        </w:rPr>
      </w:pPr>
      <w:r>
        <w:rPr>
          <w:rFonts w:ascii="Arial" w:cs="Arial" w:eastAsia="Arial" w:hAnsi="Arial"/>
          <w:sz w:val="15"/>
          <w:szCs w:val="15"/>
          <w:color w:val="auto"/>
        </w:rPr>
        <w:t>Issuance of common shares under at-the-market sales agreement</w:t>
      </w:r>
    </w:p>
    <w:p>
      <w:pPr>
        <w:spacing w:after="0" w:line="2" w:lineRule="exact"/>
        <w:rPr>
          <w:sz w:val="20"/>
          <w:szCs w:val="20"/>
          <w:color w:val="auto"/>
        </w:rPr>
      </w:pPr>
    </w:p>
    <w:p>
      <w:pPr>
        <w:ind w:left="320" w:right="240"/>
        <w:spacing w:after="0" w:line="290" w:lineRule="auto"/>
        <w:rPr>
          <w:sz w:val="20"/>
          <w:szCs w:val="20"/>
          <w:color w:val="auto"/>
        </w:rPr>
      </w:pPr>
      <w:r>
        <w:rPr>
          <w:rFonts w:ascii="Arial" w:cs="Arial" w:eastAsia="Arial" w:hAnsi="Arial"/>
          <w:sz w:val="15"/>
          <w:szCs w:val="15"/>
          <w:color w:val="auto"/>
        </w:rPr>
        <w:t>Issuance of ordinary shares to treasury</w:t>
      </w:r>
    </w:p>
    <w:p>
      <w:pPr>
        <w:spacing w:after="0" w:line="1" w:lineRule="exact"/>
        <w:rPr>
          <w:sz w:val="20"/>
          <w:szCs w:val="20"/>
          <w:color w:val="auto"/>
        </w:rPr>
      </w:pPr>
    </w:p>
    <w:p>
      <w:pPr>
        <w:ind w:left="320" w:right="160"/>
        <w:spacing w:after="0" w:line="249" w:lineRule="auto"/>
        <w:rPr>
          <w:sz w:val="20"/>
          <w:szCs w:val="20"/>
          <w:color w:val="auto"/>
        </w:rPr>
      </w:pPr>
      <w:r>
        <w:rPr>
          <w:rFonts w:ascii="Arial" w:cs="Arial" w:eastAsia="Arial" w:hAnsi="Arial"/>
          <w:sz w:val="17"/>
          <w:szCs w:val="17"/>
          <w:color w:val="auto"/>
        </w:rPr>
        <w:t>Restricted share units vested</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Share options exercised</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Share-based</w:t>
      </w:r>
    </w:p>
    <w:p>
      <w:pPr>
        <w:ind w:left="320"/>
        <w:spacing w:after="0"/>
        <w:rPr>
          <w:sz w:val="20"/>
          <w:szCs w:val="20"/>
          <w:color w:val="auto"/>
        </w:rPr>
      </w:pPr>
      <w:r>
        <w:rPr>
          <w:rFonts w:ascii="Arial" w:cs="Arial" w:eastAsia="Arial" w:hAnsi="Arial"/>
          <w:sz w:val="17"/>
          <w:szCs w:val="17"/>
          <w:color w:val="auto"/>
        </w:rPr>
        <w:t>compensation</w:t>
      </w:r>
    </w:p>
    <w:p>
      <w:pPr>
        <w:spacing w:after="0" w:line="29" w:lineRule="exact"/>
        <w:rPr>
          <w:sz w:val="20"/>
          <w:szCs w:val="20"/>
          <w:color w:val="auto"/>
        </w:rPr>
      </w:pPr>
    </w:p>
    <w:p>
      <w:pPr>
        <w:ind w:left="320" w:right="180"/>
        <w:spacing w:after="0" w:line="273" w:lineRule="auto"/>
        <w:rPr>
          <w:sz w:val="20"/>
          <w:szCs w:val="20"/>
          <w:color w:val="auto"/>
        </w:rPr>
      </w:pPr>
      <w:r>
        <w:rPr>
          <w:rFonts w:ascii="Arial" w:cs="Arial" w:eastAsia="Arial" w:hAnsi="Arial"/>
          <w:sz w:val="15"/>
          <w:szCs w:val="15"/>
          <w:color w:val="auto"/>
        </w:rPr>
        <w:t>Common shares withheld for taxes on vested share awards</w:t>
      </w:r>
    </w:p>
    <w:p>
      <w:pPr>
        <w:spacing w:after="0" w:line="2" w:lineRule="exact"/>
        <w:rPr>
          <w:sz w:val="20"/>
          <w:szCs w:val="20"/>
          <w:color w:val="auto"/>
        </w:rPr>
      </w:pPr>
    </w:p>
    <w:p>
      <w:pPr>
        <w:jc w:val="both"/>
        <w:ind w:left="320" w:right="220"/>
        <w:spacing w:after="0" w:line="264" w:lineRule="auto"/>
        <w:rPr>
          <w:sz w:val="20"/>
          <w:szCs w:val="20"/>
          <w:color w:val="auto"/>
        </w:rPr>
      </w:pPr>
      <w:r>
        <w:rPr>
          <w:rFonts w:ascii="Arial" w:cs="Arial" w:eastAsia="Arial" w:hAnsi="Arial"/>
          <w:sz w:val="15"/>
          <w:szCs w:val="15"/>
          <w:color w:val="auto"/>
        </w:rPr>
        <w:t>Equity settled share-based compensation reclassified as cash-settled</w:t>
      </w:r>
    </w:p>
    <w:p>
      <w:pPr>
        <w:spacing w:after="0" w:line="1" w:lineRule="exact"/>
        <w:rPr>
          <w:sz w:val="20"/>
          <w:szCs w:val="20"/>
          <w:color w:val="auto"/>
        </w:rPr>
      </w:pPr>
    </w:p>
    <w:p>
      <w:pPr>
        <w:ind w:left="80" w:right="60"/>
        <w:spacing w:after="0" w:line="252" w:lineRule="auto"/>
        <w:rPr>
          <w:sz w:val="20"/>
          <w:szCs w:val="20"/>
          <w:color w:val="auto"/>
        </w:rPr>
      </w:pPr>
      <w:r>
        <w:rPr>
          <w:rFonts w:ascii="Arial" w:cs="Arial" w:eastAsia="Arial" w:hAnsi="Arial"/>
          <w:sz w:val="17"/>
          <w:szCs w:val="17"/>
          <w:b w:val="1"/>
          <w:bCs w:val="1"/>
          <w:color w:val="auto"/>
        </w:rPr>
        <w:t>Balance at December 31, 2022</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Net loss</w:t>
      </w:r>
    </w:p>
    <w:p>
      <w:pPr>
        <w:spacing w:after="0" w:line="49" w:lineRule="exact"/>
        <w:rPr>
          <w:sz w:val="20"/>
          <w:szCs w:val="20"/>
          <w:color w:val="auto"/>
        </w:rPr>
      </w:pPr>
    </w:p>
    <w:p>
      <w:pPr>
        <w:ind w:left="320" w:right="20"/>
        <w:spacing w:after="0" w:line="273" w:lineRule="auto"/>
        <w:rPr>
          <w:sz w:val="20"/>
          <w:szCs w:val="20"/>
          <w:color w:val="auto"/>
        </w:rPr>
      </w:pPr>
      <w:r>
        <w:rPr>
          <w:rFonts w:ascii="Arial" w:cs="Arial" w:eastAsia="Arial" w:hAnsi="Arial"/>
          <w:sz w:val="15"/>
          <w:szCs w:val="15"/>
          <w:color w:val="auto"/>
        </w:rPr>
        <w:t>Issuance of common shares under at-the-market sales agreement</w:t>
      </w:r>
    </w:p>
    <w:p>
      <w:pPr>
        <w:spacing w:after="0" w:line="2" w:lineRule="exact"/>
        <w:rPr>
          <w:sz w:val="20"/>
          <w:szCs w:val="20"/>
          <w:color w:val="auto"/>
        </w:rPr>
      </w:pPr>
    </w:p>
    <w:p>
      <w:pPr>
        <w:ind w:left="320" w:right="240"/>
        <w:spacing w:after="0" w:line="290" w:lineRule="auto"/>
        <w:rPr>
          <w:sz w:val="20"/>
          <w:szCs w:val="20"/>
          <w:color w:val="auto"/>
        </w:rPr>
      </w:pPr>
      <w:r>
        <w:rPr>
          <w:rFonts w:ascii="Arial" w:cs="Arial" w:eastAsia="Arial" w:hAnsi="Arial"/>
          <w:sz w:val="15"/>
          <w:szCs w:val="15"/>
          <w:color w:val="auto"/>
        </w:rPr>
        <w:t>Issuance of ordinary shares to treasury</w:t>
      </w:r>
    </w:p>
    <w:p>
      <w:pPr>
        <w:spacing w:after="0" w:line="1" w:lineRule="exact"/>
        <w:rPr>
          <w:sz w:val="20"/>
          <w:szCs w:val="20"/>
          <w:color w:val="auto"/>
        </w:rPr>
      </w:pPr>
    </w:p>
    <w:p>
      <w:pPr>
        <w:ind w:left="320" w:right="160"/>
        <w:spacing w:after="0" w:line="249" w:lineRule="auto"/>
        <w:rPr>
          <w:sz w:val="20"/>
          <w:szCs w:val="20"/>
          <w:color w:val="auto"/>
        </w:rPr>
      </w:pPr>
      <w:r>
        <w:rPr>
          <w:rFonts w:ascii="Arial" w:cs="Arial" w:eastAsia="Arial" w:hAnsi="Arial"/>
          <w:sz w:val="17"/>
          <w:szCs w:val="17"/>
          <w:color w:val="auto"/>
        </w:rPr>
        <w:t>Restricted share units vested</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Share options exercised</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Share-based</w:t>
      </w:r>
    </w:p>
    <w:p>
      <w:pPr>
        <w:ind w:left="320"/>
        <w:spacing w:after="0"/>
        <w:rPr>
          <w:sz w:val="20"/>
          <w:szCs w:val="20"/>
          <w:color w:val="auto"/>
        </w:rPr>
      </w:pPr>
      <w:r>
        <w:rPr>
          <w:rFonts w:ascii="Arial" w:cs="Arial" w:eastAsia="Arial" w:hAnsi="Arial"/>
          <w:sz w:val="17"/>
          <w:szCs w:val="17"/>
          <w:color w:val="auto"/>
        </w:rPr>
        <w:t>compensation</w:t>
      </w:r>
    </w:p>
    <w:p>
      <w:pPr>
        <w:spacing w:after="0" w:line="29" w:lineRule="exact"/>
        <w:rPr>
          <w:sz w:val="20"/>
          <w:szCs w:val="20"/>
          <w:color w:val="auto"/>
        </w:rPr>
      </w:pPr>
    </w:p>
    <w:p>
      <w:pPr>
        <w:ind w:left="320" w:right="180"/>
        <w:spacing w:after="0" w:line="273" w:lineRule="auto"/>
        <w:rPr>
          <w:sz w:val="20"/>
          <w:szCs w:val="20"/>
          <w:color w:val="auto"/>
        </w:rPr>
      </w:pPr>
      <w:r>
        <w:rPr>
          <w:rFonts w:ascii="Arial" w:cs="Arial" w:eastAsia="Arial" w:hAnsi="Arial"/>
          <w:sz w:val="15"/>
          <w:szCs w:val="15"/>
          <w:color w:val="auto"/>
        </w:rPr>
        <w:t>Common shares withheld for taxes on vested share awards</w:t>
      </w:r>
    </w:p>
    <w:p>
      <w:pPr>
        <w:spacing w:after="0" w:line="2" w:lineRule="exact"/>
        <w:rPr>
          <w:sz w:val="20"/>
          <w:szCs w:val="20"/>
          <w:color w:val="auto"/>
        </w:rPr>
      </w:pPr>
    </w:p>
    <w:p>
      <w:pPr>
        <w:jc w:val="both"/>
        <w:ind w:left="320" w:right="220"/>
        <w:spacing w:after="0" w:line="264" w:lineRule="auto"/>
        <w:rPr>
          <w:sz w:val="20"/>
          <w:szCs w:val="20"/>
          <w:color w:val="auto"/>
        </w:rPr>
      </w:pPr>
      <w:r>
        <w:rPr>
          <w:rFonts w:ascii="Arial" w:cs="Arial" w:eastAsia="Arial" w:hAnsi="Arial"/>
          <w:sz w:val="15"/>
          <w:szCs w:val="15"/>
          <w:color w:val="auto"/>
        </w:rPr>
        <w:t>Equity settled share-based compensation reclassified as cash-settled</w:t>
      </w:r>
    </w:p>
    <w:p>
      <w:pPr>
        <w:spacing w:after="0" w:line="1" w:lineRule="exact"/>
        <w:rPr>
          <w:sz w:val="20"/>
          <w:szCs w:val="20"/>
          <w:color w:val="auto"/>
        </w:rPr>
      </w:pPr>
    </w:p>
    <w:p>
      <w:pPr>
        <w:ind w:left="80" w:right="60"/>
        <w:spacing w:after="0" w:line="252" w:lineRule="auto"/>
        <w:rPr>
          <w:sz w:val="20"/>
          <w:szCs w:val="20"/>
          <w:color w:val="auto"/>
        </w:rPr>
      </w:pPr>
      <w:r>
        <w:rPr>
          <w:rFonts w:ascii="Arial" w:cs="Arial" w:eastAsia="Arial" w:hAnsi="Arial"/>
          <w:sz w:val="17"/>
          <w:szCs w:val="17"/>
          <w:b w:val="1"/>
          <w:bCs w:val="1"/>
          <w:color w:val="auto"/>
        </w:rPr>
        <w:t>Balance at December 31, 2023</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Net loss</w:t>
      </w:r>
    </w:p>
    <w:p>
      <w:pPr>
        <w:spacing w:after="0" w:line="49" w:lineRule="exact"/>
        <w:rPr>
          <w:sz w:val="20"/>
          <w:szCs w:val="20"/>
          <w:color w:val="auto"/>
        </w:rPr>
      </w:pPr>
    </w:p>
    <w:p>
      <w:pPr>
        <w:ind w:left="320" w:right="20"/>
        <w:spacing w:after="0" w:line="273" w:lineRule="auto"/>
        <w:rPr>
          <w:sz w:val="20"/>
          <w:szCs w:val="20"/>
          <w:color w:val="auto"/>
        </w:rPr>
      </w:pPr>
      <w:r>
        <w:rPr>
          <w:rFonts w:ascii="Arial" w:cs="Arial" w:eastAsia="Arial" w:hAnsi="Arial"/>
          <w:sz w:val="15"/>
          <w:szCs w:val="15"/>
          <w:color w:val="auto"/>
        </w:rPr>
        <w:t>Issuance of common shares under at-the-market sales agreement</w:t>
      </w:r>
    </w:p>
    <w:p>
      <w:pPr>
        <w:spacing w:after="0" w:line="2" w:lineRule="exact"/>
        <w:rPr>
          <w:sz w:val="20"/>
          <w:szCs w:val="20"/>
          <w:color w:val="auto"/>
        </w:rPr>
      </w:pPr>
    </w:p>
    <w:p>
      <w:pPr>
        <w:ind w:left="320" w:right="240"/>
        <w:spacing w:after="0" w:line="290" w:lineRule="auto"/>
        <w:rPr>
          <w:sz w:val="20"/>
          <w:szCs w:val="20"/>
          <w:color w:val="auto"/>
        </w:rPr>
      </w:pPr>
      <w:r>
        <w:rPr>
          <w:rFonts w:ascii="Arial" w:cs="Arial" w:eastAsia="Arial" w:hAnsi="Arial"/>
          <w:sz w:val="15"/>
          <w:szCs w:val="15"/>
          <w:color w:val="auto"/>
        </w:rPr>
        <w:t>Issuance of ordinary shares to treasury</w:t>
      </w:r>
    </w:p>
    <w:p>
      <w:pPr>
        <w:spacing w:after="0" w:line="1" w:lineRule="exact"/>
        <w:rPr>
          <w:sz w:val="20"/>
          <w:szCs w:val="20"/>
          <w:color w:val="auto"/>
        </w:rPr>
      </w:pPr>
    </w:p>
    <w:p>
      <w:pPr>
        <w:ind w:left="320" w:right="160"/>
        <w:spacing w:after="0" w:line="249" w:lineRule="auto"/>
        <w:rPr>
          <w:sz w:val="20"/>
          <w:szCs w:val="20"/>
          <w:color w:val="auto"/>
        </w:rPr>
      </w:pPr>
      <w:r>
        <w:rPr>
          <w:rFonts w:ascii="Arial" w:cs="Arial" w:eastAsia="Arial" w:hAnsi="Arial"/>
          <w:sz w:val="17"/>
          <w:szCs w:val="17"/>
          <w:color w:val="auto"/>
        </w:rPr>
        <w:t>Restricted share units vested</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Share options exercised</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Share-based</w:t>
      </w:r>
    </w:p>
    <w:p>
      <w:pPr>
        <w:ind w:left="320"/>
        <w:spacing w:after="0"/>
        <w:rPr>
          <w:sz w:val="20"/>
          <w:szCs w:val="20"/>
          <w:color w:val="auto"/>
        </w:rPr>
      </w:pPr>
      <w:r>
        <w:rPr>
          <w:rFonts w:ascii="Arial" w:cs="Arial" w:eastAsia="Arial" w:hAnsi="Arial"/>
          <w:sz w:val="17"/>
          <w:szCs w:val="17"/>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3"/>
              </w:rPr>
              <w:t>Accumulated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20" w:type="dxa"/>
            <w:vAlign w:val="bottom"/>
            <w:gridSpan w:val="3"/>
          </w:tcPr>
          <w:p>
            <w:pPr>
              <w:jc w:val="right"/>
              <w:ind w:right="274"/>
              <w:spacing w:after="0"/>
              <w:rPr>
                <w:sz w:val="20"/>
                <w:szCs w:val="20"/>
                <w:color w:val="auto"/>
              </w:rPr>
            </w:pPr>
            <w:r>
              <w:rPr>
                <w:rFonts w:ascii="Arial" w:cs="Arial" w:eastAsia="Arial" w:hAnsi="Arial"/>
                <w:sz w:val="15"/>
                <w:szCs w:val="15"/>
                <w:b w:val="1"/>
                <w:bCs w:val="1"/>
                <w:color w:val="auto"/>
              </w:rPr>
              <w:t>Ordinary shares</w:t>
            </w:r>
          </w:p>
        </w:tc>
        <w:tc>
          <w:tcPr>
            <w:tcW w:w="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95"/>
              </w:rPr>
              <w:t>Additional</w:t>
            </w:r>
          </w:p>
        </w:tc>
        <w:tc>
          <w:tcPr>
            <w:tcW w:w="60" w:type="dxa"/>
            <w:vAlign w:val="bottom"/>
          </w:tcPr>
          <w:p>
            <w:pPr>
              <w:spacing w:after="0"/>
              <w:rPr>
                <w:sz w:val="16"/>
                <w:szCs w:val="16"/>
                <w:color w:val="auto"/>
              </w:rPr>
            </w:pPr>
          </w:p>
        </w:tc>
        <w:tc>
          <w:tcPr>
            <w:tcW w:w="860" w:type="dxa"/>
            <w:vAlign w:val="bottom"/>
            <w:gridSpan w:val="2"/>
          </w:tcPr>
          <w:p>
            <w:pPr>
              <w:jc w:val="right"/>
              <w:ind w:right="34"/>
              <w:spacing w:after="0"/>
              <w:rPr>
                <w:sz w:val="20"/>
                <w:szCs w:val="20"/>
                <w:color w:val="auto"/>
              </w:rPr>
            </w:pPr>
            <w:r>
              <w:rPr>
                <w:rFonts w:ascii="Arial" w:cs="Arial" w:eastAsia="Arial" w:hAnsi="Arial"/>
                <w:sz w:val="15"/>
                <w:szCs w:val="15"/>
                <w:b w:val="1"/>
                <w:bCs w:val="1"/>
                <w:color w:val="auto"/>
              </w:rPr>
              <w:t>Ordinary</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center"/>
              <w:ind w:right="174"/>
              <w:spacing w:after="0"/>
              <w:rPr>
                <w:sz w:val="20"/>
                <w:szCs w:val="20"/>
                <w:color w:val="auto"/>
              </w:rPr>
            </w:pPr>
            <w:r>
              <w:rPr>
                <w:rFonts w:ascii="Arial" w:cs="Arial" w:eastAsia="Arial" w:hAnsi="Arial"/>
                <w:sz w:val="15"/>
                <w:szCs w:val="15"/>
                <w:b w:val="1"/>
                <w:bCs w:val="1"/>
                <w:color w:val="auto"/>
                <w:w w:val="95"/>
              </w:rPr>
              <w:t>other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3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52"/>
        </w:trPr>
        <w:tc>
          <w:tcPr>
            <w:tcW w:w="10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8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paid-in</w:t>
            </w:r>
          </w:p>
        </w:tc>
        <w:tc>
          <w:tcPr>
            <w:tcW w:w="60" w:type="dxa"/>
            <w:vAlign w:val="bottom"/>
            <w:vMerge w:val="restart"/>
          </w:tcPr>
          <w:p>
            <w:pPr>
              <w:spacing w:after="0"/>
              <w:rPr>
                <w:sz w:val="4"/>
                <w:szCs w:val="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w w:val="93"/>
              </w:rPr>
              <w:t>shares held</w:t>
            </w:r>
          </w:p>
        </w:tc>
        <w:tc>
          <w:tcPr>
            <w:tcW w:w="60" w:type="dxa"/>
            <w:vAlign w:val="bottom"/>
            <w:vMerge w:val="restart"/>
          </w:tcPr>
          <w:p>
            <w:pPr>
              <w:spacing w:after="0"/>
              <w:rPr>
                <w:sz w:val="4"/>
                <w:szCs w:val="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w w:val="92"/>
              </w:rPr>
              <w:t>comprehensive</w:t>
            </w:r>
          </w:p>
        </w:tc>
        <w:tc>
          <w:tcPr>
            <w:tcW w:w="60" w:type="dxa"/>
            <w:vAlign w:val="bottom"/>
            <w:vMerge w:val="restart"/>
          </w:tcPr>
          <w:p>
            <w:pPr>
              <w:spacing w:after="0"/>
              <w:rPr>
                <w:sz w:val="4"/>
                <w:szCs w:val="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w w:val="97"/>
              </w:rPr>
              <w:t>Accumulated</w:t>
            </w:r>
          </w:p>
        </w:tc>
        <w:tc>
          <w:tcPr>
            <w:tcW w:w="60" w:type="dxa"/>
            <w:vAlign w:val="bottom"/>
            <w:vMerge w:val="restart"/>
          </w:tcPr>
          <w:p>
            <w:pPr>
              <w:spacing w:after="0"/>
              <w:rPr>
                <w:sz w:val="4"/>
                <w:szCs w:val="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w w:val="94"/>
              </w:rPr>
              <w:t>shareholders'</w:t>
            </w:r>
          </w:p>
        </w:tc>
        <w:tc>
          <w:tcPr>
            <w:tcW w:w="0" w:type="dxa"/>
            <w:vAlign w:val="bottom"/>
          </w:tcPr>
          <w:p>
            <w:pPr>
              <w:spacing w:after="0"/>
              <w:rPr>
                <w:sz w:val="1"/>
                <w:szCs w:val="1"/>
                <w:color w:val="auto"/>
              </w:rPr>
            </w:pPr>
          </w:p>
        </w:tc>
      </w:tr>
      <w:tr>
        <w:trPr>
          <w:trHeight w:val="103"/>
        </w:trPr>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5"/>
                <w:szCs w:val="15"/>
                <w:b w:val="1"/>
                <w:bCs w:val="1"/>
                <w:color w:val="auto"/>
              </w:rPr>
              <w:t>Number</w:t>
            </w:r>
          </w:p>
        </w:tc>
        <w:tc>
          <w:tcPr>
            <w:tcW w:w="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capital</w:t>
            </w:r>
          </w:p>
        </w:tc>
        <w:tc>
          <w:tcPr>
            <w:tcW w:w="60" w:type="dxa"/>
            <w:vAlign w:val="bottom"/>
          </w:tcPr>
          <w:p>
            <w:pPr>
              <w:spacing w:after="0"/>
              <w:rPr>
                <w:sz w:val="18"/>
                <w:szCs w:val="18"/>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in treasury</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74"/>
              <w:spacing w:after="0"/>
              <w:rPr>
                <w:sz w:val="20"/>
                <w:szCs w:val="20"/>
                <w:color w:val="auto"/>
              </w:rPr>
            </w:pPr>
            <w:r>
              <w:rPr>
                <w:rFonts w:ascii="Arial" w:cs="Arial" w:eastAsia="Arial" w:hAnsi="Arial"/>
                <w:sz w:val="15"/>
                <w:szCs w:val="15"/>
                <w:b w:val="1"/>
                <w:bCs w:val="1"/>
                <w:color w:val="auto"/>
                <w:w w:val="79"/>
              </w:rPr>
              <w:t>loss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5"/>
                <w:szCs w:val="15"/>
                <w:b w:val="1"/>
                <w:bCs w:val="1"/>
                <w:color w:val="auto"/>
              </w:rPr>
              <w:t>deficit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303"/>
        </w:trPr>
        <w:tc>
          <w:tcPr>
            <w:tcW w:w="1060" w:type="dxa"/>
            <w:vAlign w:val="bottom"/>
          </w:tcPr>
          <w:p>
            <w:pPr>
              <w:jc w:val="right"/>
              <w:spacing w:after="0"/>
              <w:rPr>
                <w:sz w:val="20"/>
                <w:szCs w:val="20"/>
                <w:color w:val="auto"/>
              </w:rPr>
            </w:pPr>
            <w:r>
              <w:rPr>
                <w:rFonts w:ascii="Arial" w:cs="Arial" w:eastAsia="Arial" w:hAnsi="Arial"/>
                <w:sz w:val="17"/>
                <w:szCs w:val="17"/>
                <w:color w:val="auto"/>
              </w:rPr>
              <w:t>489,177,550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w w:val="99"/>
              </w:rPr>
              <w:t>$ 31,855</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$ 385,070</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(603)</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(4,601)</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(263,716)</w:t>
            </w:r>
          </w:p>
        </w:tc>
        <w:tc>
          <w:tcPr>
            <w:tcW w:w="26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148,005</w:t>
            </w:r>
          </w:p>
        </w:tc>
        <w:tc>
          <w:tcPr>
            <w:tcW w:w="0" w:type="dxa"/>
            <w:vAlign w:val="bottom"/>
          </w:tcPr>
          <w:p>
            <w:pPr>
              <w:spacing w:after="0"/>
              <w:rPr>
                <w:sz w:val="1"/>
                <w:szCs w:val="1"/>
                <w:color w:val="auto"/>
              </w:rPr>
            </w:pPr>
          </w:p>
        </w:tc>
      </w:tr>
      <w:tr>
        <w:trPr>
          <w:trHeight w:val="76"/>
        </w:trPr>
        <w:tc>
          <w:tcPr>
            <w:tcW w:w="10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(68,701)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(68,701)</w:t>
            </w:r>
          </w:p>
        </w:tc>
        <w:tc>
          <w:tcPr>
            <w:tcW w:w="0" w:type="dxa"/>
            <w:vAlign w:val="bottom"/>
          </w:tcPr>
          <w:p>
            <w:pPr>
              <w:spacing w:after="0"/>
              <w:rPr>
                <w:sz w:val="1"/>
                <w:szCs w:val="1"/>
                <w:color w:val="auto"/>
              </w:rPr>
            </w:pPr>
          </w:p>
        </w:tc>
      </w:tr>
      <w:tr>
        <w:trPr>
          <w:trHeight w:val="389"/>
        </w:trPr>
        <w:tc>
          <w:tcPr>
            <w:tcW w:w="1060" w:type="dxa"/>
            <w:vAlign w:val="bottom"/>
          </w:tcPr>
          <w:p>
            <w:pPr>
              <w:jc w:val="right"/>
              <w:spacing w:after="0"/>
              <w:rPr>
                <w:sz w:val="20"/>
                <w:szCs w:val="20"/>
                <w:color w:val="auto"/>
              </w:rPr>
            </w:pPr>
            <w:r>
              <w:rPr>
                <w:rFonts w:ascii="Arial" w:cs="Arial" w:eastAsia="Arial" w:hAnsi="Arial"/>
                <w:sz w:val="17"/>
                <w:szCs w:val="17"/>
                <w:color w:val="auto"/>
              </w:rPr>
              <w:t>114,080,000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6,918</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133,279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140,197</w:t>
            </w:r>
          </w:p>
        </w:tc>
        <w:tc>
          <w:tcPr>
            <w:tcW w:w="0" w:type="dxa"/>
            <w:vAlign w:val="bottom"/>
          </w:tcPr>
          <w:p>
            <w:pPr>
              <w:spacing w:after="0"/>
              <w:rPr>
                <w:sz w:val="1"/>
                <w:szCs w:val="1"/>
                <w:color w:val="auto"/>
              </w:rPr>
            </w:pPr>
          </w:p>
        </w:tc>
      </w:tr>
      <w:tr>
        <w:trPr>
          <w:trHeight w:val="591"/>
        </w:trPr>
        <w:tc>
          <w:tcPr>
            <w:tcW w:w="1060" w:type="dxa"/>
            <w:vAlign w:val="bottom"/>
          </w:tcPr>
          <w:p>
            <w:pPr>
              <w:jc w:val="right"/>
              <w:spacing w:after="0"/>
              <w:rPr>
                <w:sz w:val="20"/>
                <w:szCs w:val="20"/>
                <w:color w:val="auto"/>
              </w:rPr>
            </w:pPr>
            <w:r>
              <w:rPr>
                <w:rFonts w:ascii="Arial" w:cs="Arial" w:eastAsia="Arial" w:hAnsi="Arial"/>
                <w:sz w:val="17"/>
                <w:szCs w:val="17"/>
                <w:color w:val="auto"/>
              </w:rPr>
              <w:t>80,696</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62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504"/>
        </w:trPr>
        <w:tc>
          <w:tcPr>
            <w:tcW w:w="1060" w:type="dxa"/>
            <w:vAlign w:val="bottom"/>
          </w:tcPr>
          <w:p>
            <w:pPr>
              <w:jc w:val="right"/>
              <w:spacing w:after="0"/>
              <w:rPr>
                <w:sz w:val="20"/>
                <w:szCs w:val="20"/>
                <w:color w:val="auto"/>
              </w:rPr>
            </w:pPr>
            <w:r>
              <w:rPr>
                <w:rFonts w:ascii="Arial" w:cs="Arial" w:eastAsia="Arial" w:hAnsi="Arial"/>
                <w:sz w:val="17"/>
                <w:szCs w:val="17"/>
                <w:color w:val="auto"/>
              </w:rPr>
              <w:t>28,000,000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1,748</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(1,748)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8"/>
        </w:trPr>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680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(680)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31"/>
        </w:trPr>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1,250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1,372</w:t>
            </w:r>
          </w:p>
        </w:tc>
        <w:tc>
          <w:tcPr>
            <w:tcW w:w="0" w:type="dxa"/>
            <w:vAlign w:val="bottom"/>
          </w:tcPr>
          <w:p>
            <w:pPr>
              <w:spacing w:after="0"/>
              <w:rPr>
                <w:sz w:val="1"/>
                <w:szCs w:val="1"/>
                <w:color w:val="auto"/>
              </w:rPr>
            </w:pPr>
          </w:p>
        </w:tc>
      </w:tr>
      <w:tr>
        <w:trPr>
          <w:trHeight w:val="331"/>
        </w:trPr>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14,121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14,121</w:t>
            </w:r>
          </w:p>
        </w:tc>
        <w:tc>
          <w:tcPr>
            <w:tcW w:w="0" w:type="dxa"/>
            <w:vAlign w:val="bottom"/>
          </w:tcPr>
          <w:p>
            <w:pPr>
              <w:spacing w:after="0"/>
              <w:rPr>
                <w:sz w:val="1"/>
                <w:szCs w:val="1"/>
                <w:color w:val="auto"/>
              </w:rPr>
            </w:pPr>
          </w:p>
        </w:tc>
      </w:tr>
      <w:tr>
        <w:trPr>
          <w:trHeight w:val="504"/>
        </w:trPr>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(4,723)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(4,723)</w:t>
            </w:r>
          </w:p>
        </w:tc>
        <w:tc>
          <w:tcPr>
            <w:tcW w:w="0" w:type="dxa"/>
            <w:vAlign w:val="bottom"/>
          </w:tcPr>
          <w:p>
            <w:pPr>
              <w:spacing w:after="0"/>
              <w:rPr>
                <w:sz w:val="1"/>
                <w:szCs w:val="1"/>
                <w:color w:val="auto"/>
              </w:rPr>
            </w:pPr>
          </w:p>
        </w:tc>
      </w:tr>
      <w:tr>
        <w:trPr>
          <w:trHeight w:val="677"/>
        </w:trPr>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128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68"/>
        </w:trPr>
        <w:tc>
          <w:tcPr>
            <w:tcW w:w="10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060" w:type="dxa"/>
            <w:vAlign w:val="bottom"/>
          </w:tcPr>
          <w:p>
            <w:pPr>
              <w:jc w:val="right"/>
              <w:spacing w:after="0"/>
              <w:rPr>
                <w:sz w:val="20"/>
                <w:szCs w:val="20"/>
                <w:color w:val="auto"/>
              </w:rPr>
            </w:pPr>
            <w:r>
              <w:rPr>
                <w:rFonts w:ascii="Arial" w:cs="Arial" w:eastAsia="Arial" w:hAnsi="Arial"/>
                <w:sz w:val="17"/>
                <w:szCs w:val="17"/>
                <w:color w:val="auto"/>
              </w:rPr>
              <w:t>631,338,246</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w w:val="99"/>
              </w:rPr>
              <w:t>$ 40,526</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$ 529,187</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(1,549)</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(4,601)</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(333,097)</w:t>
            </w:r>
          </w:p>
        </w:tc>
        <w:tc>
          <w:tcPr>
            <w:tcW w:w="26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230,466</w:t>
            </w:r>
          </w:p>
        </w:tc>
        <w:tc>
          <w:tcPr>
            <w:tcW w:w="0" w:type="dxa"/>
            <w:vAlign w:val="bottom"/>
          </w:tcPr>
          <w:p>
            <w:pPr>
              <w:spacing w:after="0"/>
              <w:rPr>
                <w:sz w:val="1"/>
                <w:szCs w:val="1"/>
                <w:color w:val="auto"/>
              </w:rPr>
            </w:pPr>
          </w:p>
        </w:tc>
      </w:tr>
      <w:tr>
        <w:trPr>
          <w:trHeight w:val="76"/>
        </w:trPr>
        <w:tc>
          <w:tcPr>
            <w:tcW w:w="10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(54,369)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(54,369)</w:t>
            </w:r>
          </w:p>
        </w:tc>
        <w:tc>
          <w:tcPr>
            <w:tcW w:w="0" w:type="dxa"/>
            <w:vAlign w:val="bottom"/>
          </w:tcPr>
          <w:p>
            <w:pPr>
              <w:spacing w:after="0"/>
              <w:rPr>
                <w:sz w:val="1"/>
                <w:szCs w:val="1"/>
                <w:color w:val="auto"/>
              </w:rPr>
            </w:pPr>
          </w:p>
        </w:tc>
      </w:tr>
      <w:tr>
        <w:trPr>
          <w:trHeight w:val="389"/>
        </w:trPr>
        <w:tc>
          <w:tcPr>
            <w:tcW w:w="1060" w:type="dxa"/>
            <w:vAlign w:val="bottom"/>
          </w:tcPr>
          <w:p>
            <w:pPr>
              <w:jc w:val="right"/>
              <w:spacing w:after="0"/>
              <w:rPr>
                <w:sz w:val="20"/>
                <w:szCs w:val="20"/>
                <w:color w:val="auto"/>
              </w:rPr>
            </w:pPr>
            <w:r>
              <w:rPr>
                <w:rFonts w:ascii="Arial" w:cs="Arial" w:eastAsia="Arial" w:hAnsi="Arial"/>
                <w:sz w:val="17"/>
                <w:szCs w:val="17"/>
                <w:color w:val="auto"/>
              </w:rPr>
              <w:t>20,321,384</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1,227</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55,682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56,909</w:t>
            </w:r>
          </w:p>
        </w:tc>
        <w:tc>
          <w:tcPr>
            <w:tcW w:w="0" w:type="dxa"/>
            <w:vAlign w:val="bottom"/>
          </w:tcPr>
          <w:p>
            <w:pPr>
              <w:spacing w:after="0"/>
              <w:rPr>
                <w:sz w:val="1"/>
                <w:szCs w:val="1"/>
                <w:color w:val="auto"/>
              </w:rPr>
            </w:pPr>
          </w:p>
        </w:tc>
      </w:tr>
      <w:tr>
        <w:trPr>
          <w:trHeight w:val="504"/>
        </w:trPr>
        <w:tc>
          <w:tcPr>
            <w:tcW w:w="1060" w:type="dxa"/>
            <w:vAlign w:val="bottom"/>
          </w:tcPr>
          <w:p>
            <w:pPr>
              <w:jc w:val="right"/>
              <w:spacing w:after="0"/>
              <w:rPr>
                <w:sz w:val="20"/>
                <w:szCs w:val="20"/>
                <w:color w:val="auto"/>
              </w:rPr>
            </w:pPr>
            <w:r>
              <w:rPr>
                <w:rFonts w:ascii="Arial" w:cs="Arial" w:eastAsia="Arial" w:hAnsi="Arial"/>
                <w:sz w:val="17"/>
                <w:szCs w:val="17"/>
                <w:color w:val="auto"/>
              </w:rPr>
              <w:t>16,000,000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1,018</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(1,018)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8"/>
        </w:trPr>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967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(967)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31"/>
        </w:trPr>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1,866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1,949</w:t>
            </w:r>
          </w:p>
        </w:tc>
        <w:tc>
          <w:tcPr>
            <w:tcW w:w="0" w:type="dxa"/>
            <w:vAlign w:val="bottom"/>
          </w:tcPr>
          <w:p>
            <w:pPr>
              <w:spacing w:after="0"/>
              <w:rPr>
                <w:sz w:val="1"/>
                <w:szCs w:val="1"/>
                <w:color w:val="auto"/>
              </w:rPr>
            </w:pPr>
          </w:p>
        </w:tc>
      </w:tr>
      <w:tr>
        <w:trPr>
          <w:trHeight w:val="331"/>
        </w:trPr>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19,012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19,012</w:t>
            </w:r>
          </w:p>
        </w:tc>
        <w:tc>
          <w:tcPr>
            <w:tcW w:w="0" w:type="dxa"/>
            <w:vAlign w:val="bottom"/>
          </w:tcPr>
          <w:p>
            <w:pPr>
              <w:spacing w:after="0"/>
              <w:rPr>
                <w:sz w:val="1"/>
                <w:szCs w:val="1"/>
                <w:color w:val="auto"/>
              </w:rPr>
            </w:pPr>
          </w:p>
        </w:tc>
      </w:tr>
      <w:tr>
        <w:trPr>
          <w:trHeight w:val="504"/>
        </w:trPr>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(4,389)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(4,389)</w:t>
            </w:r>
          </w:p>
        </w:tc>
        <w:tc>
          <w:tcPr>
            <w:tcW w:w="0" w:type="dxa"/>
            <w:vAlign w:val="bottom"/>
          </w:tcPr>
          <w:p>
            <w:pPr>
              <w:spacing w:after="0"/>
              <w:rPr>
                <w:sz w:val="1"/>
                <w:szCs w:val="1"/>
                <w:color w:val="auto"/>
              </w:rPr>
            </w:pPr>
          </w:p>
        </w:tc>
      </w:tr>
      <w:tr>
        <w:trPr>
          <w:trHeight w:val="677"/>
        </w:trPr>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(295)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68"/>
        </w:trPr>
        <w:tc>
          <w:tcPr>
            <w:tcW w:w="10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060" w:type="dxa"/>
            <w:vAlign w:val="bottom"/>
          </w:tcPr>
          <w:p>
            <w:pPr>
              <w:jc w:val="right"/>
              <w:spacing w:after="0"/>
              <w:rPr>
                <w:sz w:val="20"/>
                <w:szCs w:val="20"/>
                <w:color w:val="auto"/>
              </w:rPr>
            </w:pPr>
            <w:r>
              <w:rPr>
                <w:rFonts w:ascii="Arial" w:cs="Arial" w:eastAsia="Arial" w:hAnsi="Arial"/>
                <w:sz w:val="17"/>
                <w:szCs w:val="17"/>
                <w:color w:val="auto"/>
              </w:rPr>
              <w:t>667,659,630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w w:val="99"/>
              </w:rPr>
              <w:t>$ 42,771</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$ 601,063</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(1,517)</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(4,601)</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(388,433)</w:t>
            </w:r>
          </w:p>
        </w:tc>
        <w:tc>
          <w:tcPr>
            <w:tcW w:w="26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249,283</w:t>
            </w:r>
          </w:p>
        </w:tc>
        <w:tc>
          <w:tcPr>
            <w:tcW w:w="0" w:type="dxa"/>
            <w:vAlign w:val="bottom"/>
          </w:tcPr>
          <w:p>
            <w:pPr>
              <w:spacing w:after="0"/>
              <w:rPr>
                <w:sz w:val="1"/>
                <w:szCs w:val="1"/>
                <w:color w:val="auto"/>
              </w:rPr>
            </w:pPr>
          </w:p>
        </w:tc>
      </w:tr>
      <w:tr>
        <w:trPr>
          <w:trHeight w:val="76"/>
        </w:trPr>
        <w:tc>
          <w:tcPr>
            <w:tcW w:w="10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(173,418)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(173,418)</w:t>
            </w:r>
          </w:p>
        </w:tc>
        <w:tc>
          <w:tcPr>
            <w:tcW w:w="0" w:type="dxa"/>
            <w:vAlign w:val="bottom"/>
          </w:tcPr>
          <w:p>
            <w:pPr>
              <w:spacing w:after="0"/>
              <w:rPr>
                <w:sz w:val="1"/>
                <w:szCs w:val="1"/>
                <w:color w:val="auto"/>
              </w:rPr>
            </w:pPr>
          </w:p>
        </w:tc>
      </w:tr>
      <w:tr>
        <w:trPr>
          <w:trHeight w:val="389"/>
        </w:trPr>
        <w:tc>
          <w:tcPr>
            <w:tcW w:w="1060" w:type="dxa"/>
            <w:vAlign w:val="bottom"/>
          </w:tcPr>
          <w:p>
            <w:pPr>
              <w:jc w:val="right"/>
              <w:spacing w:after="0"/>
              <w:rPr>
                <w:sz w:val="20"/>
                <w:szCs w:val="20"/>
                <w:color w:val="auto"/>
              </w:rPr>
            </w:pPr>
            <w:r>
              <w:rPr>
                <w:rFonts w:ascii="Arial" w:cs="Arial" w:eastAsia="Arial" w:hAnsi="Arial"/>
                <w:sz w:val="17"/>
                <w:szCs w:val="17"/>
                <w:color w:val="auto"/>
              </w:rPr>
              <w:t>20,329,832</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1,289</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96,207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97,496</w:t>
            </w:r>
          </w:p>
        </w:tc>
        <w:tc>
          <w:tcPr>
            <w:tcW w:w="0" w:type="dxa"/>
            <w:vAlign w:val="bottom"/>
          </w:tcPr>
          <w:p>
            <w:pPr>
              <w:spacing w:after="0"/>
              <w:rPr>
                <w:sz w:val="1"/>
                <w:szCs w:val="1"/>
                <w:color w:val="auto"/>
              </w:rPr>
            </w:pPr>
          </w:p>
        </w:tc>
      </w:tr>
      <w:tr>
        <w:trPr>
          <w:trHeight w:val="504"/>
        </w:trPr>
        <w:tc>
          <w:tcPr>
            <w:tcW w:w="1060" w:type="dxa"/>
            <w:vAlign w:val="bottom"/>
          </w:tcPr>
          <w:p>
            <w:pPr>
              <w:jc w:val="right"/>
              <w:spacing w:after="0"/>
              <w:rPr>
                <w:sz w:val="20"/>
                <w:szCs w:val="20"/>
                <w:color w:val="auto"/>
              </w:rPr>
            </w:pPr>
            <w:r>
              <w:rPr>
                <w:rFonts w:ascii="Arial" w:cs="Arial" w:eastAsia="Arial" w:hAnsi="Arial"/>
                <w:sz w:val="17"/>
                <w:szCs w:val="17"/>
                <w:color w:val="auto"/>
              </w:rPr>
              <w:t>15,200,000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961</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(961)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8"/>
        </w:trPr>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550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(550)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31"/>
        </w:trPr>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5,139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269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5,408</w:t>
            </w:r>
          </w:p>
        </w:tc>
        <w:tc>
          <w:tcPr>
            <w:tcW w:w="0" w:type="dxa"/>
            <w:vAlign w:val="bottom"/>
          </w:tcPr>
          <w:p>
            <w:pPr>
              <w:spacing w:after="0"/>
              <w:rPr>
                <w:sz w:val="1"/>
                <w:szCs w:val="1"/>
                <w:color w:val="auto"/>
              </w:rPr>
            </w:pPr>
          </w:p>
        </w:tc>
      </w:tr>
      <w:tr>
        <w:trPr>
          <w:trHeight w:val="331"/>
        </w:trPr>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41,244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41,244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-1298575</wp:posOffset>
            </wp:positionH>
            <wp:positionV relativeFrom="paragraph">
              <wp:posOffset>-7282180</wp:posOffset>
            </wp:positionV>
            <wp:extent cx="5697220" cy="7362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5697220" cy="7362190"/>
                    </a:xfrm>
                    <a:prstGeom prst="rect">
                      <a:avLst/>
                    </a:prstGeom>
                    <a:noFill/>
                  </pic:spPr>
                </pic:pic>
              </a:graphicData>
            </a:graphic>
          </wp:anchor>
        </w:drawing>
      </w:r>
    </w:p>
    <w:p>
      <w:pPr>
        <w:spacing w:after="0" w:line="275" w:lineRule="exact"/>
        <w:rPr>
          <w:sz w:val="20"/>
          <w:szCs w:val="20"/>
          <w:color w:val="auto"/>
        </w:rPr>
      </w:pPr>
    </w:p>
    <w:p>
      <w:pPr>
        <w:sectPr>
          <w:pgSz w:w="11880" w:h="15480" w:orient="portrait"/>
          <w:cols w:equalWidth="0" w:num="2">
            <w:col w:w="1960" w:space="100"/>
            <w:col w:w="6940"/>
          </w:cols>
          <w:pgMar w:left="1440" w:top="32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F-9</w:t>
      </w:r>
    </w:p>
    <w:p>
      <w:pPr>
        <w:sectPr>
          <w:pgSz w:w="11880" w:h="15480" w:orient="portrait"/>
          <w:cols w:equalWidth="0" w:num="1">
            <w:col w:w="9000"/>
          </w:cols>
          <w:pgMar w:left="1440" w:top="327" w:right="1440" w:bottom="0" w:gutter="0" w:footer="0" w:header="0"/>
          <w:type w:val="continuous"/>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0" w:right="120"/>
        <w:spacing w:after="0" w:line="273" w:lineRule="auto"/>
        <w:rPr>
          <w:sz w:val="20"/>
          <w:szCs w:val="20"/>
          <w:color w:val="auto"/>
        </w:rPr>
      </w:pPr>
      <w:r>
        <w:rPr>
          <w:rFonts w:ascii="Arial" w:cs="Arial" w:eastAsia="Arial" w:hAnsi="Arial"/>
          <w:sz w:val="15"/>
          <w:szCs w:val="15"/>
          <w:color w:val="auto"/>
        </w:rPr>
        <w:t>Common shares withheld for taxes on vested share awards</w:t>
      </w:r>
    </w:p>
    <w:p>
      <w:pPr>
        <w:spacing w:after="0" w:line="2" w:lineRule="exact"/>
        <w:rPr>
          <w:sz w:val="20"/>
          <w:szCs w:val="20"/>
          <w:color w:val="auto"/>
        </w:rPr>
      </w:pPr>
    </w:p>
    <w:p>
      <w:pPr>
        <w:jc w:val="both"/>
        <w:ind w:left="320" w:right="160"/>
        <w:spacing w:after="0" w:line="264" w:lineRule="auto"/>
        <w:rPr>
          <w:sz w:val="20"/>
          <w:szCs w:val="20"/>
          <w:color w:val="auto"/>
        </w:rPr>
      </w:pPr>
      <w:r>
        <w:rPr>
          <w:rFonts w:ascii="Arial" w:cs="Arial" w:eastAsia="Arial" w:hAnsi="Arial"/>
          <w:sz w:val="15"/>
          <w:szCs w:val="15"/>
          <w:color w:val="auto"/>
        </w:rPr>
        <w:t>Equity settled share-based compensation reclassified as cash-settled</w:t>
      </w:r>
    </w:p>
    <w:p>
      <w:pPr>
        <w:spacing w:after="0" w:line="1" w:lineRule="exact"/>
        <w:rPr>
          <w:sz w:val="20"/>
          <w:szCs w:val="20"/>
          <w:color w:val="auto"/>
        </w:rPr>
      </w:pPr>
    </w:p>
    <w:p>
      <w:pPr>
        <w:ind w:left="80"/>
        <w:spacing w:after="0" w:line="252" w:lineRule="auto"/>
        <w:rPr>
          <w:sz w:val="20"/>
          <w:szCs w:val="20"/>
          <w:color w:val="auto"/>
        </w:rPr>
      </w:pPr>
      <w:r>
        <w:rPr>
          <w:rFonts w:ascii="Arial" w:cs="Arial" w:eastAsia="Arial" w:hAnsi="Arial"/>
          <w:sz w:val="17"/>
          <w:szCs w:val="17"/>
          <w:b w:val="1"/>
          <w:bCs w:val="1"/>
          <w:color w:val="auto"/>
        </w:rPr>
        <w:t>Balance at December 31, 2024</w:t>
      </w:r>
    </w:p>
    <w:p>
      <w:pPr>
        <w:spacing w:after="0" w:line="20" w:lineRule="exact"/>
        <w:rPr>
          <w:sz w:val="20"/>
          <w:szCs w:val="20"/>
          <w:color w:val="auto"/>
        </w:rPr>
      </w:pPr>
      <w:r>
        <w:rPr>
          <w:sz w:val="20"/>
          <w:szCs w:val="20"/>
          <w:color w:val="auto"/>
        </w:rPr>
        <w:br w:type="column"/>
      </w:r>
    </w:p>
    <w:p>
      <w:pPr>
        <w:jc w:val="center"/>
        <w:ind w:right="2060"/>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ind w:right="2060"/>
        <w:spacing w:after="0"/>
        <w:rPr>
          <w:sz w:val="20"/>
          <w:szCs w:val="20"/>
          <w:color w:val="auto"/>
        </w:rPr>
      </w:pPr>
      <w:r>
        <w:rPr>
          <w:rFonts w:ascii="Arial" w:cs="Arial" w:eastAsia="Arial" w:hAnsi="Arial"/>
          <w:sz w:val="19"/>
          <w:szCs w:val="19"/>
          <w:b w:val="1"/>
          <w:bCs w:val="1"/>
          <w:color w:val="auto"/>
        </w:rPr>
        <w:t>Consolidated Statements of Shareholders’ Equity</w:t>
      </w:r>
    </w:p>
    <w:p>
      <w:pPr>
        <w:spacing w:after="0" w:line="12" w:lineRule="exact"/>
        <w:rPr>
          <w:sz w:val="20"/>
          <w:szCs w:val="20"/>
          <w:color w:val="auto"/>
        </w:rPr>
      </w:pPr>
    </w:p>
    <w:p>
      <w:pPr>
        <w:jc w:val="center"/>
        <w:ind w:right="2060"/>
        <w:spacing w:after="0"/>
        <w:rPr>
          <w:sz w:val="20"/>
          <w:szCs w:val="20"/>
          <w:color w:val="auto"/>
        </w:rPr>
      </w:pPr>
      <w:r>
        <w:rPr>
          <w:rFonts w:ascii="Arial" w:cs="Arial" w:eastAsia="Arial" w:hAnsi="Arial"/>
          <w:sz w:val="19"/>
          <w:szCs w:val="19"/>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-1298575</wp:posOffset>
            </wp:positionH>
            <wp:positionV relativeFrom="paragraph">
              <wp:posOffset>296545</wp:posOffset>
            </wp:positionV>
            <wp:extent cx="5697220" cy="1162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5697220" cy="1162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(14,175)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(14,175)</w:t>
            </w:r>
          </w:p>
        </w:tc>
      </w:tr>
      <w:tr>
        <w:trPr>
          <w:trHeight w:val="677"/>
        </w:trPr>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(1,279)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(1,279)</w:t>
            </w:r>
          </w:p>
        </w:tc>
      </w:tr>
      <w:tr>
        <w:trPr>
          <w:trHeight w:val="268"/>
        </w:trPr>
        <w:tc>
          <w:tcPr>
            <w:tcW w:w="10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303"/>
        </w:trPr>
        <w:tc>
          <w:tcPr>
            <w:tcW w:w="1060" w:type="dxa"/>
            <w:vAlign w:val="bottom"/>
          </w:tcPr>
          <w:p>
            <w:pPr>
              <w:jc w:val="right"/>
              <w:spacing w:after="0"/>
              <w:rPr>
                <w:sz w:val="20"/>
                <w:szCs w:val="20"/>
                <w:color w:val="auto"/>
              </w:rPr>
            </w:pPr>
            <w:r>
              <w:rPr>
                <w:rFonts w:ascii="Arial" w:cs="Arial" w:eastAsia="Arial" w:hAnsi="Arial"/>
                <w:sz w:val="17"/>
                <w:szCs w:val="17"/>
                <w:color w:val="auto"/>
              </w:rPr>
              <w:t>703,189,462</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w w:val="99"/>
              </w:rPr>
              <w:t>$ 45,021</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$ 728,199</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(1,659)</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(4,601)</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(562,401)</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204,559</w:t>
            </w:r>
          </w:p>
        </w:tc>
      </w:tr>
      <w:tr>
        <w:trPr>
          <w:trHeight w:val="76"/>
        </w:trPr>
        <w:tc>
          <w:tcPr>
            <w:tcW w:w="10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ectPr>
          <w:pgSz w:w="11880" w:h="15480" w:orient="portrait"/>
          <w:cols w:equalWidth="0" w:num="2">
            <w:col w:w="1900" w:space="160"/>
            <w:col w:w="6940"/>
          </w:cols>
          <w:pgMar w:left="1440" w:top="327" w:right="1440" w:bottom="0" w:gutter="0" w:footer="0" w:header="0"/>
        </w:sect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880" w:h="15480" w:orient="portrait"/>
          <w:cols w:equalWidth="0" w:num="1">
            <w:col w:w="9000"/>
          </w:cols>
          <w:pgMar w:left="1440" w:top="32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F-10</w:t>
      </w:r>
    </w:p>
    <w:p>
      <w:pPr>
        <w:sectPr>
          <w:pgSz w:w="11880" w:h="15480" w:orient="portrait"/>
          <w:cols w:equalWidth="0" w:num="1">
            <w:col w:w="9000"/>
          </w:cols>
          <w:pgMar w:left="1440" w:top="327" w:right="1440" w:bottom="0" w:gutter="0" w:footer="0" w:header="0"/>
          <w:type w:val="continuous"/>
        </w:sectPr>
      </w:pPr>
    </w:p>
    <w:bookmarkStart w:id="118" w:name="page119"/>
    <w:bookmarkEnd w:id="118"/>
    <w:p>
      <w:pPr>
        <w:jc w:val="center"/>
        <w:ind w:right="20"/>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(in thousands)</w:t>
      </w:r>
    </w:p>
    <w:p>
      <w:pPr>
        <w:spacing w:after="0" w:line="200" w:lineRule="exact"/>
        <w:rPr>
          <w:sz w:val="20"/>
          <w:szCs w:val="20"/>
          <w:color w:val="auto"/>
        </w:rPr>
      </w:pPr>
    </w:p>
    <w:p>
      <w:pPr>
        <w:spacing w:after="0" w:line="291" w:lineRule="exact"/>
        <w:rPr>
          <w:sz w:val="20"/>
          <w:szCs w:val="20"/>
          <w:color w:val="auto"/>
        </w:rPr>
      </w:pPr>
    </w:p>
    <w:p>
      <w:pPr>
        <w:ind w:left="6500"/>
        <w:spacing w:after="0"/>
        <w:rPr>
          <w:sz w:val="20"/>
          <w:szCs w:val="20"/>
          <w:color w:val="auto"/>
        </w:rPr>
      </w:pPr>
      <w:r>
        <w:rPr>
          <w:rFonts w:ascii="Arial" w:cs="Arial" w:eastAsia="Arial" w:hAnsi="Arial"/>
          <w:sz w:val="15"/>
          <w:szCs w:val="15"/>
          <w:b w:val="1"/>
          <w:bCs w:val="1"/>
          <w:color w:val="auto"/>
        </w:rPr>
        <w:t>Year ended December 31,</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6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2024</w:t>
            </w:r>
          </w:p>
        </w:tc>
        <w:tc>
          <w:tcPr>
            <w:tcW w:w="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08"/>
        </w:trPr>
        <w:tc>
          <w:tcPr>
            <w:tcW w:w="5640" w:type="dxa"/>
            <w:vAlign w:val="bottom"/>
          </w:tcPr>
          <w:p>
            <w:pPr>
              <w:spacing w:after="0"/>
              <w:rPr>
                <w:sz w:val="20"/>
                <w:szCs w:val="20"/>
                <w:color w:val="auto"/>
              </w:rPr>
            </w:pPr>
            <w:r>
              <w:rPr>
                <w:rFonts w:ascii="Arial" w:cs="Arial" w:eastAsia="Arial" w:hAnsi="Arial"/>
                <w:sz w:val="17"/>
                <w:szCs w:val="17"/>
                <w:b w:val="1"/>
                <w:bCs w:val="1"/>
                <w:color w:val="auto"/>
              </w:rPr>
              <w:t>Operating activities: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40" w:type="dxa"/>
            <w:vAlign w:val="bottom"/>
          </w:tcPr>
          <w:p>
            <w:pPr>
              <w:ind w:left="240"/>
              <w:spacing w:after="0"/>
              <w:rPr>
                <w:sz w:val="20"/>
                <w:szCs w:val="20"/>
                <w:color w:val="auto"/>
              </w:rPr>
            </w:pPr>
            <w:r>
              <w:rPr>
                <w:rFonts w:ascii="Arial" w:cs="Arial" w:eastAsia="Arial" w:hAnsi="Arial"/>
                <w:sz w:val="17"/>
                <w:szCs w:val="17"/>
                <w:color w:val="auto"/>
              </w:rPr>
              <w:t>Net loss:</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(173,418)</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(54,369)</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(68,701)</w:t>
            </w:r>
          </w:p>
        </w:tc>
        <w:tc>
          <w:tcPr>
            <w:tcW w:w="0" w:type="dxa"/>
            <w:vAlign w:val="bottom"/>
          </w:tcPr>
          <w:p>
            <w:pPr>
              <w:spacing w:after="0"/>
              <w:rPr>
                <w:sz w:val="1"/>
                <w:szCs w:val="1"/>
                <w:color w:val="auto"/>
              </w:rPr>
            </w:pPr>
          </w:p>
        </w:tc>
      </w:tr>
      <w:tr>
        <w:trPr>
          <w:trHeight w:val="324"/>
        </w:trPr>
        <w:tc>
          <w:tcPr>
            <w:tcW w:w="5640" w:type="dxa"/>
            <w:vAlign w:val="bottom"/>
          </w:tcPr>
          <w:p>
            <w:pPr>
              <w:ind w:left="240"/>
              <w:spacing w:after="0"/>
              <w:rPr>
                <w:sz w:val="20"/>
                <w:szCs w:val="20"/>
                <w:color w:val="auto"/>
              </w:rPr>
            </w:pPr>
            <w:r>
              <w:rPr>
                <w:rFonts w:ascii="Arial" w:cs="Arial" w:eastAsia="Arial" w:hAnsi="Arial"/>
                <w:sz w:val="17"/>
                <w:szCs w:val="17"/>
                <w:b w:val="1"/>
                <w:bCs w:val="1"/>
                <w:i w:val="1"/>
                <w:iCs w:val="1"/>
                <w:color w:val="auto"/>
                <w:w w:val="90"/>
              </w:rPr>
              <w:t>Adjustments to reconcile net loss to net cash used in operating activities: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40" w:type="dxa"/>
            <w:vAlign w:val="bottom"/>
          </w:tcPr>
          <w:p>
            <w:pPr>
              <w:ind w:left="240"/>
              <w:spacing w:after="0"/>
              <w:rPr>
                <w:sz w:val="20"/>
                <w:szCs w:val="20"/>
                <w:color w:val="auto"/>
              </w:rPr>
            </w:pPr>
            <w:r>
              <w:rPr>
                <w:rFonts w:ascii="Arial" w:cs="Arial" w:eastAsia="Arial" w:hAnsi="Arial"/>
                <w:sz w:val="17"/>
                <w:szCs w:val="17"/>
                <w:color w:val="auto"/>
              </w:rPr>
              <w:t>Foreign exchange loss/(gain)</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(1,866)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3,817</w:t>
            </w:r>
          </w:p>
        </w:tc>
        <w:tc>
          <w:tcPr>
            <w:tcW w:w="0" w:type="dxa"/>
            <w:vAlign w:val="bottom"/>
          </w:tcPr>
          <w:p>
            <w:pPr>
              <w:spacing w:after="0"/>
              <w:rPr>
                <w:sz w:val="1"/>
                <w:szCs w:val="1"/>
                <w:color w:val="auto"/>
              </w:rPr>
            </w:pPr>
          </w:p>
        </w:tc>
      </w:tr>
      <w:tr>
        <w:trPr>
          <w:trHeight w:val="230"/>
        </w:trPr>
        <w:tc>
          <w:tcPr>
            <w:tcW w:w="5640" w:type="dxa"/>
            <w:vAlign w:val="bottom"/>
          </w:tcPr>
          <w:p>
            <w:pPr>
              <w:ind w:left="240"/>
              <w:spacing w:after="0"/>
              <w:rPr>
                <w:sz w:val="20"/>
                <w:szCs w:val="20"/>
                <w:color w:val="auto"/>
              </w:rPr>
            </w:pPr>
            <w:r>
              <w:rPr>
                <w:rFonts w:ascii="Arial" w:cs="Arial" w:eastAsia="Arial" w:hAnsi="Arial"/>
                <w:sz w:val="17"/>
                <w:szCs w:val="17"/>
                <w:color w:val="auto"/>
              </w:rPr>
              <w:t>Amortization of debt issuance costs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1,304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30"/>
        </w:trPr>
        <w:tc>
          <w:tcPr>
            <w:tcW w:w="5640" w:type="dxa"/>
            <w:vAlign w:val="bottom"/>
          </w:tcPr>
          <w:p>
            <w:pPr>
              <w:ind w:left="240"/>
              <w:spacing w:after="0"/>
              <w:rPr>
                <w:sz w:val="20"/>
                <w:szCs w:val="20"/>
                <w:color w:val="auto"/>
              </w:rPr>
            </w:pPr>
            <w:r>
              <w:rPr>
                <w:rFonts w:ascii="Arial" w:cs="Arial" w:eastAsia="Arial" w:hAnsi="Arial"/>
                <w:sz w:val="17"/>
                <w:szCs w:val="17"/>
                <w:color w:val="auto"/>
              </w:rPr>
              <w:t>Accretion of RIPSA</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9,404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640" w:type="dxa"/>
            <w:vAlign w:val="bottom"/>
          </w:tcPr>
          <w:p>
            <w:pPr>
              <w:ind w:left="240"/>
              <w:spacing w:after="0"/>
              <w:rPr>
                <w:sz w:val="20"/>
                <w:szCs w:val="20"/>
                <w:color w:val="auto"/>
              </w:rPr>
            </w:pPr>
            <w:r>
              <w:rPr>
                <w:rFonts w:ascii="Arial" w:cs="Arial" w:eastAsia="Arial" w:hAnsi="Arial"/>
                <w:sz w:val="17"/>
                <w:szCs w:val="17"/>
                <w:color w:val="auto"/>
              </w:rPr>
              <w:t>Accretion of redemption premium on debt</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30"/>
        </w:trPr>
        <w:tc>
          <w:tcPr>
            <w:tcW w:w="5640" w:type="dxa"/>
            <w:vAlign w:val="bottom"/>
          </w:tcPr>
          <w:p>
            <w:pPr>
              <w:ind w:left="240"/>
              <w:spacing w:after="0"/>
              <w:rPr>
                <w:sz w:val="20"/>
                <w:szCs w:val="20"/>
                <w:color w:val="auto"/>
              </w:rPr>
            </w:pPr>
            <w:r>
              <w:rPr>
                <w:rFonts w:ascii="Arial" w:cs="Arial" w:eastAsia="Arial" w:hAnsi="Arial"/>
                <w:sz w:val="17"/>
                <w:szCs w:val="17"/>
                <w:color w:val="auto"/>
              </w:rPr>
              <w:t>Loss on extinguishment of debt</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3,653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815</w:t>
            </w:r>
          </w:p>
        </w:tc>
        <w:tc>
          <w:tcPr>
            <w:tcW w:w="0" w:type="dxa"/>
            <w:vAlign w:val="bottom"/>
          </w:tcPr>
          <w:p>
            <w:pPr>
              <w:spacing w:after="0"/>
              <w:rPr>
                <w:sz w:val="1"/>
                <w:szCs w:val="1"/>
                <w:color w:val="auto"/>
              </w:rPr>
            </w:pPr>
          </w:p>
        </w:tc>
      </w:tr>
      <w:tr>
        <w:trPr>
          <w:trHeight w:val="230"/>
        </w:trPr>
        <w:tc>
          <w:tcPr>
            <w:tcW w:w="5640" w:type="dxa"/>
            <w:vAlign w:val="bottom"/>
          </w:tcPr>
          <w:p>
            <w:pPr>
              <w:ind w:left="240"/>
              <w:spacing w:after="0"/>
              <w:rPr>
                <w:sz w:val="20"/>
                <w:szCs w:val="20"/>
                <w:color w:val="auto"/>
              </w:rPr>
            </w:pPr>
            <w:r>
              <w:rPr>
                <w:rFonts w:ascii="Arial" w:cs="Arial" w:eastAsia="Arial" w:hAnsi="Arial"/>
                <w:sz w:val="17"/>
                <w:szCs w:val="17"/>
                <w:color w:val="auto"/>
              </w:rPr>
              <w:t>Share-based compensation</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41,244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19,012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14,121</w:t>
            </w:r>
          </w:p>
        </w:tc>
        <w:tc>
          <w:tcPr>
            <w:tcW w:w="0" w:type="dxa"/>
            <w:vAlign w:val="bottom"/>
          </w:tcPr>
          <w:p>
            <w:pPr>
              <w:spacing w:after="0"/>
              <w:rPr>
                <w:sz w:val="1"/>
                <w:szCs w:val="1"/>
                <w:color w:val="auto"/>
              </w:rPr>
            </w:pPr>
          </w:p>
        </w:tc>
      </w:tr>
      <w:tr>
        <w:trPr>
          <w:trHeight w:val="230"/>
        </w:trPr>
        <w:tc>
          <w:tcPr>
            <w:tcW w:w="5640" w:type="dxa"/>
            <w:vAlign w:val="bottom"/>
          </w:tcPr>
          <w:p>
            <w:pPr>
              <w:ind w:left="240"/>
              <w:spacing w:after="0"/>
              <w:rPr>
                <w:sz w:val="20"/>
                <w:szCs w:val="20"/>
                <w:color w:val="auto"/>
              </w:rPr>
            </w:pPr>
            <w:r>
              <w:rPr>
                <w:rFonts w:ascii="Arial" w:cs="Arial" w:eastAsia="Arial" w:hAnsi="Arial"/>
                <w:sz w:val="17"/>
                <w:szCs w:val="17"/>
                <w:color w:val="auto"/>
              </w:rPr>
              <w:t>Depreciation</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1,058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677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636</w:t>
            </w:r>
          </w:p>
        </w:tc>
        <w:tc>
          <w:tcPr>
            <w:tcW w:w="0" w:type="dxa"/>
            <w:vAlign w:val="bottom"/>
          </w:tcPr>
          <w:p>
            <w:pPr>
              <w:spacing w:after="0"/>
              <w:rPr>
                <w:sz w:val="1"/>
                <w:szCs w:val="1"/>
                <w:color w:val="auto"/>
              </w:rPr>
            </w:pPr>
          </w:p>
        </w:tc>
      </w:tr>
      <w:tr>
        <w:trPr>
          <w:trHeight w:val="230"/>
        </w:trPr>
        <w:tc>
          <w:tcPr>
            <w:tcW w:w="5640" w:type="dxa"/>
            <w:vAlign w:val="bottom"/>
          </w:tcPr>
          <w:p>
            <w:pPr>
              <w:ind w:left="360"/>
              <w:spacing w:after="0"/>
              <w:rPr>
                <w:sz w:val="20"/>
                <w:szCs w:val="20"/>
                <w:color w:val="auto"/>
              </w:rPr>
            </w:pPr>
            <w:r>
              <w:rPr>
                <w:rFonts w:ascii="Arial" w:cs="Arial" w:eastAsia="Arial" w:hAnsi="Arial"/>
                <w:sz w:val="17"/>
                <w:szCs w:val="17"/>
                <w:b w:val="1"/>
                <w:bCs w:val="1"/>
                <w:i w:val="1"/>
                <w:iCs w:val="1"/>
                <w:color w:val="auto"/>
              </w:rPr>
              <w:t>Changes in operating assets and liabilities: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360"/>
              <w:spacing w:after="0"/>
              <w:rPr>
                <w:sz w:val="20"/>
                <w:szCs w:val="20"/>
                <w:color w:val="auto"/>
              </w:rPr>
            </w:pPr>
            <w:r>
              <w:rPr>
                <w:rFonts w:ascii="Arial" w:cs="Arial" w:eastAsia="Arial" w:hAnsi="Arial"/>
                <w:sz w:val="17"/>
                <w:szCs w:val="17"/>
                <w:color w:val="auto"/>
              </w:rPr>
              <w:t>Accounts receivable</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(31,496)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640" w:type="dxa"/>
            <w:vAlign w:val="bottom"/>
          </w:tcPr>
          <w:p>
            <w:pPr>
              <w:ind w:left="360"/>
              <w:spacing w:after="0"/>
              <w:rPr>
                <w:sz w:val="20"/>
                <w:szCs w:val="20"/>
                <w:color w:val="auto"/>
              </w:rPr>
            </w:pPr>
            <w:r>
              <w:rPr>
                <w:rFonts w:ascii="Arial" w:cs="Arial" w:eastAsia="Arial" w:hAnsi="Arial"/>
                <w:sz w:val="17"/>
                <w:szCs w:val="17"/>
                <w:color w:val="auto"/>
              </w:rPr>
              <w:t>Prepaid expenses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(3,956)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(1,118)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1,538</w:t>
            </w:r>
          </w:p>
        </w:tc>
        <w:tc>
          <w:tcPr>
            <w:tcW w:w="0" w:type="dxa"/>
            <w:vAlign w:val="bottom"/>
          </w:tcPr>
          <w:p>
            <w:pPr>
              <w:spacing w:after="0"/>
              <w:rPr>
                <w:sz w:val="1"/>
                <w:szCs w:val="1"/>
                <w:color w:val="auto"/>
              </w:rPr>
            </w:pPr>
          </w:p>
        </w:tc>
      </w:tr>
      <w:tr>
        <w:trPr>
          <w:trHeight w:val="230"/>
        </w:trPr>
        <w:tc>
          <w:tcPr>
            <w:tcW w:w="5640" w:type="dxa"/>
            <w:vAlign w:val="bottom"/>
          </w:tcPr>
          <w:p>
            <w:pPr>
              <w:ind w:left="360"/>
              <w:spacing w:after="0"/>
              <w:rPr>
                <w:sz w:val="20"/>
                <w:szCs w:val="20"/>
                <w:color w:val="auto"/>
              </w:rPr>
            </w:pPr>
            <w:r>
              <w:rPr>
                <w:rFonts w:ascii="Arial" w:cs="Arial" w:eastAsia="Arial" w:hAnsi="Arial"/>
                <w:sz w:val="17"/>
                <w:szCs w:val="17"/>
                <w:color w:val="auto"/>
              </w:rPr>
              <w:t>Tax incentive receivable</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5,034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(1,104)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3,964</w:t>
            </w:r>
          </w:p>
        </w:tc>
        <w:tc>
          <w:tcPr>
            <w:tcW w:w="0" w:type="dxa"/>
            <w:vAlign w:val="bottom"/>
          </w:tcPr>
          <w:p>
            <w:pPr>
              <w:spacing w:after="0"/>
              <w:rPr>
                <w:sz w:val="1"/>
                <w:szCs w:val="1"/>
                <w:color w:val="auto"/>
              </w:rPr>
            </w:pPr>
          </w:p>
        </w:tc>
      </w:tr>
      <w:tr>
        <w:trPr>
          <w:trHeight w:val="230"/>
        </w:trPr>
        <w:tc>
          <w:tcPr>
            <w:tcW w:w="5640" w:type="dxa"/>
            <w:vAlign w:val="bottom"/>
          </w:tcPr>
          <w:p>
            <w:pPr>
              <w:ind w:left="360"/>
              <w:spacing w:after="0"/>
              <w:rPr>
                <w:sz w:val="20"/>
                <w:szCs w:val="20"/>
                <w:color w:val="auto"/>
              </w:rPr>
            </w:pPr>
            <w:r>
              <w:rPr>
                <w:rFonts w:ascii="Arial" w:cs="Arial" w:eastAsia="Arial" w:hAnsi="Arial"/>
                <w:sz w:val="17"/>
                <w:szCs w:val="17"/>
                <w:color w:val="auto"/>
              </w:rPr>
              <w:t>Inventory</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(8,221)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640" w:type="dxa"/>
            <w:vAlign w:val="bottom"/>
          </w:tcPr>
          <w:p>
            <w:pPr>
              <w:ind w:left="360"/>
              <w:spacing w:after="0"/>
              <w:rPr>
                <w:sz w:val="20"/>
                <w:szCs w:val="20"/>
                <w:color w:val="auto"/>
              </w:rPr>
            </w:pPr>
            <w:r>
              <w:rPr>
                <w:rFonts w:ascii="Arial" w:cs="Arial" w:eastAsia="Arial" w:hAnsi="Arial"/>
                <w:sz w:val="17"/>
                <w:szCs w:val="17"/>
                <w:color w:val="auto"/>
              </w:rPr>
              <w:t>Other current assets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777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(1,325)</w:t>
            </w:r>
          </w:p>
        </w:tc>
        <w:tc>
          <w:tcPr>
            <w:tcW w:w="0" w:type="dxa"/>
            <w:vAlign w:val="bottom"/>
          </w:tcPr>
          <w:p>
            <w:pPr>
              <w:spacing w:after="0"/>
              <w:rPr>
                <w:sz w:val="1"/>
                <w:szCs w:val="1"/>
                <w:color w:val="auto"/>
              </w:rPr>
            </w:pPr>
          </w:p>
        </w:tc>
      </w:tr>
      <w:tr>
        <w:trPr>
          <w:trHeight w:val="230"/>
        </w:trPr>
        <w:tc>
          <w:tcPr>
            <w:tcW w:w="564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7,870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486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(7,146)</w:t>
            </w:r>
          </w:p>
        </w:tc>
        <w:tc>
          <w:tcPr>
            <w:tcW w:w="0" w:type="dxa"/>
            <w:vAlign w:val="bottom"/>
          </w:tcPr>
          <w:p>
            <w:pPr>
              <w:spacing w:after="0"/>
              <w:rPr>
                <w:sz w:val="1"/>
                <w:szCs w:val="1"/>
                <w:color w:val="auto"/>
              </w:rPr>
            </w:pPr>
          </w:p>
        </w:tc>
      </w:tr>
      <w:tr>
        <w:trPr>
          <w:trHeight w:val="230"/>
        </w:trPr>
        <w:tc>
          <w:tcPr>
            <w:tcW w:w="5640" w:type="dxa"/>
            <w:vAlign w:val="bottom"/>
          </w:tcPr>
          <w:p>
            <w:pPr>
              <w:ind w:left="360"/>
              <w:spacing w:after="0"/>
              <w:rPr>
                <w:sz w:val="20"/>
                <w:szCs w:val="20"/>
                <w:color w:val="auto"/>
              </w:rPr>
            </w:pPr>
            <w:r>
              <w:rPr>
                <w:rFonts w:ascii="Arial" w:cs="Arial" w:eastAsia="Arial" w:hAnsi="Arial"/>
                <w:sz w:val="17"/>
                <w:szCs w:val="17"/>
                <w:color w:val="auto"/>
              </w:rPr>
              <w:t>Accrued expenses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12,821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(10,351)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(8,504)</w:t>
            </w:r>
          </w:p>
        </w:tc>
        <w:tc>
          <w:tcPr>
            <w:tcW w:w="0" w:type="dxa"/>
            <w:vAlign w:val="bottom"/>
          </w:tcPr>
          <w:p>
            <w:pPr>
              <w:spacing w:after="0"/>
              <w:rPr>
                <w:sz w:val="1"/>
                <w:szCs w:val="1"/>
                <w:color w:val="auto"/>
              </w:rPr>
            </w:pPr>
          </w:p>
        </w:tc>
      </w:tr>
      <w:tr>
        <w:trPr>
          <w:trHeight w:val="230"/>
        </w:trPr>
        <w:tc>
          <w:tcPr>
            <w:tcW w:w="5640" w:type="dxa"/>
            <w:vAlign w:val="bottom"/>
          </w:tcPr>
          <w:p>
            <w:pPr>
              <w:ind w:left="360"/>
              <w:spacing w:after="0"/>
              <w:rPr>
                <w:sz w:val="20"/>
                <w:szCs w:val="20"/>
                <w:color w:val="auto"/>
              </w:rPr>
            </w:pPr>
            <w:r>
              <w:rPr>
                <w:rFonts w:ascii="Arial" w:cs="Arial" w:eastAsia="Arial" w:hAnsi="Arial"/>
                <w:sz w:val="17"/>
                <w:szCs w:val="17"/>
                <w:color w:val="auto"/>
              </w:rPr>
              <w:t>Royalties payable</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1,100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640" w:type="dxa"/>
            <w:vAlign w:val="bottom"/>
          </w:tcPr>
          <w:p>
            <w:pPr>
              <w:ind w:left="360"/>
              <w:spacing w:after="0"/>
              <w:rPr>
                <w:sz w:val="20"/>
                <w:szCs w:val="20"/>
                <w:color w:val="auto"/>
              </w:rPr>
            </w:pPr>
            <w:r>
              <w:rPr>
                <w:rFonts w:ascii="Arial" w:cs="Arial" w:eastAsia="Arial" w:hAnsi="Arial"/>
                <w:sz w:val="17"/>
                <w:szCs w:val="17"/>
                <w:color w:val="auto"/>
              </w:rPr>
              <w:t>Operating lease liabilities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(835)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(591)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(597)</w:t>
            </w:r>
          </w:p>
        </w:tc>
        <w:tc>
          <w:tcPr>
            <w:tcW w:w="0" w:type="dxa"/>
            <w:vAlign w:val="bottom"/>
          </w:tcPr>
          <w:p>
            <w:pPr>
              <w:spacing w:after="0"/>
              <w:rPr>
                <w:sz w:val="1"/>
                <w:szCs w:val="1"/>
                <w:color w:val="auto"/>
              </w:rPr>
            </w:pPr>
          </w:p>
        </w:tc>
      </w:tr>
      <w:tr>
        <w:trPr>
          <w:trHeight w:val="230"/>
        </w:trPr>
        <w:tc>
          <w:tcPr>
            <w:tcW w:w="5640" w:type="dxa"/>
            <w:vAlign w:val="bottom"/>
          </w:tcPr>
          <w:p>
            <w:pPr>
              <w:ind w:left="360"/>
              <w:spacing w:after="0"/>
              <w:rPr>
                <w:sz w:val="20"/>
                <w:szCs w:val="20"/>
                <w:color w:val="auto"/>
              </w:rPr>
            </w:pPr>
            <w:r>
              <w:rPr>
                <w:rFonts w:ascii="Arial" w:cs="Arial" w:eastAsia="Arial" w:hAnsi="Arial"/>
                <w:sz w:val="17"/>
                <w:szCs w:val="17"/>
                <w:color w:val="auto"/>
              </w:rPr>
              <w:t>Income taxes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9,643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(1,037)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31"/>
        </w:trPr>
        <w:tc>
          <w:tcPr>
            <w:tcW w:w="5640" w:type="dxa"/>
            <w:vAlign w:val="bottom"/>
          </w:tcPr>
          <w:p>
            <w:pPr>
              <w:ind w:left="360"/>
              <w:spacing w:after="0"/>
              <w:rPr>
                <w:sz w:val="20"/>
                <w:szCs w:val="20"/>
                <w:color w:val="auto"/>
              </w:rPr>
            </w:pPr>
            <w:r>
              <w:rPr>
                <w:rFonts w:ascii="Arial" w:cs="Arial" w:eastAsia="Arial" w:hAnsi="Arial"/>
                <w:sz w:val="17"/>
                <w:szCs w:val="17"/>
                <w:color w:val="auto"/>
              </w:rPr>
              <w:t>Other current liabilities</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2,427</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(960)</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1,196</w:t>
            </w:r>
          </w:p>
        </w:tc>
        <w:tc>
          <w:tcPr>
            <w:tcW w:w="0" w:type="dxa"/>
            <w:vAlign w:val="bottom"/>
          </w:tcPr>
          <w:p>
            <w:pPr>
              <w:spacing w:after="0"/>
              <w:rPr>
                <w:sz w:val="1"/>
                <w:szCs w:val="1"/>
                <w:color w:val="auto"/>
              </w:rPr>
            </w:pPr>
          </w:p>
        </w:tc>
      </w:tr>
      <w:tr>
        <w:trPr>
          <w:trHeight w:val="210"/>
        </w:trPr>
        <w:tc>
          <w:tcPr>
            <w:tcW w:w="5640" w:type="dxa"/>
            <w:vAlign w:val="bottom"/>
          </w:tcPr>
          <w:p>
            <w:pPr>
              <w:ind w:left="460"/>
              <w:spacing w:after="0"/>
              <w:rPr>
                <w:sz w:val="20"/>
                <w:szCs w:val="20"/>
                <w:color w:val="auto"/>
              </w:rPr>
            </w:pPr>
            <w:r>
              <w:rPr>
                <w:rFonts w:ascii="Arial" w:cs="Arial" w:eastAsia="Arial" w:hAnsi="Arial"/>
                <w:sz w:val="17"/>
                <w:szCs w:val="17"/>
                <w:color w:val="auto"/>
              </w:rPr>
              <w:t>Net cash used in operating activities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(122,203)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(50,222)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(59,862)</w:t>
            </w:r>
          </w:p>
        </w:tc>
        <w:tc>
          <w:tcPr>
            <w:tcW w:w="0" w:type="dxa"/>
            <w:vAlign w:val="bottom"/>
          </w:tcPr>
          <w:p>
            <w:pPr>
              <w:spacing w:after="0"/>
              <w:rPr>
                <w:sz w:val="1"/>
                <w:szCs w:val="1"/>
                <w:color w:val="auto"/>
              </w:rPr>
            </w:pPr>
          </w:p>
        </w:tc>
      </w:tr>
      <w:tr>
        <w:trPr>
          <w:trHeight w:val="228"/>
        </w:trPr>
        <w:tc>
          <w:tcPr>
            <w:tcW w:w="564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640" w:type="dxa"/>
            <w:vAlign w:val="bottom"/>
          </w:tcPr>
          <w:p>
            <w:pPr>
              <w:ind w:left="240"/>
              <w:spacing w:after="0"/>
              <w:rPr>
                <w:sz w:val="20"/>
                <w:szCs w:val="20"/>
                <w:color w:val="auto"/>
              </w:rPr>
            </w:pPr>
            <w:r>
              <w:rPr>
                <w:rFonts w:ascii="Arial" w:cs="Arial" w:eastAsia="Arial" w:hAnsi="Arial"/>
                <w:sz w:val="17"/>
                <w:szCs w:val="17"/>
                <w:color w:val="auto"/>
              </w:rPr>
              <w:t>Purchases of furniture and equipment</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(580)</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0"/>
        </w:trPr>
        <w:tc>
          <w:tcPr>
            <w:tcW w:w="5640" w:type="dxa"/>
            <w:vAlign w:val="bottom"/>
          </w:tcPr>
          <w:p>
            <w:pPr>
              <w:ind w:left="360"/>
              <w:spacing w:after="0"/>
              <w:rPr>
                <w:sz w:val="20"/>
                <w:szCs w:val="20"/>
                <w:color w:val="auto"/>
              </w:rPr>
            </w:pPr>
            <w:r>
              <w:rPr>
                <w:rFonts w:ascii="Arial" w:cs="Arial" w:eastAsia="Arial" w:hAnsi="Arial"/>
                <w:sz w:val="17"/>
                <w:szCs w:val="17"/>
                <w:color w:val="auto"/>
              </w:rPr>
              <w:t>Net cash used in investing activities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(580)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8"/>
        </w:trPr>
        <w:tc>
          <w:tcPr>
            <w:tcW w:w="564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640" w:type="dxa"/>
            <w:vAlign w:val="bottom"/>
          </w:tcPr>
          <w:p>
            <w:pPr>
              <w:ind w:left="240"/>
              <w:spacing w:after="0"/>
              <w:rPr>
                <w:sz w:val="20"/>
                <w:szCs w:val="20"/>
                <w:color w:val="auto"/>
              </w:rPr>
            </w:pPr>
            <w:r>
              <w:rPr>
                <w:rFonts w:ascii="Arial" w:cs="Arial" w:eastAsia="Arial" w:hAnsi="Arial"/>
                <w:sz w:val="17"/>
                <w:szCs w:val="17"/>
                <w:color w:val="auto"/>
              </w:rPr>
              <w:t>Proceeds from issuance of ordinary shares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97,496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56,909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149,797</w:t>
            </w:r>
          </w:p>
        </w:tc>
        <w:tc>
          <w:tcPr>
            <w:tcW w:w="0" w:type="dxa"/>
            <w:vAlign w:val="bottom"/>
          </w:tcPr>
          <w:p>
            <w:pPr>
              <w:spacing w:after="0"/>
              <w:rPr>
                <w:sz w:val="1"/>
                <w:szCs w:val="1"/>
                <w:color w:val="auto"/>
              </w:rPr>
            </w:pPr>
          </w:p>
        </w:tc>
      </w:tr>
      <w:tr>
        <w:trPr>
          <w:trHeight w:val="186"/>
        </w:trPr>
        <w:tc>
          <w:tcPr>
            <w:tcW w:w="5640" w:type="dxa"/>
            <w:vAlign w:val="bottom"/>
          </w:tcPr>
          <w:p>
            <w:pPr>
              <w:ind w:left="240"/>
              <w:spacing w:after="0" w:line="185" w:lineRule="exact"/>
              <w:rPr>
                <w:sz w:val="20"/>
                <w:szCs w:val="20"/>
                <w:color w:val="auto"/>
              </w:rPr>
            </w:pPr>
            <w:r>
              <w:rPr>
                <w:rFonts w:ascii="Arial" w:cs="Arial" w:eastAsia="Arial" w:hAnsi="Arial"/>
                <w:sz w:val="17"/>
                <w:szCs w:val="17"/>
                <w:color w:val="auto"/>
              </w:rPr>
              <w:t>Payment of offering costs in connection with the issuance of ordinary</w:t>
            </w:r>
          </w:p>
        </w:tc>
        <w:tc>
          <w:tcPr>
            <w:tcW w:w="2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(9,533)</w:t>
            </w:r>
          </w:p>
        </w:tc>
        <w:tc>
          <w:tcPr>
            <w:tcW w:w="0" w:type="dxa"/>
            <w:vAlign w:val="bottom"/>
          </w:tcPr>
          <w:p>
            <w:pPr>
              <w:spacing w:after="0"/>
              <w:rPr>
                <w:sz w:val="1"/>
                <w:szCs w:val="1"/>
                <w:color w:val="auto"/>
              </w:rPr>
            </w:pPr>
          </w:p>
        </w:tc>
      </w:tr>
      <w:tr>
        <w:trPr>
          <w:trHeight w:val="138"/>
        </w:trPr>
        <w:tc>
          <w:tcPr>
            <w:tcW w:w="5640" w:type="dxa"/>
            <w:vAlign w:val="bottom"/>
            <w:vMerge w:val="restart"/>
          </w:tcPr>
          <w:p>
            <w:pPr>
              <w:ind w:left="240"/>
              <w:spacing w:after="0"/>
              <w:rPr>
                <w:sz w:val="20"/>
                <w:szCs w:val="20"/>
                <w:color w:val="auto"/>
              </w:rPr>
            </w:pPr>
            <w:r>
              <w:rPr>
                <w:rFonts w:ascii="Arial" w:cs="Arial" w:eastAsia="Arial" w:hAnsi="Arial"/>
                <w:sz w:val="17"/>
                <w:szCs w:val="17"/>
                <w:color w:val="auto"/>
              </w:rPr>
              <w:t>shares</w:t>
            </w: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6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40"/>
              <w:spacing w:after="0"/>
              <w:rPr>
                <w:sz w:val="20"/>
                <w:szCs w:val="20"/>
                <w:color w:val="auto"/>
              </w:rPr>
            </w:pPr>
            <w:r>
              <w:rPr>
                <w:rFonts w:ascii="Arial" w:cs="Arial" w:eastAsia="Arial" w:hAnsi="Arial"/>
                <w:sz w:val="17"/>
                <w:szCs w:val="17"/>
                <w:color w:val="auto"/>
              </w:rPr>
              <w:t>Proceeds from Term Loans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122,500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9,996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28"/>
        </w:trPr>
        <w:tc>
          <w:tcPr>
            <w:tcW w:w="5640" w:type="dxa"/>
            <w:vAlign w:val="bottom"/>
          </w:tcPr>
          <w:p>
            <w:pPr>
              <w:ind w:left="240"/>
              <w:spacing w:after="0"/>
              <w:rPr>
                <w:sz w:val="20"/>
                <w:szCs w:val="20"/>
                <w:color w:val="auto"/>
              </w:rPr>
            </w:pPr>
            <w:r>
              <w:rPr>
                <w:rFonts w:ascii="Arial" w:cs="Arial" w:eastAsia="Arial" w:hAnsi="Arial"/>
                <w:sz w:val="17"/>
                <w:szCs w:val="17"/>
                <w:color w:val="auto"/>
              </w:rPr>
              <w:t>Proceeds from RIPSA</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100,000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4"/>
        </w:trPr>
        <w:tc>
          <w:tcPr>
            <w:tcW w:w="5640" w:type="dxa"/>
            <w:vAlign w:val="bottom"/>
          </w:tcPr>
          <w:p>
            <w:pPr>
              <w:ind w:left="240"/>
              <w:spacing w:after="0" w:line="174" w:lineRule="exact"/>
              <w:rPr>
                <w:sz w:val="20"/>
                <w:szCs w:val="20"/>
                <w:color w:val="auto"/>
              </w:rPr>
            </w:pPr>
            <w:r>
              <w:rPr>
                <w:rFonts w:ascii="Arial" w:cs="Arial" w:eastAsia="Arial" w:hAnsi="Arial"/>
                <w:sz w:val="17"/>
                <w:szCs w:val="17"/>
                <w:color w:val="auto"/>
                <w:w w:val="99"/>
              </w:rPr>
              <w:t>Proceeds from 2023 Term Loan, net of repayment of Oxford Term Loan</w:t>
            </w: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28,712</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38"/>
        </w:trPr>
        <w:tc>
          <w:tcPr>
            <w:tcW w:w="5640" w:type="dxa"/>
            <w:vAlign w:val="bottom"/>
            <w:vMerge w:val="restart"/>
          </w:tcPr>
          <w:p>
            <w:pPr>
              <w:ind w:left="240"/>
              <w:spacing w:after="0"/>
              <w:rPr>
                <w:sz w:val="20"/>
                <w:szCs w:val="20"/>
                <w:color w:val="auto"/>
              </w:rPr>
            </w:pPr>
            <w:r>
              <w:rPr>
                <w:rFonts w:ascii="Arial" w:cs="Arial" w:eastAsia="Arial" w:hAnsi="Arial"/>
                <w:sz w:val="17"/>
                <w:szCs w:val="17"/>
                <w:color w:val="auto"/>
              </w:rPr>
              <w:t>and debt issuance costs incurred</w:t>
            </w: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56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5640" w:type="dxa"/>
            <w:vAlign w:val="bottom"/>
          </w:tcPr>
          <w:p>
            <w:pPr>
              <w:ind w:left="240"/>
              <w:spacing w:after="0"/>
              <w:rPr>
                <w:sz w:val="20"/>
                <w:szCs w:val="20"/>
                <w:color w:val="auto"/>
              </w:rPr>
            </w:pPr>
            <w:r>
              <w:rPr>
                <w:rFonts w:ascii="Arial" w:cs="Arial" w:eastAsia="Arial" w:hAnsi="Arial"/>
                <w:sz w:val="17"/>
                <w:szCs w:val="17"/>
                <w:color w:val="auto"/>
              </w:rPr>
              <w:t>Payment of debt issuance costs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(6,915)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30"/>
        </w:trPr>
        <w:tc>
          <w:tcPr>
            <w:tcW w:w="5640" w:type="dxa"/>
            <w:vAlign w:val="bottom"/>
          </w:tcPr>
          <w:p>
            <w:pPr>
              <w:ind w:left="240"/>
              <w:spacing w:after="0"/>
              <w:rPr>
                <w:sz w:val="20"/>
                <w:szCs w:val="20"/>
                <w:color w:val="auto"/>
              </w:rPr>
            </w:pPr>
            <w:r>
              <w:rPr>
                <w:rFonts w:ascii="Arial" w:cs="Arial" w:eastAsia="Arial" w:hAnsi="Arial"/>
                <w:sz w:val="17"/>
                <w:szCs w:val="17"/>
                <w:color w:val="auto"/>
              </w:rPr>
              <w:t>Repayment of Term Loans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(52,256)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230"/>
        </w:trPr>
        <w:tc>
          <w:tcPr>
            <w:tcW w:w="5640" w:type="dxa"/>
            <w:vAlign w:val="bottom"/>
          </w:tcPr>
          <w:p>
            <w:pPr>
              <w:ind w:left="240"/>
              <w:spacing w:after="0"/>
              <w:rPr>
                <w:sz w:val="20"/>
                <w:szCs w:val="20"/>
                <w:color w:val="auto"/>
              </w:rPr>
            </w:pPr>
            <w:r>
              <w:rPr>
                <w:rFonts w:ascii="Arial" w:cs="Arial" w:eastAsia="Arial" w:hAnsi="Arial"/>
                <w:sz w:val="17"/>
                <w:szCs w:val="17"/>
                <w:color w:val="auto"/>
              </w:rPr>
              <w:t>SVB Term Loan repayment costs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(850)</w:t>
            </w:r>
          </w:p>
        </w:tc>
        <w:tc>
          <w:tcPr>
            <w:tcW w:w="0" w:type="dxa"/>
            <w:vAlign w:val="bottom"/>
          </w:tcPr>
          <w:p>
            <w:pPr>
              <w:spacing w:after="0"/>
              <w:rPr>
                <w:sz w:val="1"/>
                <w:szCs w:val="1"/>
                <w:color w:val="auto"/>
              </w:rPr>
            </w:pPr>
          </w:p>
        </w:tc>
      </w:tr>
      <w:tr>
        <w:trPr>
          <w:trHeight w:val="230"/>
        </w:trPr>
        <w:tc>
          <w:tcPr>
            <w:tcW w:w="5640" w:type="dxa"/>
            <w:vAlign w:val="bottom"/>
          </w:tcPr>
          <w:p>
            <w:pPr>
              <w:ind w:left="240"/>
              <w:spacing w:after="0"/>
              <w:rPr>
                <w:sz w:val="20"/>
                <w:szCs w:val="20"/>
                <w:color w:val="auto"/>
              </w:rPr>
            </w:pPr>
            <w:r>
              <w:rPr>
                <w:rFonts w:ascii="Arial" w:cs="Arial" w:eastAsia="Arial" w:hAnsi="Arial"/>
                <w:sz w:val="17"/>
                <w:szCs w:val="17"/>
                <w:color w:val="auto"/>
              </w:rPr>
              <w:t>Payments of withholding taxes from share-based awards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(15,454)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(4,685)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(4,723)</w:t>
            </w:r>
          </w:p>
        </w:tc>
        <w:tc>
          <w:tcPr>
            <w:tcW w:w="0" w:type="dxa"/>
            <w:vAlign w:val="bottom"/>
          </w:tcPr>
          <w:p>
            <w:pPr>
              <w:spacing w:after="0"/>
              <w:rPr>
                <w:sz w:val="1"/>
                <w:szCs w:val="1"/>
                <w:color w:val="auto"/>
              </w:rPr>
            </w:pPr>
          </w:p>
        </w:tc>
      </w:tr>
      <w:tr>
        <w:trPr>
          <w:trHeight w:val="231"/>
        </w:trPr>
        <w:tc>
          <w:tcPr>
            <w:tcW w:w="5640" w:type="dxa"/>
            <w:vAlign w:val="bottom"/>
          </w:tcPr>
          <w:p>
            <w:pPr>
              <w:ind w:left="240"/>
              <w:spacing w:after="0"/>
              <w:rPr>
                <w:sz w:val="20"/>
                <w:szCs w:val="20"/>
                <w:color w:val="auto"/>
              </w:rPr>
            </w:pPr>
            <w:r>
              <w:rPr>
                <w:rFonts w:ascii="Arial" w:cs="Arial" w:eastAsia="Arial" w:hAnsi="Arial"/>
                <w:sz w:val="17"/>
                <w:szCs w:val="17"/>
                <w:color w:val="auto"/>
              </w:rPr>
              <w:t>Proceeds from exercise of share options</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5,408</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1,949</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1,372</w:t>
            </w:r>
          </w:p>
        </w:tc>
        <w:tc>
          <w:tcPr>
            <w:tcW w:w="0" w:type="dxa"/>
            <w:vAlign w:val="bottom"/>
          </w:tcPr>
          <w:p>
            <w:pPr>
              <w:spacing w:after="0"/>
              <w:rPr>
                <w:sz w:val="1"/>
                <w:szCs w:val="1"/>
                <w:color w:val="auto"/>
              </w:rPr>
            </w:pPr>
          </w:p>
        </w:tc>
      </w:tr>
      <w:tr>
        <w:trPr>
          <w:trHeight w:val="210"/>
        </w:trPr>
        <w:tc>
          <w:tcPr>
            <w:tcW w:w="5640" w:type="dxa"/>
            <w:vAlign w:val="bottom"/>
          </w:tcPr>
          <w:p>
            <w:pPr>
              <w:ind w:left="360"/>
              <w:spacing w:after="0"/>
              <w:rPr>
                <w:sz w:val="20"/>
                <w:szCs w:val="20"/>
                <w:color w:val="auto"/>
              </w:rPr>
            </w:pPr>
            <w:r>
              <w:rPr>
                <w:rFonts w:ascii="Arial" w:cs="Arial" w:eastAsia="Arial" w:hAnsi="Arial"/>
                <w:sz w:val="17"/>
                <w:szCs w:val="17"/>
                <w:color w:val="auto"/>
              </w:rPr>
              <w:t>Net cash provided by financing activities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250,779</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92,869</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140,818</w:t>
            </w:r>
          </w:p>
        </w:tc>
        <w:tc>
          <w:tcPr>
            <w:tcW w:w="0" w:type="dxa"/>
            <w:vAlign w:val="bottom"/>
          </w:tcPr>
          <w:p>
            <w:pPr>
              <w:spacing w:after="0"/>
              <w:rPr>
                <w:sz w:val="1"/>
                <w:szCs w:val="1"/>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7"/>
                <w:szCs w:val="17"/>
                <w:b w:val="1"/>
                <w:bCs w:val="1"/>
                <w:color w:val="auto"/>
              </w:rPr>
              <w:t>Effect of exchange rate changes on cash and cash equivalents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1,298</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(1,480)</w:t>
            </w:r>
          </w:p>
        </w:tc>
        <w:tc>
          <w:tcPr>
            <w:tcW w:w="0" w:type="dxa"/>
            <w:vAlign w:val="bottom"/>
          </w:tcPr>
          <w:p>
            <w:pPr>
              <w:spacing w:after="0"/>
              <w:rPr>
                <w:sz w:val="1"/>
                <w:szCs w:val="1"/>
                <w:color w:val="auto"/>
              </w:rPr>
            </w:pPr>
          </w:p>
        </w:tc>
      </w:tr>
      <w:tr>
        <w:trPr>
          <w:trHeight w:val="210"/>
        </w:trPr>
        <w:tc>
          <w:tcPr>
            <w:tcW w:w="5640" w:type="dxa"/>
            <w:vAlign w:val="bottom"/>
          </w:tcPr>
          <w:p>
            <w:pPr>
              <w:ind w:left="360"/>
              <w:spacing w:after="0"/>
              <w:rPr>
                <w:sz w:val="20"/>
                <w:szCs w:val="20"/>
                <w:color w:val="auto"/>
              </w:rPr>
            </w:pPr>
            <w:r>
              <w:rPr>
                <w:rFonts w:ascii="Arial" w:cs="Arial" w:eastAsia="Arial" w:hAnsi="Arial"/>
                <w:sz w:val="17"/>
                <w:szCs w:val="17"/>
                <w:color w:val="auto"/>
              </w:rPr>
              <w:t>Net change in cash and cash equivalents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127,985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43,945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79,447</w:t>
            </w:r>
          </w:p>
        </w:tc>
        <w:tc>
          <w:tcPr>
            <w:tcW w:w="0" w:type="dxa"/>
            <w:vAlign w:val="bottom"/>
          </w:tcPr>
          <w:p>
            <w:pPr>
              <w:spacing w:after="0"/>
              <w:rPr>
                <w:sz w:val="1"/>
                <w:szCs w:val="1"/>
                <w:color w:val="auto"/>
              </w:rPr>
            </w:pPr>
          </w:p>
        </w:tc>
      </w:tr>
      <w:tr>
        <w:trPr>
          <w:trHeight w:val="231"/>
        </w:trPr>
        <w:tc>
          <w:tcPr>
            <w:tcW w:w="5640" w:type="dxa"/>
            <w:vAlign w:val="bottom"/>
          </w:tcPr>
          <w:p>
            <w:pPr>
              <w:ind w:left="240"/>
              <w:spacing w:after="0"/>
              <w:rPr>
                <w:sz w:val="20"/>
                <w:szCs w:val="20"/>
                <w:color w:val="auto"/>
              </w:rPr>
            </w:pPr>
            <w:r>
              <w:rPr>
                <w:rFonts w:ascii="Arial" w:cs="Arial" w:eastAsia="Arial" w:hAnsi="Arial"/>
                <w:sz w:val="17"/>
                <w:szCs w:val="17"/>
                <w:b w:val="1"/>
                <w:bCs w:val="1"/>
                <w:color w:val="auto"/>
              </w:rPr>
              <w:t>Cash and cash equivalents at beginning of the year</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271,772</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227,827</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148,380</w:t>
            </w:r>
          </w:p>
        </w:tc>
        <w:tc>
          <w:tcPr>
            <w:tcW w:w="0" w:type="dxa"/>
            <w:vAlign w:val="bottom"/>
          </w:tcPr>
          <w:p>
            <w:pPr>
              <w:spacing w:after="0"/>
              <w:rPr>
                <w:sz w:val="1"/>
                <w:szCs w:val="1"/>
                <w:color w:val="auto"/>
              </w:rPr>
            </w:pPr>
          </w:p>
        </w:tc>
      </w:tr>
      <w:tr>
        <w:trPr>
          <w:trHeight w:val="191"/>
        </w:trPr>
        <w:tc>
          <w:tcPr>
            <w:tcW w:w="5640" w:type="dxa"/>
            <w:vAlign w:val="bottom"/>
          </w:tcPr>
          <w:p>
            <w:pPr>
              <w:ind w:left="240"/>
              <w:spacing w:after="0" w:line="191" w:lineRule="exact"/>
              <w:rPr>
                <w:sz w:val="20"/>
                <w:szCs w:val="20"/>
                <w:color w:val="auto"/>
              </w:rPr>
            </w:pPr>
            <w:r>
              <w:rPr>
                <w:rFonts w:ascii="Arial" w:cs="Arial" w:eastAsia="Arial" w:hAnsi="Arial"/>
                <w:sz w:val="17"/>
                <w:szCs w:val="17"/>
                <w:b w:val="1"/>
                <w:bCs w:val="1"/>
                <w:color w:val="auto"/>
              </w:rPr>
              <w:t>Cash and cash equivalents at end of the year</w:t>
            </w:r>
          </w:p>
        </w:tc>
        <w:tc>
          <w:tcPr>
            <w:tcW w:w="260" w:type="dxa"/>
            <w:vAlign w:val="bottom"/>
            <w:tcBorders>
              <w:bottom w:val="single" w:sz="8" w:color="auto"/>
            </w:tcBorders>
          </w:tcPr>
          <w:p>
            <w:pPr>
              <w:jc w:val="right"/>
              <w:ind w:right="54"/>
              <w:spacing w:after="0" w:line="191"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399,757</w:t>
            </w:r>
          </w:p>
        </w:tc>
        <w:tc>
          <w:tcPr>
            <w:tcW w:w="60" w:type="dxa"/>
            <w:vAlign w:val="bottom"/>
          </w:tcPr>
          <w:p>
            <w:pPr>
              <w:spacing w:after="0"/>
              <w:rPr>
                <w:sz w:val="16"/>
                <w:szCs w:val="16"/>
                <w:color w:val="auto"/>
              </w:rPr>
            </w:pPr>
          </w:p>
        </w:tc>
        <w:tc>
          <w:tcPr>
            <w:tcW w:w="260" w:type="dxa"/>
            <w:vAlign w:val="bottom"/>
            <w:tcBorders>
              <w:bottom w:val="single" w:sz="8" w:color="auto"/>
            </w:tcBorders>
          </w:tcPr>
          <w:p>
            <w:pPr>
              <w:jc w:val="right"/>
              <w:ind w:right="34"/>
              <w:spacing w:after="0" w:line="191"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271,772</w:t>
            </w:r>
          </w:p>
        </w:tc>
        <w:tc>
          <w:tcPr>
            <w:tcW w:w="60" w:type="dxa"/>
            <w:vAlign w:val="bottom"/>
          </w:tcPr>
          <w:p>
            <w:pPr>
              <w:spacing w:after="0"/>
              <w:rPr>
                <w:sz w:val="16"/>
                <w:szCs w:val="16"/>
                <w:color w:val="auto"/>
              </w:rPr>
            </w:pPr>
          </w:p>
        </w:tc>
        <w:tc>
          <w:tcPr>
            <w:tcW w:w="260" w:type="dxa"/>
            <w:vAlign w:val="bottom"/>
            <w:tcBorders>
              <w:bottom w:val="single" w:sz="8" w:color="auto"/>
            </w:tcBorders>
          </w:tcPr>
          <w:p>
            <w:pPr>
              <w:jc w:val="right"/>
              <w:ind w:right="34"/>
              <w:spacing w:after="0" w:line="191"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227,827</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640" w:type="dxa"/>
            <w:vAlign w:val="bottom"/>
          </w:tcPr>
          <w:p>
            <w:pPr>
              <w:ind w:left="240"/>
              <w:spacing w:after="0"/>
              <w:rPr>
                <w:sz w:val="20"/>
                <w:szCs w:val="20"/>
                <w:color w:val="auto"/>
              </w:rPr>
            </w:pPr>
            <w:r>
              <w:rPr>
                <w:rFonts w:ascii="Arial" w:cs="Arial" w:eastAsia="Arial" w:hAnsi="Arial"/>
                <w:sz w:val="17"/>
                <w:szCs w:val="17"/>
                <w:color w:val="auto"/>
              </w:rPr>
              <w:t>Income taxes paid</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642</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1,245</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2"/>
        </w:trPr>
        <w:tc>
          <w:tcPr>
            <w:tcW w:w="5640" w:type="dxa"/>
            <w:vAlign w:val="bottom"/>
          </w:tcPr>
          <w:p>
            <w:pPr>
              <w:ind w:left="240"/>
              <w:spacing w:after="0"/>
              <w:rPr>
                <w:sz w:val="20"/>
                <w:szCs w:val="20"/>
                <w:color w:val="auto"/>
              </w:rPr>
            </w:pPr>
            <w:r>
              <w:rPr>
                <w:rFonts w:ascii="Arial" w:cs="Arial" w:eastAsia="Arial" w:hAnsi="Arial"/>
                <w:sz w:val="17"/>
                <w:szCs w:val="17"/>
                <w:color w:val="auto"/>
              </w:rPr>
              <w:t>Interest paid</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10,330</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2,006</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-6955790</wp:posOffset>
            </wp:positionV>
            <wp:extent cx="5770245" cy="6962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5770245" cy="696277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020"/>
          </w:cols>
          <w:pgMar w:left="1440" w:top="327"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F-11</w:t>
      </w:r>
    </w:p>
    <w:p>
      <w:pPr>
        <w:sectPr>
          <w:pgSz w:w="11880" w:h="15480" w:orient="portrait"/>
          <w:cols w:equalWidth="0" w:num="1">
            <w:col w:w="9020"/>
          </w:cols>
          <w:pgMar w:left="1440" w:top="327" w:right="1420" w:bottom="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1 - Organization and description of business operations</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Verona Pharma plc is incorporated and domiciled in the United Kingdom. Verona Pharma plc has one wholly-owned subsidiary, Verona Pharma, Inc., a Delaware corporation (together with Verona Pharma plc, the “Company”). The address of the registered office is 1 Central Square, Cardiff, CF10 1FS, United Kingdom.</w:t>
      </w:r>
    </w:p>
    <w:p>
      <w:pPr>
        <w:spacing w:after="0" w:line="51"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The Company is a biopharmaceutical company focused on developing and commercializing innovative therapeutics for the treatment of respiratory diseases with significant unmet medical needs. The Company’s American Depositary Shares (“ADSs”) are listed on the Nasdaq Global Market (“Nasdaq”) and trade under the symbol “VRNA”.</w:t>
      </w:r>
    </w:p>
    <w:p>
      <w:pPr>
        <w:spacing w:after="0" w:line="3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On June 26, 2024, the U.S. Food and Drug Administration (“FDA”) approved Ohtuvayre (ensifentrine) for the maintenance treatment of chronic obstructive pulmonary disease (“COPD”) in adult patients and the Company launched Ohtuvayre in the U.S. through an exclusive network of accredited specialty pharmacies in August 2024. Ohtuvayre is the Company’s first commercial product and the first inhaled therapy with a novel mechanism of action available for the maintenance treatment of COPD in more than 20 years.</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Ohtuvayre is a first-in-class selective dual inhibitor of the enzymes phosphodiesterase 3 and phosphodiesterase 4 that combines bronchodilator and non-steroidal anti-inflammatory effects in one molecule. Ohtuvayre is delivered directly to the lungs through a standard jet nebulizer without the need for high inspiratory flow rates or complex hand-breath coordination.</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Pipeline</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The Company is developing a fixed-dose combination formulation with ensifentrine and glycopyrrolate, a Long-Acting Muscarinic Antagonist (“LAMA”), for the maintenance treatment of patients with COPD via delivery in a nebulizer. The Company has filed patent applications in multiple jurisdictions including the U.S. In the third quarter of 2024, the Company initiated a Phase 2 dose-ranging trial.</w:t>
      </w:r>
    </w:p>
    <w:p>
      <w:pPr>
        <w:spacing w:after="0" w:line="7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Additionally, based on the clinical results of ensifentrine observed in patients with COPD, including improvements in lung function and symptoms of cough and sputum, the Company believes ensifentrine could have the potential to treat patients with non-cystic fibrosis bronchiectasis (“bronchiectasis”). In the third quarter of 2024, the Company commenced a Phase 2 clinical trial to assess the efficacy and safety of nebulized ensifentrine in patients with bronchiectasis.</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Liquidity</w:t>
      </w:r>
    </w:p>
    <w:p>
      <w:pPr>
        <w:spacing w:after="0" w:line="11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has incurred recurring losses and negative cashflows from operations since inception, and has an accumulated deficit of $562.4 million as of December 31, 2024. The Company expects to incur additional losses and negative cash flows from operations until its products reach commercial profitability, if at all.</w:t>
      </w:r>
    </w:p>
    <w:p>
      <w:pPr>
        <w:spacing w:after="0" w:line="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expects that its cash and cash equivalents as of December 31, 2024, will be sufficient to fund its operating expenses and capital expenditure requirements for at least the next 12 months from the date of issuance of the Consolidated Financial Statements. Additionally, the Company may enter into out-licensing transactions from time to time but there can be no assurance that the Company can secure such transactions in the future. Accordingly, the Company may need to obtain additional funds to achieve its business objectives including to further advance clinical and regulatory activities. Any such funding will need to be obtained through public or private financings, debt financing, collaboration or licensing arrangements or other arrangements. However, there is no guarantee the Company will be successful in securing additional capital on acceptable terms, or at all.</w:t>
      </w:r>
    </w:p>
    <w:p>
      <w:pPr>
        <w:spacing w:after="0" w:line="5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August 2022, the Company completed an upsized public offering of 14,260,000 ADSs, each representing eight ordinary shares of the Company, nominal value £0.05 per share, at a price to the public of $10.50 per ADS, which includes the exercise in full by the underwriters of their option to purchase an additional 1,860,000 ADSs. The aggregate net proceeds from the offering were $140.2 million after deducting underwriting discounts and commissions and estimated offering expenses payable.</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March 2021, the Company entered into an Open Market Sale Agreement (the “Sale Agreement”) with Jefferies LLC (“Jefferies”) pursuant to which the Company may sell its ordinary shares in the form of ADSs, from time-to-time, through an “at the market” equity offering program under which Jefferies acts as sales agent (the “ATM Program”). Jefferies is entitled to a commission at a rate of up to 3.0% of the gross proceeds.</w:t>
      </w:r>
    </w:p>
    <w:p>
      <w:pPr>
        <w:spacing w:after="0" w:line="57"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During the year ended December 31, 2023, the Company sold 20,321,384 ordinary shares (equivalent to 2,540,173 ADSs) under the ATM Program, at an average price of $2.88 per share (equivalent to $23.08 per ADS), raising aggregate net proceeds of $56.9 million after deducting issuance costs.</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F-12</w:t>
      </w:r>
    </w:p>
    <w:p>
      <w:pPr>
        <w:sectPr>
          <w:pgSz w:w="11880" w:h="15480" w:orient="portrait"/>
          <w:cols w:equalWidth="0" w:num="1">
            <w:col w:w="9000"/>
          </w:cols>
          <w:pgMar w:left="1440" w:top="327" w:right="1440" w:bottom="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In March 2023, the Company amended the Sale Agreement and filed a registration statement on Form S-3ASR registering the issuance and sale of up to $200.0 million of ordinary shares in the form of ADSs under the ATM Program.</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During the year ended December 31, 2024, the Company sold 20,329,832 ordinary shares (equivalent to 2,541,229 ADSs) under the ATM Program, at an average price of $4.92 per share (equivalent to $39.35 per ADS), raising aggregate net proceeds of $97.5 million after deducting issuance costs. As of December 31, 2024, there remained $100.0 million of ordinary shares, in the form of ADSs, available for sale under the ATM Program.</w:t>
      </w:r>
    </w:p>
    <w:p>
      <w:pPr>
        <w:spacing w:after="0" w:line="4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May 9, 2024, the Company entered into a term loan facility (the “2024 Term Loans” or “2024 Loan Agreement”) of up to $400.0 million with Oaktree Fund Administration, LLC, a Delaware limited liability company, as administrative agent, and certain funds managed by each of Oaktree Capital Management, L.P. and OCM Life Sciences Portfolio LP party thereto (collectively, the “2024 Lenders”). At closing, the Company received net proceeds of $52.8 million and up to four additional advances of an aggregate $345.0 million were available subject to meeting certain commercial milestones and other specified conditions. On June 28, 2024, the Company received net proceeds of $68.6 million related to the second tranche of the 2024 Term Loans, which was available upon FDA approval for Ohtuvayre, as well as proceeds from the $100.0 million first tranche of our revenue interest purchase and sale agreement (the “RIPSA”). Refer to Note 5 - Debt to the Consolidated Financial Statements for additional information regarding the 2024 Term Loans and the RIPSA.</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F-13</w:t>
      </w:r>
    </w:p>
    <w:p>
      <w:pPr>
        <w:sectPr>
          <w:pgSz w:w="11880" w:h="15480" w:orient="portrait"/>
          <w:cols w:equalWidth="0" w:num="1">
            <w:col w:w="9000"/>
          </w:cols>
          <w:pgMar w:left="1440" w:top="327" w:right="1440" w:bottom="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2 - Basis of presentation and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presentation and consolidation</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Consolidated Financial Statements include the accounts of Verona Pharma plc and its wholly-owned subsidiary Verona Pharma, Inc. All inter-company balances and transactions have been eliminated.</w:t>
      </w:r>
    </w:p>
    <w:p>
      <w:pPr>
        <w:spacing w:after="0" w:line="52" w:lineRule="exact"/>
        <w:rPr>
          <w:sz w:val="20"/>
          <w:szCs w:val="20"/>
          <w:color w:val="auto"/>
        </w:rPr>
      </w:pPr>
    </w:p>
    <w:p>
      <w:pPr>
        <w:jc w:val="both"/>
        <w:spacing w:after="0" w:line="327"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("U.S. GAAP") and the following accounting policies have been consistently applied.</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Segment reporting</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(“CODM”), or decision-making group, in deciding how to allocate resources and in assessing performance. The Company has determined that the Chief Executive Officer (“CEO”) is the Company’s CODM as the CEO makes decisions as it relates to allocation of resources and key market strategies. The Company has one operating and reportable segment, the development and commercialization of pharmaceutical products. The CODM uses consolidated Net loss to assess financial performance and allocate resources. The significant expenses within Net Loss are separately presented on the Company’s Consolidated Statements of Operations and Comprehensive Loss.</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1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The preparation of Consolidated Financial Statements in conformity with U.S. GAAP requires management to make estimates and assumptions that affect the reported amounts of assets,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accrual and prepayment of research and development expenses, gross-to-net revenue adjustments, amortization and carrying value of the RIPSA, and the fair value of share-based compensation. Estimates are periodically reviewed in light of changes in circumstances, facts and experience. Changes in estimates are recorded in the period in which they become known, and actual results could differ from the Company’s estimates.</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Business combinations</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applies the acquisition method to account for business combinations. The consideration transferred for the acquisition of a subsidiary is the fair value of the assets transferred, the liabilities incurred to the former owners of the acquiree and the equity interests issued by the Company. The consideration transferred includes the fair value of any asset or liability resulting from a contingent consideration arrangement. The excess of the cost of acquisition over the fair value of the Company's share of the identifiable net assets acquired is recorded as goodwill.</w:t>
      </w:r>
    </w:p>
    <w:p>
      <w:pPr>
        <w:spacing w:after="0" w:line="48"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Identifiable assets acquired and liabilities and contingent liabilities assumed in a business combination are measured initially at their fair values at the acquisition date. Acquisition-related costs are expensed as incurred and included in administrative expenses.</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cash equivalents, and restricted cash</w:t>
      </w:r>
    </w:p>
    <w:p>
      <w:pPr>
        <w:spacing w:after="0" w:line="110"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The Company considers all highly liquid investments purchased with original maturities of ninety days or less at acquisition to be cash equivalents. Cash and cash equivalents includes deposits held at call with banks, and in money market funds investing in U.S. and U.K. government debt and liquid securities from highly rated institutions.</w:t>
      </w:r>
    </w:p>
    <w:p>
      <w:pPr>
        <w:spacing w:after="0" w:line="33"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Under the RIPSA agreement, the Company is required to maintain 4.5% of cash received from customers in a dedicated account. This balance is included in cash and cash equivalents on the Company's balance sheet. Restricted cash totaled $0.8 million as of December 31, 2024.</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Inventory, including Pre-Launch Inventory</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The Company values its inventory at the lower of actual cost or net realizable value. The Company determines the cost of its inventory, which includes amounts related to materials and manufacturing overhead, on a first-in, first-out basis. Inventory expected to be utilized more than one year from the balance sheet is classified as Inventory, long-term in the Consolidated Balance Sheets.</w:t>
      </w:r>
    </w:p>
    <w:p>
      <w:pPr>
        <w:spacing w:after="0" w:line="72"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Prior to obtaining initial regulatory approval for Ohtuvayre, the Company expensed costs relating to production of pre-launch inventory as research and development (“R&amp;D”) expense in its Consolidated Statements of Operations and Comprehensive Loss in the period incurred. Inventory acquired and the related costs after June 26, 2024, the</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F-14</w:t>
      </w:r>
    </w:p>
    <w:p>
      <w:pPr>
        <w:sectPr>
          <w:pgSz w:w="11880" w:h="15480" w:orient="portrait"/>
          <w:cols w:equalWidth="0" w:num="1">
            <w:col w:w="9000"/>
          </w:cols>
          <w:pgMar w:left="1440" w:top="327" w:right="1440" w:bottom="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date of the FDA’s approval of Ohtuvayre, are capitalized. Products used in clinical trials are expensed as Research and development expense in the Statements of Operations and Comprehensive Loss.</w:t>
      </w:r>
    </w:p>
    <w:p>
      <w:pPr>
        <w:spacing w:after="0" w:line="5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performs an assessment of the recoverability of capitalized inventory during each reporting period, and writes down any excess or obsolete inventory to its net realizable value in the period in which the impairment is identified through Cost of sales in the Consolidated Statements of Operations and Comprehensive Loss.</w:t>
      </w:r>
    </w:p>
    <w:p>
      <w:pPr>
        <w:spacing w:after="0" w:line="5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Additionally, the Company’s product is subject to strict quality control and monitoring that is performed throughout the manufacturing process, including release of work-in-process to finished goods. In the event that certain batches or units of product do not meet quality specifications, the Company will record a write-down of any potential unmarketable inventory to its estimated net realizable value and record the expense as Cost of sales in the Consolidated Statements of Operations and Comprehensive Loss. No inventory was written down as a result of excess, obsolescence, scrap, or other reasons during the year ended December 31, 2024. Raw materials and finished goods balances were $0.2 million and $8.0 million respectively as of December 31, 2024 with no such balances as of December 31, 2023.</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Equity interest</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part of the Nuance Agreement, the Company received an equity interest in Nuance Biotech, the parent company of Nuance Pharma (see Note 6 - Significant Agreements to the Consolidated Financial Statements). As Nuance Biotech’s securities are not publicly traded, the equity interest’s fair value is not readily determinable. The Company therefore follows guidance from ASC 321-10-35-2 and uses the fair value measurement alternative and measures the securities at cost, which is deemed to be the value indicated by the last observable transaction in Nuance Biotech's stock, subject to impairment. The valuation will be adjusted for any observable price changes in orderly transactions for an identical or similar investment in Nuance Biotech, or if there is an indicator of impairment.</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Furniture and equipment, net</w:t>
      </w:r>
    </w:p>
    <w:p>
      <w:pPr>
        <w:spacing w:after="0" w:line="11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Furniture and equipment comprise office furniture, computer equipment, leasehold improvements and manufacturing equipment and are stated at cost less accumulated depreciation. Depreciation on furniture and equipment is calculated on a straight-line basis over the expected useful economic lives, generally two to five years. Depreciation on leasehold improvements is over the lesser of the economic life of the asset or the term of the lease.</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Substantially all of the Company’s furniture and equipment is located in the United States.</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Goodwill</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Goodwill consists of goodwill related to the acquisition of Rhinopharma. Goodwill is periodically tested for impairment.</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Impairment of long-lived assets</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Company reviews long-lived assets for impairment annually or whenever events or changes in circumstances indicate that the carrying amount of assets may not be fully recoverable.</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Debt and debt issuance costs</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Upon issuance of a new debt instrument, the Company recognizes a liability equal to the proceeds received, less any allocation of proceeds to other instruments issued with the debt, other elements of the transaction, or features within the debt instrument itself. The proceeds generally approximate the present value of interest and principal payments of the debt.</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situations where, for economic or legal reasons related to the Company’s financial difficulties, the borrower grants a concession to the Company that it would not otherwise consider, the related loan is classified as a troubled debt restructuring. If a restructuring does not constitute a troubled debt restructuring, it will be evaluated to consider if it should be accounted for as an extinguishment or as a modification.</w:t>
      </w:r>
    </w:p>
    <w:p>
      <w:pPr>
        <w:spacing w:after="0" w:line="57"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Debt may be considered extinguished when it has been modified and the terms of the new debt instruments and old debt instruments are “substantially different” (as defined in the debt modification guidance in ASC 470-50 “Debt-Modifications and Extinguishments”).</w:t>
      </w:r>
    </w:p>
    <w:p>
      <w:pPr>
        <w:spacing w:after="0" w:line="6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Debt issuance costs relating to the Company’s term debt are recorded in Term loan on the Consolidated Balance Sheets as a direct reduction of the carrying amount of the related debt; these costs are deferred and amortized to interest expense using the effective interest method, over the respective terms of the related debt.</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F-15</w:t>
      </w:r>
    </w:p>
    <w:p>
      <w:pPr>
        <w:sectPr>
          <w:pgSz w:w="11880" w:h="15480" w:orient="portrait"/>
          <w:cols w:equalWidth="0" w:num="1">
            <w:col w:w="9000"/>
          </w:cols>
          <w:pgMar w:left="1440" w:top="327" w:right="1440" w:bottom="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Interest Purchase and Sale Agreement</w:t>
      </w:r>
    </w:p>
    <w:p>
      <w:pPr>
        <w:spacing w:after="0" w:line="11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RIPSA is eligible to be repaid based on royalties from net sales of Ohtuvayre and any other future products. Interest expense is calculated using the effective interest method over the estimated period the related liability will be paid. This requires the Company to estimate the total amount of future royalty payments to be generated from product sales over the life of the agreement. The Company imputes interest on the carrying value of the RIPSA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the liability,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 quarterly basis, the Company assesses the projected royalty payments relative to the projected interest accretion for the next twelve months to determine if the royalty liability balance is reduced relative to the current outstanding liability, which would signify a repayment of the liability. In such case of excess payments relative to interest accretion for the next twelve months, the excess payments are considered to be a short-term liability and classified within Current liabilities on the Company’s Consolidated Balance Sheets.</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1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The Company’s revenues consist of product sales of Ohtuvayre. The Company accounts for contracts with its customers in accordance with ASC Topic 606, Revenue from Contracts with Customers (“ASC 606”). Pursuant to ASC 606, for arrangements or transactions between participants determined to be within the scope of the contracts with customers guidance, the Company performs the following five steps to determine the appropriate amount of revenue to be recognized as the Company fulfills its obligations: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Revenue is recognized when, or as, the Company satisfies a performance obligation by transferring a promised good or service to a customer. An asset is transferred when, or as, the customer obtains control of that asset.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Product Sales, Net</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revenue from net product sales was generated in the U.S. following the FDA’s approval for marketing of Ohtuvayre for the treatment of COPD in June 2024. The Company sells Ohtuvayre principally through arrangements with specialty pharmacies (“SPs”), who are the Company’s customers. The customers subsequently resell the product to patients and health care providers. The Company applies the ASC 606 five step process discussed above to the contracts with SPs. The Company provides limited right of return to the customers in cases of shipment errors or expiring or defective products. Product revenues are recognized when the customers take control of the product, which occurs upon delivery to the customers.</w:t>
      </w:r>
    </w:p>
    <w:p>
      <w:pPr>
        <w:spacing w:after="0" w:line="67"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Company recognizes revenue from product sales at the net sales price which includes estimates of variable consideration for which reserves are established and reflects each of these as a reduction to revenue. Overall, these reserves reflect the Company’s best estimates of the amount of consideration to which the Company is entitled based on the terms of the contract. The amount of variable consideration that is included in the transaction price may be constrained. Actual amounts of consideration ultimately received may differ from the Company’s estimates. If actual results in the future vary from estimates, the Company may need to adjust its estimates, which would affect net revenue in the period of adjustment. The following are the Company’s significant categories of variable consideration:</w:t>
      </w:r>
    </w:p>
    <w:p>
      <w:pPr>
        <w:spacing w:after="0" w:line="8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Distribution fees: The Company pays distribution fees to SPs in connection with the sales of its product. These distributor fees are based on a contractually determined fixed percentage of sales.</w:t>
      </w:r>
    </w:p>
    <w:p>
      <w:pPr>
        <w:spacing w:after="0" w:line="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Government rebates and chargebacks: The Company contracts with Medicaid, Medicare, and other government agencies (“Government Payors”) so that Ohtuvayre will be eligible for purchase by, or partial or full reimbursement from, such Government Payors. The Company estimates the rebates, chargebacks and discounts it will provide to Government Payors and deducts these estimated amounts from its gross product revenue at the time the revenue is recognized. The Company estimates these reserves based upon its contracts with government agencies and other</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F-16</w:t>
      </w:r>
    </w:p>
    <w:p>
      <w:pPr>
        <w:sectPr>
          <w:pgSz w:w="11880" w:h="15480" w:orient="portrait"/>
          <w:cols w:equalWidth="0" w:num="1">
            <w:col w:w="9000"/>
          </w:cols>
          <w:pgMar w:left="1440" w:top="327" w:right="1440" w:bottom="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organizations, statutorily defined discounts and estimated payor mix, resulting in a reduction of product revenue and the establishment of a current liability.</w:t>
      </w:r>
    </w:p>
    <w:p>
      <w:pPr>
        <w:spacing w:after="0" w:line="52"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Commercial chargebacks: Chargebacks are discounts and fees related to contracts with various third-party payers and programs that purchase from SPs at a discounted price. SPs charge back to the Company the difference between the price initially paid by SPs and the discounted price paid to SPs by these entities.</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Product returns: Consistent with industry practice, the Company offers SPs limited product return rights for shipment errors or expiring or defective products. The Company makes a reasonable estimate of future potential product returns based on inventory reports from SPs, visibility into the inventory distribution channel, the underlying product demand, and industry data specific to the specialty pharmaceutical distribution industry.</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Co-pay assistance: Other incentives which the Company offers include voluntary patient assistance and assurance programs, such as a co-pay assistance program, which are intended to provide financial assistance to qualified commercially-insured patients with prescription drug co-payments required by payers.</w:t>
      </w:r>
    </w:p>
    <w:p>
      <w:pPr>
        <w:spacing w:after="0" w:line="5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Other fees: Fees payable to third party payers and healthcare providers, along with fees to our direct customers that are settled via cash payments, including certain patient assistance programs.</w:t>
      </w:r>
    </w:p>
    <w:p>
      <w:pPr>
        <w:spacing w:after="0" w:line="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year ended December 31, 2024 the Company relied on four specialty pharmacies to purchase and supply Ohtuvayre to patients. These four specialty pharmacies accounted for 100% of all Ohtuvayre net product sales in the year ended December 31, 2024 and accounted for all of the Company's outstanding accounts receivable from product sales as of December 31, 2024. The Company’s four specialty pharmacy customers accounted for 41%, 33%, 14%, and 12% of product sales, net for the year ended December 31, 2024. The loss, or a significant change in the buying patterns of any one of these specialty pharmacies could negatively impact net sales of Ohtuvayre.</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License Revenue</w:t>
      </w:r>
    </w:p>
    <w:p>
      <w:pPr>
        <w:spacing w:after="0" w:line="11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Company’s revenue may also at times consist of revenue from the Company’s strategic agreements for the development and commercialization of ensifentrine. The terms of the agreements may include non-refundable upfront fees, payments based upon achievement of milestones and eventually revenue from the commercialized product. These agreements usually have both fixed and variable consideration. Non-refundable upfront fees are considered fixed, while milestone payments and revenue from the commercialized product are identified as variable consideration.</w:t>
      </w:r>
    </w:p>
    <w:p>
      <w:pPr>
        <w:spacing w:after="0" w:line="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 If the right to the Company’s intellectual property is determined to be distinct from the other performance obligations identified in the arrangement, the Company recognizes revenue from non-refundable, upfront fees allocated to the right when the right is transferred to the customer, and the customer can use and benefit from the right.</w:t>
      </w:r>
    </w:p>
    <w:p>
      <w:pPr>
        <w:spacing w:after="0" w:line="5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the inception of the arrangement, the Company evaluates whether the development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such as approvals from regulators, are not considered probable of being achieved until those approvals are received.</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Research and development costs</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Research and development (“R&amp;D”) costs are expensed as incurred. R&amp;D costs include salaries, share-based compensation and benefits of employees, and other costs related to the Company’s R&amp;D activities, including but not limited to pre-approval manufacturing costs and contracts with clinical research organizations and contract manufacturers. The Company is required to estimate its expenses resulting from its obligations under contracts with vendors and consultants and clinical site agreements in connection with its R&amp;D efforts. The financial terms of these contracts are subject to negotiations which vary contract to contract and may result in payment flows that do not match the periods over which materials or services are provided to the Company under such contracts. The Company’s objective is to reflect the appropriate clinical trial expenses in its Consolidated Financial Statements by matching those expenses with the period in which services and efforts are expended. The Company accounts for these expenses according to the progress of the trials and other development activities. Judgment is applied in determining assumptions related to patient progression and the timing of various aspects of the trial used to measure progress. The Company determines prepaid and accrual estimates through discussions with applicable personnel and outside service providers as to the progress of clinical trials, or other services completed. During the course of a</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F-17</w:t>
      </w:r>
    </w:p>
    <w:p>
      <w:pPr>
        <w:sectPr>
          <w:pgSz w:w="11880" w:h="15480" w:orient="portrait"/>
          <w:cols w:equalWidth="0" w:num="1">
            <w:col w:w="9000"/>
          </w:cols>
          <w:pgMar w:left="1440" w:top="327" w:right="1440" w:bottom="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clinical trial, the Company adjusts its rate of clinical trial expense recognition if actual results differ from its estimates. The Company makes estimates of its prepaid and accrued expenses as of each balance sheet date in its Consolidated Financial Statements based on facts and circumstances known at that time. Although the Company does not expect its estimates to be materially different from amounts actually incurred, its understanding of the status and timing of services performed relative to the actual status and timing of services performed may vary and may result in the Company reporting amounts that are too high or too low for any particular period. The Company’s clinical trial prepaid and accrual expense is dependent upon the timely and accurate reporting of study recruitment from contract research organizations and activities carried out by other third-party vendors as well as the timely processing of any change orders from the contract research organizations.</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Share-based compensation</w:t>
      </w:r>
    </w:p>
    <w:p>
      <w:pPr>
        <w:spacing w:after="0" w:line="11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Company has a share-based compensation plan under which various types of equity-based awards may be granted, including stock options, restricted stock units (“RSUs”) and performance restricted stock units (“PRSUs”). The fair value of share options and RSUs, which are subject to milestone or service conditions with graded vesting, are recognized as compensation expense on a straight-line basis using the graded-vesting method; forfeitures are recognized as they occur.</w:t>
      </w:r>
    </w:p>
    <w:p>
      <w:pPr>
        <w:spacing w:after="0" w:line="7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fair value of PRSUs, which are subject to certain performance and service conditions, will be recognized over the remaining service period using the graded-vesting method once the performance conditions are determined to be probable of occurring.</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The Company uses the fair-value based method to determine compensation for all arrangements under which employees receive shares. The fair value of stock options is estimated on the date of grant using the Black-Scholes valuation model that uses assumptions for expected volatility, expected dividends, expected term, and the risk-free interest rate.</w:t>
      </w:r>
    </w:p>
    <w:p>
      <w:pPr>
        <w:spacing w:after="0" w:line="7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fair-value of RSUs and PRSUs is calculated using the closing price of the Company’s ordinary shares on the date of grant.</w:t>
      </w:r>
    </w:p>
    <w:p>
      <w:pPr>
        <w:spacing w:after="0" w:line="5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Details of the assumptions used are set out in Note 7 - Share-based Compensation to the Consolidated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income - United Kingdom R&amp;D tax credits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tax credit relates to R&amp;D tax credits receivable in the U.K. As a company that carries out extensive research and development activities, the Company is subject to the U.K. R&amp;D Small and Medium Enterprise Program (for accounting periods commencing on or after April 1, 2024, this program has been merged with the R&amp;D expenditure credit scheme) (the “R&amp;D Program”). Qualifying expenditures largely comprise of staff costs for research staff, consumables, a proportion of relevant and permitted sub-contract costs incurred as part of research projects which are undertaken for its own accounts.</w:t>
      </w:r>
    </w:p>
    <w:p>
      <w:pPr>
        <w:spacing w:after="0" w:line="6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R&amp;D tax credits related to the R&amp;D Program are received as cash and are recorded as other income, as they are akin to grant income, in the Consolidated Statements of Operations and Comprehensive Loss.</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11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Company accounts for income taxes in accordance with ASC 740, “Income Taxes” (“ASC 740”). ASC 740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w:t>
      </w:r>
    </w:p>
    <w:p>
      <w:pPr>
        <w:spacing w:after="0" w:line="4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Company provides a valuation allowance, if necessary, to reduce deferred tax assets to their estimated realizable value. ASC 740 establishes a single model to address accounting for uncertain tax positions. ASC 740 clarified the accounting for income taxes by prescribing the minimum recognition threshold a tax position is required to meet before being recognized in the financial statements. The Company has no uncertain tax positions.</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Comprehensive loss</w:t>
      </w:r>
    </w:p>
    <w:p>
      <w:pPr>
        <w:spacing w:after="0" w:line="110"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Company accounts for comprehensive loss in accordance with ASC 220, “Income Statement - Reporting Comprehensive Income”. Comprehensive loss represents all changes in shareholders’ equity during the period except those resulting from investments by, or distributions to, shareholders.</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Reporting and functional currencies</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F-18</w:t>
      </w:r>
    </w:p>
    <w:p>
      <w:pPr>
        <w:sectPr>
          <w:pgSz w:w="11880" w:h="15480" w:orient="portrait"/>
          <w:cols w:equalWidth="0" w:num="1">
            <w:col w:w="9000"/>
          </w:cols>
          <w:pgMar w:left="1440" w:top="327" w:right="1440" w:bottom="0"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Consolidated Financial Statements are reported in U.S. dollars, which is also the functional currency of the Company’s subsidiary. Transactions in foreign currencies are remeasured into the Company’s functional currency at the rate of exchange prevailing at the date of the transaction. Any monetary assets and liabilities arising from these transactions are remeasured into our functional currency at exchange rates prevailing at the balance sheet date or on settlement. Resulting gains and losses are recorded in foreign exchange gain/(loss) in our Consolidated Statements of Operations and Comprehensive Loss.</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Treasury shares</w:t>
      </w:r>
    </w:p>
    <w:p>
      <w:pPr>
        <w:spacing w:after="0" w:line="11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the year ended December 31, 2020, the Company incorporated a trust to facilitate the acquisition of shares, by or for the benefit of employees and former employees. In the years ended December 31, 2024 and December 31, 2023 the Company issued 15.2 million ordinary shares (equivalent to 1.9 million ADSs) and 16.0 million (equivalent to 2.0 million ADSs), respectively, to the trust to cover expected shares issued upon the vesting of share awards to employees.</w:t>
      </w:r>
    </w:p>
    <w:p>
      <w:pPr>
        <w:spacing w:after="0" w:line="7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Company has the indirect ability to control the trust as trustees are required to act in accordance with the trust deed and because the Company controls the issuance of shares to cover awards. As a consequence, the trust is consolidated into the Company’s Consolidated Financial Statements. The shares that were issued to the trust that have not been issued to employees to satisfy vesting of share awards are included in the Consolidated Balance Sheets as Ordinary shares held in treasury.</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of financial instruments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defines fair value and requires companies to establish a framework for measuring fair value and disclosure about fair value measurements using a three-tier approach.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financial instruments include cash equivalents, equity interest, other assets, accounts payable, accrued expenses, other liabilities, term loans, and RIPSA. Fair value estimates of these instruments are made at a specific point in time, based on relevant market information. These estimates may be subjective in nature and involve uncertainties and matters of significant judgement and therefore cannot be determined with precision. Refer to Note 5 - Debt to the Consolidated Financial Statements for fair value of term loans and RIPSA. The carrying amounts of the other instruments are considered to be representative of their fair values because of their short-term nature.</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Concentration of credit risk</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Financial instruments that potentially subject the Company to concentration of credit risk consist of principally cash and cash equivalents, bank deposits and certain receivables.</w:t>
      </w:r>
    </w:p>
    <w:p>
      <w:pPr>
        <w:spacing w:after="0" w:line="52"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The Company holds cash and cash equivalents with highly rated financial institutions and in highly rated money market funds. Our deposits at these institutions may exceed insured limits, however the Company has not experienced any significant credit losses in these accounts and does not believe the Company is exposed to any significant credit risk on these instruments.</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Lease accounting</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determines if an arrangement is a lease at inception. ROU assets and liabilities are recognized at the commencement date based on the present value of lease payments over the term of the lease. For this purpose, the Company considers only payments that are fixed and determinable at the time of commencement.</w:t>
      </w:r>
    </w:p>
    <w:p>
      <w:pPr>
        <w:spacing w:after="0" w:line="51"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As the Company's leases do not provide an implicit rate, the Company determines the incremental borrowing rate in calculating the present value of lease payments. The ROU assets also include any lease payments made prior to commencement and are recorded net of any lease incentives received.</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Company’s lease terms may include options to extend or terminate the lease. When it is reasonably certain the Company will exercise such options the lease will be recognized as a liability and a corresponding ROU asset also recognized.</w:t>
      </w:r>
    </w:p>
    <w:p>
      <w:pPr>
        <w:spacing w:after="0" w:line="6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Operating leases are included in Right-of-use assets and in Current and Non-current operating lease liabilities on the Company's Consolidated Balance Sheets.</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F-19</w:t>
      </w:r>
    </w:p>
    <w:p>
      <w:pPr>
        <w:sectPr>
          <w:pgSz w:w="11880" w:h="15480" w:orient="portrait"/>
          <w:cols w:equalWidth="0" w:num="1">
            <w:col w:w="9000"/>
          </w:cols>
          <w:pgMar w:left="1440" w:top="327" w:right="1440" w:bottom="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Recently adopted accounting standards</w:t>
      </w:r>
    </w:p>
    <w:p>
      <w:pPr>
        <w:spacing w:after="0" w:line="11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In November 2023, the FASB issued ASU No. 2023-07, Improvements to Reportable Segment Disclosures, which improves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The amendments in this ASU are effective for annual periods beginning after December 15, 2023 and interim periods beginning on December 15, 2024, and should be applied on a retrospective basis for all periods presented. This ASU did not have a material impact on the Company's Consolidated Financial Statements and related disclosures.</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Recently issued accounting standards not yet adopted</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December 2023, the FASB issued ASU No. 2023-09, Improvements to Income Tax Disclosures,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amendments in this ASU are effective for annual periods beginning after December 15, 2024, and should be applied on a prospective basis with the option to apply the standard retrospectively. Early adoption is permitted. This ASU will have no impact on the Company's Consolidated Balance Sheets or Consolidated Statements of Operations and Comprehensive Loss. The Company is currently evaluating the impact to its income tax disclosures.</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2024, the FASB issued ASU No. 2024-03: Disaggregation of Income Statement Expenses ("DISE"). The ASU requires additional disclosure of the nature of expenses included in the income statement. The ASU is effective for annual reporting periods beginning after December 15, 2026 and interim reporting periods beginning after December 15, 2027. The requirements will be applied prospectively with the option for retrospective application. Early adoption is permitted. The Company is currently evaluating the extent of the impact of this ASU on disclosures in our Consolidated Financial Statements.</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F-20</w:t>
      </w:r>
    </w:p>
    <w:p>
      <w:pPr>
        <w:sectPr>
          <w:pgSz w:w="11880" w:h="15480" w:orient="portrait"/>
          <w:cols w:equalWidth="0" w:num="1">
            <w:col w:w="9000"/>
          </w:cols>
          <w:pgMar w:left="1440" w:top="327" w:right="1440" w:bottom="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3 - Property leases</w:t>
      </w:r>
    </w:p>
    <w:p>
      <w:pPr>
        <w:spacing w:after="0" w:line="228"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Company’s Right-of-use assets (“ROU”) relate to rented office space in London, Georgia and North Carolina with leases ending in 2026, 2025 and 2027, respectively.</w:t>
      </w:r>
    </w:p>
    <w:p>
      <w:pPr>
        <w:spacing w:after="0" w:line="5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In the year ended December 31, 2024, the Company extended its existing London lease. As a result of this agreement, the Company recognized a lease liability and a corresponding ROU asset of $0.4 million.</w:t>
      </w:r>
    </w:p>
    <w:p>
      <w:pPr>
        <w:spacing w:after="0" w:line="52"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In the year ended December 31, 2023, the Company entered into a lease arrangement in North Carolina for office space and extended its existing London lease. As a result of these two agreements, the Company recognized a lease liability and a corresponding ROU asset of $2.7 million.</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To calculate lease liabilities the Company used a weighted average discount rate of 11% for the years ended December 31, 2024 and December 31, 2023. The weighted average remaining lease term as of December 31, 2024 and December 31, 2023 was 2.5 years and 3.3 years,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Minimum annual payments over the remaining lease periods as of December 31, 2024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108585</wp:posOffset>
            </wp:positionV>
            <wp:extent cx="5733415" cy="970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5733415" cy="970915"/>
                    </a:xfrm>
                    <a:prstGeom prst="rect">
                      <a:avLst/>
                    </a:prstGeom>
                    <a:noFill/>
                  </pic:spPr>
                </pic:pic>
              </a:graphicData>
            </a:graphic>
          </wp:anchor>
        </w:drawing>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7500" w:type="dxa"/>
            <w:vAlign w:val="bottom"/>
          </w:tcPr>
          <w:p>
            <w:pPr>
              <w:spacing w:after="0"/>
              <w:rPr>
                <w:sz w:val="20"/>
                <w:szCs w:val="20"/>
                <w:color w:val="auto"/>
              </w:rPr>
            </w:pPr>
            <w:r>
              <w:rPr>
                <w:rFonts w:ascii="Arial" w:cs="Arial" w:eastAsia="Arial" w:hAnsi="Arial"/>
                <w:sz w:val="19"/>
                <w:szCs w:val="19"/>
                <w:color w:val="auto"/>
              </w:rPr>
              <w:t>2025</w:t>
            </w:r>
          </w:p>
        </w:tc>
        <w:tc>
          <w:tcPr>
            <w:tcW w:w="540" w:type="dxa"/>
            <w:vAlign w:val="bottom"/>
          </w:tcPr>
          <w:p>
            <w:pPr>
              <w:jc w:val="right"/>
              <w:ind w:right="304"/>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1,113</w:t>
            </w:r>
          </w:p>
        </w:tc>
      </w:tr>
      <w:tr>
        <w:trPr>
          <w:trHeight w:val="245"/>
        </w:trPr>
        <w:tc>
          <w:tcPr>
            <w:tcW w:w="7500" w:type="dxa"/>
            <w:vAlign w:val="bottom"/>
          </w:tcPr>
          <w:p>
            <w:pPr>
              <w:spacing w:after="0"/>
              <w:rPr>
                <w:sz w:val="20"/>
                <w:szCs w:val="20"/>
                <w:color w:val="auto"/>
              </w:rPr>
            </w:pPr>
            <w:r>
              <w:rPr>
                <w:rFonts w:ascii="Arial" w:cs="Arial" w:eastAsia="Arial" w:hAnsi="Arial"/>
                <w:sz w:val="19"/>
                <w:szCs w:val="19"/>
                <w:color w:val="auto"/>
              </w:rPr>
              <w:t>2026</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841</w:t>
            </w:r>
          </w:p>
        </w:tc>
      </w:tr>
      <w:tr>
        <w:trPr>
          <w:trHeight w:val="244"/>
        </w:trPr>
        <w:tc>
          <w:tcPr>
            <w:tcW w:w="7500" w:type="dxa"/>
            <w:vAlign w:val="bottom"/>
          </w:tcPr>
          <w:p>
            <w:pPr>
              <w:spacing w:after="0"/>
              <w:rPr>
                <w:sz w:val="20"/>
                <w:szCs w:val="20"/>
                <w:color w:val="auto"/>
              </w:rPr>
            </w:pPr>
            <w:r>
              <w:rPr>
                <w:rFonts w:ascii="Arial" w:cs="Arial" w:eastAsia="Arial" w:hAnsi="Arial"/>
                <w:sz w:val="19"/>
                <w:szCs w:val="19"/>
                <w:color w:val="auto"/>
              </w:rPr>
              <w:t>2027</w:t>
            </w: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782</w:t>
            </w:r>
          </w:p>
        </w:tc>
      </w:tr>
      <w:tr>
        <w:trPr>
          <w:trHeight w:val="225"/>
        </w:trPr>
        <w:tc>
          <w:tcPr>
            <w:tcW w:w="7500" w:type="dxa"/>
            <w:vAlign w:val="bottom"/>
          </w:tcPr>
          <w:p>
            <w:pPr>
              <w:spacing w:after="0"/>
              <w:rPr>
                <w:sz w:val="20"/>
                <w:szCs w:val="20"/>
                <w:color w:val="auto"/>
              </w:rPr>
            </w:pPr>
            <w:r>
              <w:rPr>
                <w:rFonts w:ascii="Arial" w:cs="Arial" w:eastAsia="Arial" w:hAnsi="Arial"/>
                <w:sz w:val="19"/>
                <w:szCs w:val="19"/>
                <w:color w:val="auto"/>
              </w:rPr>
              <w:t>Total minimum future lease payments</w:t>
            </w:r>
          </w:p>
        </w:tc>
        <w:tc>
          <w:tcPr>
            <w:tcW w:w="540" w:type="dxa"/>
            <w:vAlign w:val="bottom"/>
          </w:tcPr>
          <w:p>
            <w:pPr>
              <w:jc w:val="right"/>
              <w:ind w:right="304"/>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2,736</w:t>
            </w:r>
          </w:p>
        </w:tc>
      </w:tr>
      <w:tr>
        <w:trPr>
          <w:trHeight w:val="244"/>
        </w:trPr>
        <w:tc>
          <w:tcPr>
            <w:tcW w:w="7500" w:type="dxa"/>
            <w:vAlign w:val="bottom"/>
          </w:tcPr>
          <w:p>
            <w:pPr>
              <w:spacing w:after="0"/>
              <w:rPr>
                <w:sz w:val="20"/>
                <w:szCs w:val="20"/>
                <w:color w:val="auto"/>
              </w:rPr>
            </w:pPr>
            <w:r>
              <w:rPr>
                <w:rFonts w:ascii="Arial" w:cs="Arial" w:eastAsia="Arial" w:hAnsi="Arial"/>
                <w:sz w:val="19"/>
                <w:szCs w:val="19"/>
                <w:color w:val="auto"/>
              </w:rPr>
              <w:t>Less: imputed interest</w:t>
            </w:r>
          </w:p>
        </w:tc>
        <w:tc>
          <w:tcPr>
            <w:tcW w:w="5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(375)</w:t>
            </w:r>
          </w:p>
        </w:tc>
      </w:tr>
      <w:tr>
        <w:trPr>
          <w:trHeight w:val="206"/>
        </w:trPr>
        <w:tc>
          <w:tcPr>
            <w:tcW w:w="7500" w:type="dxa"/>
            <w:vAlign w:val="bottom"/>
          </w:tcPr>
          <w:p>
            <w:pPr>
              <w:spacing w:after="0" w:line="205" w:lineRule="exact"/>
              <w:rPr>
                <w:sz w:val="20"/>
                <w:szCs w:val="20"/>
                <w:color w:val="auto"/>
              </w:rPr>
            </w:pPr>
            <w:r>
              <w:rPr>
                <w:rFonts w:ascii="Arial" w:cs="Arial" w:eastAsia="Arial" w:hAnsi="Arial"/>
                <w:sz w:val="19"/>
                <w:szCs w:val="19"/>
                <w:b w:val="1"/>
                <w:bCs w:val="1"/>
                <w:color w:val="auto"/>
              </w:rPr>
              <w:t>Total operating lease liabilities</w:t>
            </w:r>
          </w:p>
        </w:tc>
        <w:tc>
          <w:tcPr>
            <w:tcW w:w="540" w:type="dxa"/>
            <w:vAlign w:val="bottom"/>
            <w:tcBorders>
              <w:bottom w:val="single" w:sz="8" w:color="auto"/>
            </w:tcBorders>
          </w:tcPr>
          <w:p>
            <w:pPr>
              <w:jc w:val="right"/>
              <w:ind w:right="304"/>
              <w:spacing w:after="0" w:line="205" w:lineRule="exact"/>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2,361</w:t>
            </w:r>
          </w:p>
        </w:tc>
      </w:tr>
      <w:tr>
        <w:trPr>
          <w:trHeight w:val="20"/>
        </w:trPr>
        <w:tc>
          <w:tcPr>
            <w:tcW w:w="7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total operating lease expense included in selling, general and administrative costs was $1.3 million for the year ended December 31, 2024.</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4 - Accrued expenses</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Accrued expenses consisted of the following (in thousands):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6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607"/>
              <w:spacing w:after="0"/>
              <w:rPr>
                <w:sz w:val="20"/>
                <w:szCs w:val="20"/>
                <w:color w:val="auto"/>
              </w:rPr>
            </w:pPr>
            <w:r>
              <w:rPr>
                <w:rFonts w:ascii="Arial" w:cs="Arial" w:eastAsia="Arial" w:hAnsi="Arial"/>
                <w:sz w:val="15"/>
                <w:szCs w:val="15"/>
                <w:b w:val="1"/>
                <w:bCs w:val="1"/>
                <w:color w:val="auto"/>
              </w:rPr>
              <w:t>December 31,</w:t>
            </w:r>
          </w:p>
        </w:tc>
      </w:tr>
      <w:tr>
        <w:trPr>
          <w:trHeight w:val="210"/>
        </w:trPr>
        <w:tc>
          <w:tcPr>
            <w:tcW w:w="6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9"/>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2023</w:t>
            </w:r>
          </w:p>
        </w:tc>
      </w:tr>
      <w:tr>
        <w:trPr>
          <w:trHeight w:val="225"/>
        </w:trPr>
        <w:tc>
          <w:tcPr>
            <w:tcW w:w="6640" w:type="dxa"/>
            <w:vAlign w:val="bottom"/>
          </w:tcPr>
          <w:p>
            <w:pPr>
              <w:spacing w:after="0"/>
              <w:rPr>
                <w:sz w:val="20"/>
                <w:szCs w:val="20"/>
                <w:color w:val="auto"/>
              </w:rPr>
            </w:pPr>
            <w:r>
              <w:rPr>
                <w:rFonts w:ascii="Arial" w:cs="Arial" w:eastAsia="Arial" w:hAnsi="Arial"/>
                <w:sz w:val="19"/>
                <w:szCs w:val="19"/>
                <w:color w:val="auto"/>
              </w:rPr>
              <w:t>Rebates and other sales deductions</w:t>
            </w:r>
          </w:p>
        </w:tc>
        <w:tc>
          <w:tcPr>
            <w:tcW w:w="28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6,178</w:t>
            </w:r>
          </w:p>
        </w:tc>
        <w:tc>
          <w:tcPr>
            <w:tcW w:w="60" w:type="dxa"/>
            <w:vAlign w:val="bottom"/>
          </w:tcPr>
          <w:p>
            <w:pPr>
              <w:spacing w:after="0"/>
              <w:rPr>
                <w:sz w:val="19"/>
                <w:szCs w:val="19"/>
                <w:color w:val="auto"/>
              </w:rPr>
            </w:pPr>
          </w:p>
        </w:tc>
        <w:tc>
          <w:tcPr>
            <w:tcW w:w="28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45"/>
        </w:trPr>
        <w:tc>
          <w:tcPr>
            <w:tcW w:w="6640" w:type="dxa"/>
            <w:vAlign w:val="bottom"/>
          </w:tcPr>
          <w:p>
            <w:pPr>
              <w:spacing w:after="0"/>
              <w:rPr>
                <w:sz w:val="20"/>
                <w:szCs w:val="20"/>
                <w:color w:val="auto"/>
              </w:rPr>
            </w:pPr>
            <w:r>
              <w:rPr>
                <w:rFonts w:ascii="Arial" w:cs="Arial" w:eastAsia="Arial" w:hAnsi="Arial"/>
                <w:sz w:val="19"/>
                <w:szCs w:val="19"/>
                <w:color w:val="auto"/>
              </w:rPr>
              <w:t>Clinical trial and other development costs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4,006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752</w:t>
            </w:r>
          </w:p>
        </w:tc>
      </w:tr>
      <w:tr>
        <w:trPr>
          <w:trHeight w:val="245"/>
        </w:trPr>
        <w:tc>
          <w:tcPr>
            <w:tcW w:w="6640" w:type="dxa"/>
            <w:vAlign w:val="bottom"/>
          </w:tcPr>
          <w:p>
            <w:pPr>
              <w:spacing w:after="0"/>
              <w:rPr>
                <w:sz w:val="20"/>
                <w:szCs w:val="20"/>
                <w:color w:val="auto"/>
              </w:rPr>
            </w:pPr>
            <w:r>
              <w:rPr>
                <w:rFonts w:ascii="Arial" w:cs="Arial" w:eastAsia="Arial" w:hAnsi="Arial"/>
                <w:sz w:val="19"/>
                <w:szCs w:val="19"/>
                <w:color w:val="auto"/>
              </w:rPr>
              <w:t>People related costs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2,931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794</w:t>
            </w:r>
          </w:p>
        </w:tc>
      </w:tr>
      <w:tr>
        <w:trPr>
          <w:trHeight w:val="244"/>
        </w:trPr>
        <w:tc>
          <w:tcPr>
            <w:tcW w:w="6640" w:type="dxa"/>
            <w:vAlign w:val="bottom"/>
          </w:tcPr>
          <w:p>
            <w:pPr>
              <w:spacing w:after="0"/>
              <w:rPr>
                <w:sz w:val="20"/>
                <w:szCs w:val="20"/>
                <w:color w:val="auto"/>
              </w:rPr>
            </w:pPr>
            <w:r>
              <w:rPr>
                <w:rFonts w:ascii="Arial" w:cs="Arial" w:eastAsia="Arial" w:hAnsi="Arial"/>
                <w:sz w:val="19"/>
                <w:szCs w:val="19"/>
                <w:color w:val="auto"/>
              </w:rPr>
              <w:t>Professional fees and general corporate costs</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3,642</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2,039</w:t>
            </w:r>
          </w:p>
        </w:tc>
      </w:tr>
      <w:tr>
        <w:trPr>
          <w:trHeight w:val="206"/>
        </w:trPr>
        <w:tc>
          <w:tcPr>
            <w:tcW w:w="6640" w:type="dxa"/>
            <w:vAlign w:val="bottom"/>
          </w:tcPr>
          <w:p>
            <w:pPr>
              <w:spacing w:after="0" w:line="205" w:lineRule="exact"/>
              <w:rPr>
                <w:sz w:val="20"/>
                <w:szCs w:val="20"/>
                <w:color w:val="auto"/>
              </w:rPr>
            </w:pPr>
            <w:r>
              <w:rPr>
                <w:rFonts w:ascii="Arial" w:cs="Arial" w:eastAsia="Arial" w:hAnsi="Arial"/>
                <w:sz w:val="19"/>
                <w:szCs w:val="19"/>
                <w:b w:val="1"/>
                <w:bCs w:val="1"/>
                <w:color w:val="auto"/>
              </w:rPr>
              <w:t>Total accrued expenses</w:t>
            </w:r>
          </w:p>
        </w:tc>
        <w:tc>
          <w:tcPr>
            <w:tcW w:w="280" w:type="dxa"/>
            <w:vAlign w:val="bottom"/>
            <w:tcBorders>
              <w:bottom w:val="single" w:sz="8" w:color="auto"/>
            </w:tcBorders>
          </w:tcPr>
          <w:p>
            <w:pPr>
              <w:jc w:val="right"/>
              <w:ind w:right="24"/>
              <w:spacing w:after="0" w:line="205" w:lineRule="exact"/>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16,757</w:t>
            </w:r>
          </w:p>
        </w:tc>
        <w:tc>
          <w:tcPr>
            <w:tcW w:w="60" w:type="dxa"/>
            <w:vAlign w:val="bottom"/>
          </w:tcPr>
          <w:p>
            <w:pPr>
              <w:spacing w:after="0"/>
              <w:rPr>
                <w:sz w:val="17"/>
                <w:szCs w:val="17"/>
                <w:color w:val="auto"/>
              </w:rPr>
            </w:pPr>
          </w:p>
        </w:tc>
        <w:tc>
          <w:tcPr>
            <w:tcW w:w="280" w:type="dxa"/>
            <w:vAlign w:val="bottom"/>
            <w:tcBorders>
              <w:bottom w:val="single" w:sz="8" w:color="auto"/>
            </w:tcBorders>
          </w:tcPr>
          <w:p>
            <w:pPr>
              <w:jc w:val="right"/>
              <w:ind w:right="24"/>
              <w:spacing w:after="0" w:line="205" w:lineRule="exact"/>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3,585</w:t>
            </w: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-808355</wp:posOffset>
            </wp:positionV>
            <wp:extent cx="5733415" cy="815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5733415" cy="81534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5 - Debt</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In November 2020, the Company entered into a term loan facility of up to $30.0 million (the “SVB Term Loan”), consisting of advances of $5.0 million funded at closing and $10.0 million and $15.0 million contingent upon achievement of certain clinical development milestones and other specified conditions.</w:t>
      </w:r>
    </w:p>
    <w:p>
      <w:pPr>
        <w:spacing w:after="0" w:line="6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October 14, 2022 (the “2022 Effective Date”), the Company entered into a loan and security agreement with Oxford Finance Luxembourg S.À R.L. for an aggregate amount of up to $150.0 million (the “Oxford Term Loan”). The Oxford Term Loan provided for an initial term loan advance in an aggregate amount of $10.0 million funded on the 2022 Effective Date (the “Oxford Term A Loan”), and up to four additional term loan advances in an aggregate amount of $140.0 million, contingent upon the achievement of certain clinical and regulatory development milestones as well as other specified conditions. The proceeds from the Oxford Term Loan were used for general corporate and working capital purposes, and a portion of the proceeds of the Oxford Term A Loan were used to repay in full the existing outstanding indebtedness owed under the SVB Term Loan. On March 24, 2023, the Company received $10.0 million under the second term loan advance (the “Oxford Term B Loan”).</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F-21</w:t>
      </w:r>
    </w:p>
    <w:p>
      <w:pPr>
        <w:sectPr>
          <w:pgSz w:w="11880" w:h="15480" w:orient="portrait"/>
          <w:cols w:equalWidth="0" w:num="1">
            <w:col w:w="9000"/>
          </w:cols>
          <w:pgMar w:left="1440" w:top="327" w:right="1440" w:bottom="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2023 Term Loan</w:t>
      </w:r>
    </w:p>
    <w:p>
      <w:pPr>
        <w:spacing w:after="0" w:line="22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On December 27, 2023 (the “2023 Effective Date”), the Company entered into a term loan facility of up to $400.0 million (the “2023 Term Loan” or “Loan Agreement”), consisting of a term loan advance in an aggregate amount of $50.0 million funded on the 2023 Effective Date (the “Term A Loan”) and four additional term loan advances subject to certain terms and conditions. The 2023 Term Loan was repaid in full as of May 9, 2024. Verona Pharma, Inc. and the Company did not incur any penalties, but did incur a prepayment fee and final payment fee in the aggregate amount of $2.3 million.</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2024 Term Loans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May 9, 2024 (the “2024 Effective Date”), Verona Pharma, Inc. (the “Borrower”) entered into the 2024 Term Loans which consist of up to $400.0 million, consisting of a term loan advance in an aggregate amount of $55.0 million funded on the 2024 Effective Date (the “Tranche A Term Loan”) and four additional term loan advances subject to certain terms and conditions, as discussed below, in the amounts of $70.0 million (the “Tranche B Term Loan”), $75.0 million (the “Tranche C Term Loan”), $100.0 million (the “Tranche D Term Loan”) and $100.0 million (the “Tranche E Term Loan”) with each tranche issued subject to an original issue discount of 2.0%. The 2024 Loan Agreement was entered into with Oaktree Fund Administration, LLC, a Delaware limited liability company, as administrative agent (in such capacity, the “Agent”), and certain funds managed by each of Oaktree Capital Management, L.P. (“Oaktree”) and OCM Life Sciences Portfolio LP (“OMERS”) party thereto (collectively, the “2024 Lenders”). The net proceeds of the 2024 Term Loans will be used for general corporate and working capital purposes and a portion of the proceeds from the Tranche A Term Loan was used by the Borrower on the 2024 Effective Date to repay, in full, the existing outstanding indebtedness owed under the 2023 Term Loan.</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Tranche B Term Loan was available, subject to customary terms and conditions, during the period commencing on the date the Company received approval from the FDA for its new drug application for ensifentrine through and including the earliest of (i) the date that is 30 days immediately following the date the Company receives such approval and (ii) September 30, 2024. The Tranche C Term Loan will be available, subject to customary terms and conditions (including the prior borrowing of the Tranche B Term Loan), during the period commencing on the first business day following the achievement of a specified net sales milestone for ensifentrine and ending on December 31, 2025. The Tranche D Term Loan will be available, subject to customary terms and conditions (including the prior borrowing of the Tranche C Term Loan), during the period commencing on the first business day following the achievement of a specified net sales milestone for ensifentrine and ending on June 30, 2026. The Tranche E Term Loan will be available, subject to customary terms and conditions (including the prior borrowing of the Tranche D Term Loan) at the 2024 Lenders sole discretion and upon the Company’s request.</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received $52.8 million in net proceeds at closing of the 2024 Loan Agreement and draw of the Tranche A Term Loan, which consisted of the Tranche A Term Loan face value of $55.0 million less the original issue discount of $1.1 million and lender and third-party fees related to the 2024 Loan Agreement and RIPSA, as defined and discussed below, of $1.1 million. $52.4 million of the net cash proceeds from the Tranche A Term Loan were used for the repayment in full of the existing outstanding indebtedness owed by the Company under the 2023 Term Loan of $52.3 million and interest amounts related to the 2023 Term Loan of $0.1 million.</w:t>
      </w:r>
    </w:p>
    <w:p>
      <w:pPr>
        <w:spacing w:after="0" w:line="63"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On June 28, 2024, the Company received $68.6 million in net proceeds related to the Tranche B Term Loan, which was available upon FDA approval for Ohtuvayre. The amount received consisted of the Tranche B Term Loan face value of $70.0 million less the original issue discount of $1.4 million.</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2024 Term Loans will mature on May 9, 2029 and each advance under the 2024 Loan Agreement accrues interest at a fixed per annum rate of 11.00%. The 2024 Loan Agreement provides for interest-only payments on a quarterly basis until maturity. Upon repayment (whether at maturity, upon acceleration or by prepayment or otherwise), the Borrower shall pay an exit fee to the 2024 Lenders in the amount of 2.50% of the aggregate principal amount of the 2024 Term Loans to be paid (the “Exit Fee”). The Borrower may prepay the 2024 Term Loans in full or in part provided that the Borrower (i) provides at least two (2) business days’ prior written notice to the Agent, (ii) pays on the date of such prepayment (A) all outstanding principal to be prepaid plus accrued and unpaid interest, (B) a prepayment fee of 7.00% of the 2024 Term Loans so prepaid if paid on or before the first anniversary of the 2024 Effective Date; 5.00% of the 2024 Term Loans so prepaid if paid after the first anniversary of the 2024 Effective Date and on or before the second anniversary of the 2024 Effective Date; 2.00% of the 2024 Term Loans so prepaid if paid after the second anniversary of the 2024 Effective Date and on or before the third anniversary of the 2024 Effective Date or 1.00% of the 2024 Term Loans so prepaid if paid after the third anniversary of the 2024 Effective Date and on or before the fourth anniversary of the 2024 Effective Date, (C) the Exit Fee and (D) all other sums, if</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F-22</w:t>
      </w:r>
    </w:p>
    <w:p>
      <w:pPr>
        <w:sectPr>
          <w:pgSz w:w="11880" w:h="15480" w:orient="portrait"/>
          <w:cols w:equalWidth="0" w:num="1">
            <w:col w:w="9000"/>
          </w:cols>
          <w:pgMar w:left="1440" w:top="327" w:right="1440" w:bottom="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any, that shall become due and payable under the 2024 Loan Agreement, including interest at the default rate with respect to any past due amounts. Amounts outstanding during an event of default are due upon the Majority Lenders’ (as defined in the 2024 Loan Agreement) demand (except during a payment or bankruptcy event of default, whereupon such default interest is automatically imposed) and shall accrue interest at an additional rate of 2.00% per annum, which interest shall be payable on demand in cash and (iii) any partial prepayment of the 2024 Term Loans shall be an aggregate amount at least equal to $5.0 million in a denomination that is a whole number multiple of $1.0 million in excess thereof.</w:t>
      </w:r>
    </w:p>
    <w:p>
      <w:pPr>
        <w:spacing w:after="0" w:line="78"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2024 Term Loans are secured by a lien on substantially all of the assets of the Borrower and the Company, including intellectual property, subject to customary exclusions and exceptions.</w:t>
      </w:r>
    </w:p>
    <w:p>
      <w:pPr>
        <w:spacing w:after="0" w:line="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2024 Loan Agreement contains customary representations and warranties, covenants and events of default, including two financial covenants: (i) commencing on the 2024 Effective Date, the Borrower is required to maintain certain levels of cash, and, after the Account Control Agreement Completion Date (as defined in the Loan Agreement) subject to control agreements in favor of the Agent, and (ii) commencing on the fiscal quarter of Company ending on September 30, 2025, the Borrower and the Company are required to maintain quarterly trailing twelve-month net sales from the sale of ensifentrine in the United States; provided that such revenue covenant will be waived at any time (x) the Borrower and the Company’s unrestricted cash balance subject to control agreements in favor of the Agent on the last business day of the applicable fiscal quarter is equal to or greater than the product of 1.25 multiplied by the aggregate principal amount of outstanding 2024 Term Loans on such date or (y) the average daily closing price of the Company’s American Depositary Shares for each of the thirty (30) trading days preceding the last trading day of such fiscal quarter multiplied by the total number of issued and outstanding American Depositary Shares of the Company is at least $1.0 billion. The 2024 Loan Agreement also contains other customary provisions, such as expense reimbursement, as well as indemnification rights for the benefit of the Agent and the 2024 Lenders.</w:t>
      </w:r>
    </w:p>
    <w:p>
      <w:pPr>
        <w:spacing w:after="0" w:line="7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As of December 31, 2024 the interest rate was approximately 13% per annum and there was no material difference between the carrying value and the estimated fair value of the 2024 Term Loan.</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The $125.0 million outstanding under the 2024 Term Loan is due in 2029.</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 Interest Purchase and Sale Agreement</w:t>
      </w: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9, 2024, the Company and Verona Pharma, Inc. (collectively the “Sellers”) entered into the RIPSA with Oaktree Fund Administration, LLC, a Delaware limited liability company, as administrative agent and certain funds managed by each of Oaktree and OMERS (collectively, the “Purchasers”). Under the terms of the RIPSA, in exchange for each of the Purchaser’s payment to the Sellers of a purchase price of $100 million, in the aggregate, upon approval of ensifentrine by the FDA by a specified date and subject to certain labeling conditions (the “Tranche A Purchase Price”), the Sellers agreed to a true sale of assigned interests to the Purchasers, including a right for the Purchasers to receive 6.50% on the global net sales of ensifentrine by the Sellers (the “Royalty Interest Payments”) and 5% on certain proceeds the Sellers receive from licensees engaged during the term of the RIPSA outside of the U.S. (the “Ex-U.S. Payments”). The Sellers will begin payment of the Royalty Interest Payments and Ex-U.S. Payments in the first fiscal quarter after receipt of the Tranche A Purchase Price. The Sellers will also have a right to receive an additional funding tranche equal to $150 million (the “Tranche B Purchase Price”) upon achievement of a specified net sales milestone in any trailing six-month period after receipt of the Tranche A Purchase Price and subject to certain terms and conditions. The Royalty Interest Payments and Ex-U.S. Payments will cease upon reaching a multiple of 1.75 times the amounts actually funded by the Purchasers. The RIPSA includes a buy-out option, which provides the Sellers with the right to settle all outstanding liabilities at any time by paying a buy-out amount under various terms and conditions. As of any date of determination, the aggregate amount of payments received by the Purchasers under the RIPSA, divided by the amount funded as of such date (the “MOIC”) equals 1.20x, if such date is on or before the one-year anniversary of the funding of the first tranche of the RIPSA, the MOIC equals 1.40x if such date is after the one-year anniversary of the Tranche A Funding Date and on or before the two-year anniversary of the Tranche A Funding Date, the MOIC equals 1.55x if such date is after the two-year anniversary of the Tranche A Funding Date and on or before the three-year anniversary of the Tranche A Funding Date, and the MOIC equals 1.75x if such date is after the three-year anniversary of the Tranche A Funding Date. The Purchasers have the right to terminate the RIPSA under certain conditions, including the Company’s insolvency, and the Company’s divestment of ensifentrine, in which case the Sellers must pay the Purchasers up to 1.75 times the amounts actually funded by the Purchasers as of such default determination date. Pursuant to a security agreement signed in connection with the RIPSA, the Sellers granted to the Purchasers a security interest in certain assets to secure obligations under the RIPSA.</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F-23</w:t>
      </w:r>
    </w:p>
    <w:p>
      <w:pPr>
        <w:sectPr>
          <w:pgSz w:w="11880" w:h="15480" w:orient="portrait"/>
          <w:cols w:equalWidth="0" w:num="1">
            <w:col w:w="9000"/>
          </w:cols>
          <w:pgMar w:left="1440" w:top="327" w:right="1440" w:bottom="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On June 28, 2024, the Company received the Tranche A Purchase Price of $100.0 million.</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As of December 31, 2024, the effective interest rate was approximately 25% per annum and there was no material difference between the carrying value and the estimated fair value of the RIPSA. The amount due under the RIPSA at December 31, 2024 relating to the net sales in the fourth quarter of 2024 was $2.4 million which is included in Other current liabilities on the Consolidated Balance Sheets.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RIPSA activity during the year ended December 31, 2024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101600</wp:posOffset>
            </wp:positionV>
            <wp:extent cx="5733415" cy="970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extLst>
                    </a:blip>
                    <a:srcRect/>
                    <a:stretch>
                      <a:fillRect/>
                    </a:stretch>
                  </pic:blipFill>
                  <pic:spPr bwMode="auto">
                    <a:xfrm>
                      <a:off x="0" y="0"/>
                      <a:ext cx="5733415" cy="97091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7500" w:type="dxa"/>
            <w:vAlign w:val="bottom"/>
          </w:tcPr>
          <w:p>
            <w:pPr>
              <w:spacing w:after="0"/>
              <w:rPr>
                <w:sz w:val="20"/>
                <w:szCs w:val="20"/>
                <w:color w:val="auto"/>
              </w:rPr>
            </w:pPr>
            <w:r>
              <w:rPr>
                <w:rFonts w:ascii="Arial" w:cs="Arial" w:eastAsia="Arial" w:hAnsi="Arial"/>
                <w:sz w:val="19"/>
                <w:szCs w:val="19"/>
                <w:color w:val="auto"/>
              </w:rPr>
              <w:t>RIPSA proceeds, gross</w:t>
            </w:r>
          </w:p>
        </w:tc>
        <w:tc>
          <w:tcPr>
            <w:tcW w:w="440" w:type="dxa"/>
            <w:vAlign w:val="bottom"/>
          </w:tcPr>
          <w:p>
            <w:pPr>
              <w:jc w:val="right"/>
              <w:ind w:right="204"/>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100,000</w:t>
            </w:r>
          </w:p>
        </w:tc>
      </w:tr>
      <w:tr>
        <w:trPr>
          <w:trHeight w:val="245"/>
        </w:trPr>
        <w:tc>
          <w:tcPr>
            <w:tcW w:w="7500" w:type="dxa"/>
            <w:vAlign w:val="bottom"/>
          </w:tcPr>
          <w:p>
            <w:pPr>
              <w:spacing w:after="0"/>
              <w:rPr>
                <w:sz w:val="20"/>
                <w:szCs w:val="20"/>
                <w:color w:val="auto"/>
              </w:rPr>
            </w:pPr>
            <w:r>
              <w:rPr>
                <w:rFonts w:ascii="Arial" w:cs="Arial" w:eastAsia="Arial" w:hAnsi="Arial"/>
                <w:sz w:val="19"/>
                <w:szCs w:val="19"/>
                <w:color w:val="auto"/>
              </w:rPr>
              <w:t>Initial issuance costs, recorded as a discount</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(3,770)</w:t>
            </w:r>
          </w:p>
        </w:tc>
      </w:tr>
      <w:tr>
        <w:trPr>
          <w:trHeight w:val="245"/>
        </w:trPr>
        <w:tc>
          <w:tcPr>
            <w:tcW w:w="7500" w:type="dxa"/>
            <w:vAlign w:val="bottom"/>
          </w:tcPr>
          <w:p>
            <w:pPr>
              <w:spacing w:after="0"/>
              <w:rPr>
                <w:sz w:val="20"/>
                <w:szCs w:val="20"/>
                <w:color w:val="auto"/>
              </w:rPr>
            </w:pPr>
            <w:r>
              <w:rPr>
                <w:rFonts w:ascii="Arial" w:cs="Arial" w:eastAsia="Arial" w:hAnsi="Arial"/>
                <w:sz w:val="19"/>
                <w:szCs w:val="19"/>
                <w:color w:val="auto"/>
              </w:rPr>
              <w:t>Interest expense recognized</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12,625</w:t>
            </w:r>
          </w:p>
        </w:tc>
      </w:tr>
      <w:tr>
        <w:trPr>
          <w:trHeight w:val="245"/>
        </w:trPr>
        <w:tc>
          <w:tcPr>
            <w:tcW w:w="7500" w:type="dxa"/>
            <w:vAlign w:val="bottom"/>
          </w:tcPr>
          <w:p>
            <w:pPr>
              <w:spacing w:after="0"/>
              <w:rPr>
                <w:sz w:val="20"/>
                <w:szCs w:val="20"/>
                <w:color w:val="auto"/>
              </w:rPr>
            </w:pPr>
            <w:r>
              <w:rPr>
                <w:rFonts w:ascii="Arial" w:cs="Arial" w:eastAsia="Arial" w:hAnsi="Arial"/>
                <w:sz w:val="19"/>
                <w:szCs w:val="19"/>
                <w:color w:val="auto"/>
              </w:rPr>
              <w:t>RIPSA payments</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(366)</w:t>
            </w:r>
          </w:p>
        </w:tc>
      </w:tr>
      <w:tr>
        <w:trPr>
          <w:trHeight w:val="244"/>
        </w:trPr>
        <w:tc>
          <w:tcPr>
            <w:tcW w:w="7500" w:type="dxa"/>
            <w:vAlign w:val="bottom"/>
          </w:tcPr>
          <w:p>
            <w:pPr>
              <w:spacing w:after="0"/>
              <w:rPr>
                <w:sz w:val="20"/>
                <w:szCs w:val="20"/>
                <w:color w:val="auto"/>
              </w:rPr>
            </w:pPr>
            <w:r>
              <w:rPr>
                <w:rFonts w:ascii="Arial" w:cs="Arial" w:eastAsia="Arial" w:hAnsi="Arial"/>
                <w:sz w:val="19"/>
                <w:szCs w:val="19"/>
                <w:color w:val="auto"/>
              </w:rPr>
              <w:t>RIPSA payable on fourth quarter net sales</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(2,382)</w:t>
            </w:r>
          </w:p>
        </w:tc>
      </w:tr>
      <w:tr>
        <w:trPr>
          <w:trHeight w:val="206"/>
        </w:trPr>
        <w:tc>
          <w:tcPr>
            <w:tcW w:w="7500" w:type="dxa"/>
            <w:vAlign w:val="bottom"/>
          </w:tcPr>
          <w:p>
            <w:pPr>
              <w:spacing w:after="0" w:line="205" w:lineRule="exact"/>
              <w:rPr>
                <w:sz w:val="20"/>
                <w:szCs w:val="20"/>
                <w:color w:val="auto"/>
              </w:rPr>
            </w:pPr>
            <w:r>
              <w:rPr>
                <w:rFonts w:ascii="Arial" w:cs="Arial" w:eastAsia="Arial" w:hAnsi="Arial"/>
                <w:sz w:val="19"/>
                <w:szCs w:val="19"/>
                <w:b w:val="1"/>
                <w:bCs w:val="1"/>
                <w:color w:val="auto"/>
              </w:rPr>
              <w:t>RIPSA balance at December 31, 2024</w:t>
            </w:r>
          </w:p>
        </w:tc>
        <w:tc>
          <w:tcPr>
            <w:tcW w:w="440" w:type="dxa"/>
            <w:vAlign w:val="bottom"/>
            <w:tcBorders>
              <w:bottom w:val="single" w:sz="8" w:color="auto"/>
            </w:tcBorders>
          </w:tcPr>
          <w:p>
            <w:pPr>
              <w:jc w:val="right"/>
              <w:ind w:right="204"/>
              <w:spacing w:after="0" w:line="205" w:lineRule="exact"/>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106,107</w:t>
            </w:r>
          </w:p>
        </w:tc>
      </w:tr>
      <w:tr>
        <w:trPr>
          <w:trHeight w:val="20"/>
        </w:trPr>
        <w:tc>
          <w:tcPr>
            <w:tcW w:w="7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F-24</w:t>
      </w:r>
    </w:p>
    <w:p>
      <w:pPr>
        <w:sectPr>
          <w:pgSz w:w="11880" w:h="15480" w:orient="portrait"/>
          <w:cols w:equalWidth="0" w:num="1">
            <w:col w:w="9000"/>
          </w:cols>
          <w:pgMar w:left="1440" w:top="327" w:right="1440" w:bottom="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6 - Significant agreements</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Ligand agreement</w:t>
      </w:r>
    </w:p>
    <w:p>
      <w:pPr>
        <w:spacing w:after="0" w:line="110"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In 2006 the Company acquired Rhinopharma and assumed contingent liabilities owed to Ligand UK Development Limited (“Ligand”) (formerly Vernalis Development Limited). The Company refers to the assignment and license agreement as the Ligand Agreement.</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Ligand assigned to the Company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was obligated to pay a milestone payment of £5.0 million upon obtaining the first approval of any regulatory authority for the commercialization of a Ligand Licensed Product, as well as low single digit royalties based on the future sales performance of all Ligand Licensed Products and a portion equal to a mid-twenty percent of any consideration received from any sub-licensees for the Ligand Patents and for Ligand know-how. Royalties payable are based on the future sales performance so the amount payable is unlimited.</w:t>
      </w:r>
    </w:p>
    <w:p>
      <w:pPr>
        <w:spacing w:after="0" w:line="6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At the time each contingency is resolved, the Company will record the contingent consideration payment (or payable) in connection with the Ligand Agreement as an expense.</w:t>
      </w:r>
    </w:p>
    <w:p>
      <w:pPr>
        <w:spacing w:after="0" w:line="52"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In March 2022, the Company entered into an Amendment Agreement (the “Amendment”) with Ligand whereby the Ligand Agreement was amended to clarify certain ambiguous terms in the Ligand Agreement. Pursuant to the Amendment:</w:t>
      </w:r>
    </w:p>
    <w:p>
      <w:pPr>
        <w:spacing w:after="0" w:line="66" w:lineRule="exact"/>
        <w:rPr>
          <w:sz w:val="20"/>
          <w:szCs w:val="20"/>
          <w:color w:val="auto"/>
        </w:rPr>
      </w:pPr>
    </w:p>
    <w:p>
      <w:pPr>
        <w:jc w:val="both"/>
        <w:ind w:left="360" w:hanging="355"/>
        <w:spacing w:after="0" w:line="276" w:lineRule="auto"/>
        <w:tabs>
          <w:tab w:leader="none" w:pos="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Company agreed to pay to Ligand (i) $2.0 million within five business days of the date of the Amendment and (ii) $15.0 million upon the first commercial sale of ensifentrine by the Company or a sub-licensee, which amount is payable in cash or, at the Company's discretion, by the issuance of Company equity of equivalent value, as determined based on the volume-weighted average price of the Company's American Depositary Shares on the Nasdaq Global Market over the ten (10) trading days including and prior to such milestone event;</w:t>
      </w:r>
    </w:p>
    <w:p>
      <w:pPr>
        <w:spacing w:after="0" w:line="47" w:lineRule="exact"/>
        <w:rPr>
          <w:rFonts w:ascii="Arial" w:cs="Arial" w:eastAsia="Arial" w:hAnsi="Arial"/>
          <w:sz w:val="17"/>
          <w:szCs w:val="17"/>
          <w:color w:val="auto"/>
        </w:rPr>
      </w:pPr>
    </w:p>
    <w:p>
      <w:pPr>
        <w:ind w:left="360" w:hanging="355"/>
        <w:spacing w:after="0" w:line="267" w:lineRule="auto"/>
        <w:tabs>
          <w:tab w:leader="none" w:pos="3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Ligand Agreement shall expire on March 24, 2042 unless terminated earlier by either party in accordance with its terms;</w:t>
      </w:r>
    </w:p>
    <w:p>
      <w:pPr>
        <w:spacing w:after="0" w:line="51" w:lineRule="exact"/>
        <w:rPr>
          <w:rFonts w:ascii="Arial" w:cs="Arial" w:eastAsia="Arial" w:hAnsi="Arial"/>
          <w:sz w:val="19"/>
          <w:szCs w:val="19"/>
          <w:color w:val="auto"/>
        </w:rPr>
      </w:pPr>
    </w:p>
    <w:p>
      <w:pPr>
        <w:jc w:val="both"/>
        <w:ind w:left="360" w:hanging="355"/>
        <w:spacing w:after="0" w:line="250" w:lineRule="auto"/>
        <w:tabs>
          <w:tab w:leader="none" w:pos="3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upon termination of the Ligand Agreement, any Sub-licensee (as defined in the Amendment) shall have the right to enter into a direct license agreement with Ligand for the portion of the Program IP (as defined in the Amendment) that was sub-licensed by such Sub-licensee;</w:t>
      </w:r>
    </w:p>
    <w:p>
      <w:pPr>
        <w:spacing w:after="0" w:line="66" w:lineRule="exact"/>
        <w:rPr>
          <w:rFonts w:ascii="Arial" w:cs="Arial" w:eastAsia="Arial" w:hAnsi="Arial"/>
          <w:sz w:val="19"/>
          <w:szCs w:val="19"/>
          <w:color w:val="auto"/>
        </w:rPr>
      </w:pPr>
    </w:p>
    <w:p>
      <w:pPr>
        <w:ind w:left="360" w:hanging="355"/>
        <w:spacing w:after="0" w:line="267" w:lineRule="auto"/>
        <w:tabs>
          <w:tab w:leader="none" w:pos="3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milestone payment may be paid in cash or, at the Company’s discretion, by issuing to Ligand shares in the Company of equivalent value; and</w:t>
      </w:r>
    </w:p>
    <w:p>
      <w:pPr>
        <w:spacing w:after="0" w:line="51" w:lineRule="exact"/>
        <w:rPr>
          <w:rFonts w:ascii="Arial" w:cs="Arial" w:eastAsia="Arial" w:hAnsi="Arial"/>
          <w:sz w:val="19"/>
          <w:szCs w:val="19"/>
          <w:color w:val="auto"/>
        </w:rPr>
      </w:pPr>
    </w:p>
    <w:p>
      <w:pPr>
        <w:jc w:val="both"/>
        <w:ind w:left="360" w:hanging="355"/>
        <w:spacing w:after="0" w:line="250" w:lineRule="auto"/>
        <w:tabs>
          <w:tab w:leader="none" w:pos="3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each party’s right to terminate the Ligand Agreement is conditioned upon such party obtaining a final judgment of the English High Court declaring that the other party is in material breach of its obligations under the Ligand Agreement.</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Company accounted for the $2.0 million payment at execution of the Amendment as selling, general and administrative expense in the Consolidated Statements of Operations and Comprehensive Loss as the payment is related to a contract modification.</w:t>
      </w:r>
    </w:p>
    <w:p>
      <w:pPr>
        <w:spacing w:after="0" w:line="6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Due to the FDA approval of Ohtuvayre on June 26, 2024, the Company has recognized the following in the year ended December 31, 2024:</w:t>
      </w:r>
    </w:p>
    <w:p>
      <w:pPr>
        <w:spacing w:after="0" w:line="52" w:lineRule="exact"/>
        <w:rPr>
          <w:sz w:val="20"/>
          <w:szCs w:val="20"/>
          <w:color w:val="auto"/>
        </w:rPr>
      </w:pPr>
    </w:p>
    <w:p>
      <w:pPr>
        <w:ind w:left="360" w:hanging="355"/>
        <w:spacing w:after="0" w:line="267" w:lineRule="auto"/>
        <w:tabs>
          <w:tab w:leader="none" w:pos="3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$6.3 million in Research and development costs related to a milestone payment for first regulatory approval of ensifentrine; and</w:t>
      </w:r>
    </w:p>
    <w:p>
      <w:pPr>
        <w:spacing w:after="0" w:line="51" w:lineRule="exact"/>
        <w:rPr>
          <w:rFonts w:ascii="Arial" w:cs="Arial" w:eastAsia="Arial" w:hAnsi="Arial"/>
          <w:sz w:val="19"/>
          <w:szCs w:val="19"/>
          <w:color w:val="auto"/>
        </w:rPr>
      </w:pPr>
    </w:p>
    <w:p>
      <w:pPr>
        <w:jc w:val="both"/>
        <w:ind w:left="360" w:hanging="355"/>
        <w:spacing w:after="0" w:line="250" w:lineRule="auto"/>
        <w:tabs>
          <w:tab w:leader="none" w:pos="3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$15.0 million related to a milestone payment for first commercial sale of ensifentrine. The Company has classified this as Selling, general and administrative expense as it relates to the resolution of the 2021 dispute with Ligand.</w:t>
      </w:r>
    </w:p>
    <w:p>
      <w:pPr>
        <w:spacing w:after="0" w:line="66"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The Company is obligated to pay low single digit royalties based on the net sales of all Ligand Licensed Products and expenses all costs related to royalty amounts as a cost of sales within the income statement.</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F-25</w:t>
      </w:r>
    </w:p>
    <w:p>
      <w:pPr>
        <w:sectPr>
          <w:pgSz w:w="11880" w:h="15480" w:orient="portrait"/>
          <w:cols w:equalWidth="0" w:num="1">
            <w:col w:w="9000"/>
          </w:cols>
          <w:pgMar w:left="1440" w:top="327" w:right="1440" w:bottom="0"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Nuance agreement</w:t>
      </w:r>
    </w:p>
    <w:p>
      <w:pPr>
        <w:spacing w:after="0" w:line="11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The Company entered into a collaboration and license agreement (the “Nuance Agreement”) with Nuance Pharma Limited (“Nuance Pharma”) effective June 9, 2021 (the “Nuance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Nuance Effective Date, in Nuance Biotech, the parent company of Nuance Pharma. The Company is eligible to receive future milestone payments of up to $179.0 million triggered upon achievement of certain clinical, regulatory, and commercial milestones, as well as tiered double-digit royalties as a percentage of net sales of the products in Greater China. The Company will recognize these milestones when it is probable that a significant revenue reversal would not occur.</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2024, the $15.0 million equity interest was recorded as Equity interest on the Consolidated Balance Sheets. The equity interest is recorded at cost as the Company has elected to use the measurement alternative for equity investments without readily determinable fair values. The Company evaluates this investment for indicators of impairment quarterly. The Company did not identify events or changes in circumstances that may have a significant effect on the fair value of the investment during the year ended December 31, 2024.</w:t>
      </w:r>
    </w:p>
    <w:p>
      <w:pPr>
        <w:spacing w:after="0" w:line="4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Under the terms of the Nuance Agreement, at any time until three months prior to the expected submission of the first New Drug Application in Greater China, if (i) a third party is interested in partnering with the Company, either globally or in territory covering at least the United States or Europe, for the development and/or commercialization of ensifentrine or (ii) the Company undergoes a change of control, the Company will have an exclusive option right to buy back the license granted to Nuance Pharma and all related assets. The price is agreed to be equal to the aggregate of (i) all prior amounts paid by Nuance Pharma to the Company in cash under the agreement and (ii) all development and regulatory costs incurred and paid by Nuance Pharma in connection with the development and commercialization of ensifentrine under the Nuance Agreement multiplied by a single-digit factor range dependent upon achievement of certain milestones, subject to a specified maximum amount.</w:t>
      </w:r>
    </w:p>
    <w:p>
      <w:pPr>
        <w:spacing w:after="0" w:line="6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42"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Company reviewed the buy-back option and determined that because it is conditional on a third party the Company does not have the practical ability to exercise it and, accordingly, the contract is accounted for under ASC 606.</w:t>
      </w:r>
    </w:p>
    <w:p>
      <w:pPr>
        <w:spacing w:after="0" w:line="66"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On April 13, 2022, the Company formalized the Agreement for the Manufacture and Clinical Supply of ensifentrine (“Nuance Clinical Supply Agreement”) with Nuance Pharma. The Company determined that the manufacturing and supply of ensifentrine to Nuance represents a distinct and separate performance obligation, for which consideration to be received is variable based on the quantities to be ordered by Nuance. Revenue earned with the manufacture and supply of the licensed product is, and will be, recognized as the supply is delivered to Nuance. The Company has determined it is acting as principal in relation to the manufacture and supply under the Agreement. In its capacity as principal, the Company will recognize the associated revenue on a gross basis. In the year ended December 31, 2022, the Company recognized $0.5 million of revenue in relation to the clinical supply of ensifentrine to Nuance Pharma.</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F-26</w:t>
      </w:r>
    </w:p>
    <w:p>
      <w:pPr>
        <w:sectPr>
          <w:pgSz w:w="11880" w:h="15480" w:orient="portrait"/>
          <w:cols w:equalWidth="0" w:num="1">
            <w:col w:w="9000"/>
          </w:cols>
          <w:pgMar w:left="1440" w:top="327" w:right="1440" w:bottom="0" w:gutter="0" w:footer="0" w:header="0"/>
          <w:type w:val="continuous"/>
        </w:sectPr>
      </w:pPr>
    </w:p>
    <w:bookmarkStart w:id="134" w:name="page135"/>
    <w:bookmarkEnd w:id="134"/>
    <w:p>
      <w:pPr>
        <w:jc w:val="center"/>
        <w:ind w:right="60"/>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7 - Share-based compensation</w:t>
      </w:r>
    </w:p>
    <w:p>
      <w:pPr>
        <w:spacing w:after="0" w:line="228" w:lineRule="exact"/>
        <w:rPr>
          <w:sz w:val="20"/>
          <w:szCs w:val="20"/>
          <w:color w:val="auto"/>
        </w:rPr>
      </w:pPr>
    </w:p>
    <w:p>
      <w:pPr>
        <w:jc w:val="both"/>
        <w:ind w:right="60"/>
        <w:spacing w:after="0" w:line="267" w:lineRule="auto"/>
        <w:rPr>
          <w:sz w:val="20"/>
          <w:szCs w:val="20"/>
          <w:color w:val="auto"/>
        </w:rPr>
      </w:pPr>
      <w:r>
        <w:rPr>
          <w:rFonts w:ascii="Arial" w:cs="Arial" w:eastAsia="Arial" w:hAnsi="Arial"/>
          <w:sz w:val="19"/>
          <w:szCs w:val="19"/>
          <w:color w:val="auto"/>
        </w:rPr>
        <w:t>The Company operates various share based incentive plans for its staff and issues ordinary shares or ADSs when share-based awards are exercised.</w:t>
      </w:r>
    </w:p>
    <w:p>
      <w:pPr>
        <w:spacing w:after="0" w:line="52" w:lineRule="exact"/>
        <w:rPr>
          <w:sz w:val="20"/>
          <w:szCs w:val="20"/>
          <w:color w:val="auto"/>
        </w:rPr>
      </w:pPr>
    </w:p>
    <w:p>
      <w:pPr>
        <w:jc w:val="both"/>
        <w:ind w:right="60"/>
        <w:spacing w:after="0" w:line="239" w:lineRule="auto"/>
        <w:rPr>
          <w:sz w:val="20"/>
          <w:szCs w:val="20"/>
          <w:color w:val="auto"/>
        </w:rPr>
      </w:pPr>
      <w:r>
        <w:rPr>
          <w:rFonts w:ascii="Arial" w:cs="Arial" w:eastAsia="Arial" w:hAnsi="Arial"/>
          <w:sz w:val="19"/>
          <w:szCs w:val="19"/>
          <w:color w:val="auto"/>
        </w:rPr>
        <w:t>The Company records share-based compensation expense related to share options, RSUs and PRSUs granted to employees and directors. The expense is included in Cost of sales, Research and development and Selling, general and administrative costs, based on the nature of individual employees’ functions, and represents the relevant year's allocation of the expense. The costs of share-based compensation to employees are recognized in the Consolidated Statements of Operations and Comprehensive Loss, together with a corresponding increase in equity over the vesting period.</w:t>
      </w:r>
    </w:p>
    <w:p>
      <w:pPr>
        <w:spacing w:after="0" w:line="78" w:lineRule="exact"/>
        <w:rPr>
          <w:sz w:val="20"/>
          <w:szCs w:val="20"/>
          <w:color w:val="auto"/>
        </w:rPr>
      </w:pPr>
    </w:p>
    <w:p>
      <w:pPr>
        <w:jc w:val="both"/>
        <w:ind w:right="60"/>
        <w:spacing w:after="0" w:line="267" w:lineRule="auto"/>
        <w:rPr>
          <w:sz w:val="20"/>
          <w:szCs w:val="20"/>
          <w:color w:val="auto"/>
        </w:rPr>
      </w:pPr>
      <w:r>
        <w:rPr>
          <w:rFonts w:ascii="Arial" w:cs="Arial" w:eastAsia="Arial" w:hAnsi="Arial"/>
          <w:sz w:val="19"/>
          <w:szCs w:val="19"/>
          <w:color w:val="auto"/>
        </w:rPr>
        <w:t>Options are issued with an exercise price of the closing market price on the day before the grant and generally vest over a period of one to four years and the contractual life of all options is ten years.</w:t>
      </w:r>
    </w:p>
    <w:p>
      <w:pPr>
        <w:spacing w:after="0" w:line="52" w:lineRule="exact"/>
        <w:rPr>
          <w:sz w:val="20"/>
          <w:szCs w:val="20"/>
          <w:color w:val="auto"/>
        </w:rPr>
      </w:pPr>
    </w:p>
    <w:p>
      <w:pPr>
        <w:jc w:val="both"/>
        <w:ind w:right="60"/>
        <w:spacing w:after="0" w:line="267" w:lineRule="auto"/>
        <w:rPr>
          <w:sz w:val="20"/>
          <w:szCs w:val="20"/>
          <w:color w:val="auto"/>
        </w:rPr>
      </w:pPr>
      <w:r>
        <w:rPr>
          <w:rFonts w:ascii="Arial" w:cs="Arial" w:eastAsia="Arial" w:hAnsi="Arial"/>
          <w:sz w:val="19"/>
          <w:szCs w:val="19"/>
          <w:color w:val="auto"/>
        </w:rPr>
        <w:t>The following table shows the allocation of share-based compensation between research and development and selling, general and administrative costs (in thousands):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5"/>
                <w:szCs w:val="15"/>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0"/>
        </w:trPr>
        <w:tc>
          <w:tcPr>
            <w:tcW w:w="5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5"/>
                <w:szCs w:val="15"/>
                <w:b w:val="1"/>
                <w:bCs w:val="1"/>
                <w:color w:val="auto"/>
              </w:rPr>
              <w:t>2023</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5"/>
                <w:szCs w:val="15"/>
                <w:b w:val="1"/>
                <w:bCs w:val="1"/>
                <w:color w:val="auto"/>
              </w:rPr>
              <w:t>2022</w:t>
            </w:r>
          </w:p>
        </w:tc>
      </w:tr>
      <w:tr>
        <w:trPr>
          <w:trHeight w:val="252"/>
        </w:trPr>
        <w:tc>
          <w:tcPr>
            <w:tcW w:w="5540" w:type="dxa"/>
            <w:vAlign w:val="bottom"/>
          </w:tcPr>
          <w:p>
            <w:pPr>
              <w:spacing w:after="0"/>
              <w:rPr>
                <w:sz w:val="20"/>
                <w:szCs w:val="20"/>
                <w:color w:val="auto"/>
              </w:rPr>
            </w:pPr>
            <w:r>
              <w:rPr>
                <w:rFonts w:ascii="Arial" w:cs="Arial" w:eastAsia="Arial" w:hAnsi="Arial"/>
                <w:sz w:val="19"/>
                <w:szCs w:val="19"/>
                <w:color w:val="auto"/>
              </w:rPr>
              <w:t>Capitalized to inventory</w:t>
            </w:r>
          </w:p>
        </w:tc>
        <w:tc>
          <w:tcPr>
            <w:tcW w:w="26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333</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74"/>
        </w:trPr>
        <w:tc>
          <w:tcPr>
            <w:tcW w:w="5540" w:type="dxa"/>
            <w:vAlign w:val="bottom"/>
          </w:tcPr>
          <w:p>
            <w:pPr>
              <w:spacing w:after="0"/>
              <w:rPr>
                <w:sz w:val="20"/>
                <w:szCs w:val="20"/>
                <w:color w:val="auto"/>
              </w:rPr>
            </w:pPr>
            <w:r>
              <w:rPr>
                <w:rFonts w:ascii="Arial" w:cs="Arial" w:eastAsia="Arial" w:hAnsi="Arial"/>
                <w:sz w:val="19"/>
                <w:szCs w:val="19"/>
                <w:color w:val="auto"/>
              </w:rPr>
              <w:t>Research and development</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7,291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4,228</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5,420</w:t>
            </w:r>
          </w:p>
        </w:tc>
      </w:tr>
      <w:tr>
        <w:trPr>
          <w:trHeight w:val="276"/>
        </w:trPr>
        <w:tc>
          <w:tcPr>
            <w:tcW w:w="5540" w:type="dxa"/>
            <w:vAlign w:val="bottom"/>
          </w:tcPr>
          <w:p>
            <w:pPr>
              <w:spacing w:after="0"/>
              <w:rPr>
                <w:sz w:val="20"/>
                <w:szCs w:val="20"/>
                <w:color w:val="auto"/>
              </w:rPr>
            </w:pPr>
            <w:r>
              <w:rPr>
                <w:rFonts w:ascii="Arial" w:cs="Arial" w:eastAsia="Arial" w:hAnsi="Arial"/>
                <w:sz w:val="19"/>
                <w:szCs w:val="19"/>
                <w:color w:val="auto"/>
              </w:rPr>
              <w:t>Selling, general and administrative</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33,620</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14,784</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8,701</w:t>
            </w:r>
          </w:p>
        </w:tc>
      </w:tr>
      <w:tr>
        <w:trPr>
          <w:trHeight w:val="235"/>
        </w:trPr>
        <w:tc>
          <w:tcPr>
            <w:tcW w:w="5540" w:type="dxa"/>
            <w:vAlign w:val="bottom"/>
          </w:tcPr>
          <w:p>
            <w:pPr>
              <w:spacing w:after="0"/>
              <w:rPr>
                <w:sz w:val="20"/>
                <w:szCs w:val="20"/>
                <w:color w:val="auto"/>
              </w:rPr>
            </w:pPr>
            <w:r>
              <w:rPr>
                <w:rFonts w:ascii="Arial" w:cs="Arial" w:eastAsia="Arial" w:hAnsi="Arial"/>
                <w:sz w:val="19"/>
                <w:szCs w:val="19"/>
                <w:b w:val="1"/>
                <w:bCs w:val="1"/>
                <w:color w:val="auto"/>
              </w:rPr>
              <w:t>Total share-based compensation</w:t>
            </w:r>
          </w:p>
        </w:tc>
        <w:tc>
          <w:tcPr>
            <w:tcW w:w="26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41,244</w:t>
            </w:r>
          </w:p>
        </w:tc>
        <w:tc>
          <w:tcPr>
            <w:tcW w:w="340" w:type="dxa"/>
            <w:vAlign w:val="bottom"/>
            <w:gridSpan w:val="2"/>
          </w:tcPr>
          <w:p>
            <w:pPr>
              <w:jc w:val="right"/>
              <w:ind w:right="43"/>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19,012</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14,121</w:t>
            </w:r>
          </w:p>
        </w:tc>
      </w:tr>
      <w:tr>
        <w:trPr>
          <w:trHeight w:val="20"/>
        </w:trPr>
        <w:tc>
          <w:tcPr>
            <w:tcW w:w="5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-725805</wp:posOffset>
            </wp:positionV>
            <wp:extent cx="5770245" cy="732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5770245" cy="73279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Pre-IPO Option Plan</w:t>
      </w:r>
    </w:p>
    <w:p>
      <w:pPr>
        <w:spacing w:after="0" w:line="115" w:lineRule="exact"/>
        <w:rPr>
          <w:sz w:val="20"/>
          <w:szCs w:val="20"/>
          <w:color w:val="auto"/>
        </w:rPr>
      </w:pPr>
    </w:p>
    <w:p>
      <w:pPr>
        <w:jc w:val="both"/>
        <w:ind w:right="60"/>
        <w:spacing w:after="0" w:line="250" w:lineRule="auto"/>
        <w:rPr>
          <w:sz w:val="20"/>
          <w:szCs w:val="20"/>
          <w:color w:val="auto"/>
        </w:rPr>
      </w:pPr>
      <w:r>
        <w:rPr>
          <w:rFonts w:ascii="Arial" w:cs="Arial" w:eastAsia="Arial" w:hAnsi="Arial"/>
          <w:sz w:val="19"/>
          <w:szCs w:val="19"/>
          <w:color w:val="auto"/>
        </w:rPr>
        <w:t>The Pre-IPO Option Plan was adopted by our board of directors on July 24, 2012. The total number of shares that may be issued under this plan is the current number of outstanding options over 1,110,000 ordinary shares, or 138,750 ADSs.</w:t>
      </w:r>
    </w:p>
    <w:p>
      <w:pPr>
        <w:spacing w:after="0" w:line="66" w:lineRule="exact"/>
        <w:rPr>
          <w:sz w:val="20"/>
          <w:szCs w:val="20"/>
          <w:color w:val="auto"/>
        </w:rPr>
      </w:pPr>
    </w:p>
    <w:p>
      <w:pPr>
        <w:jc w:val="both"/>
        <w:ind w:right="60"/>
        <w:spacing w:after="0" w:line="267" w:lineRule="auto"/>
        <w:rPr>
          <w:sz w:val="20"/>
          <w:szCs w:val="20"/>
          <w:color w:val="auto"/>
        </w:rPr>
      </w:pPr>
      <w:r>
        <w:rPr>
          <w:rFonts w:ascii="Arial" w:cs="Arial" w:eastAsia="Arial" w:hAnsi="Arial"/>
          <w:sz w:val="19"/>
          <w:szCs w:val="19"/>
          <w:color w:val="auto"/>
        </w:rPr>
        <w:t>No further awards have been granted under the Pre-IPO Other Plan plan since the 2017 Incentive Award Plan was adopted, and no further awards will be granted under it.</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2017 Incentive Award Plan</w:t>
      </w:r>
    </w:p>
    <w:p>
      <w:pPr>
        <w:spacing w:after="0" w:line="115" w:lineRule="exact"/>
        <w:rPr>
          <w:sz w:val="20"/>
          <w:szCs w:val="20"/>
          <w:color w:val="auto"/>
        </w:rPr>
      </w:pPr>
    </w:p>
    <w:p>
      <w:pPr>
        <w:jc w:val="both"/>
        <w:ind w:right="60"/>
        <w:spacing w:after="0" w:line="244" w:lineRule="auto"/>
        <w:rPr>
          <w:sz w:val="20"/>
          <w:szCs w:val="20"/>
          <w:color w:val="auto"/>
        </w:rPr>
      </w:pPr>
      <w:r>
        <w:rPr>
          <w:rFonts w:ascii="Arial" w:cs="Arial" w:eastAsia="Arial" w:hAnsi="Arial"/>
          <w:sz w:val="19"/>
          <w:szCs w:val="19"/>
          <w:color w:val="auto"/>
        </w:rPr>
        <w:t>The 2017 Incentive Award Plan was adopted by our board of directors and became effective on April 26, 2017, in order to grant share based compensation to certain of the Company’s directors and employees. It provides for the grant of stock options, RSUs, and other share-based awards to Company’s directors, officers, employees and non-employee directors.</w:t>
      </w:r>
    </w:p>
    <w:p>
      <w:pPr>
        <w:sectPr>
          <w:pgSz w:w="11880" w:h="15480" w:orient="portrait"/>
          <w:cols w:equalWidth="0" w:num="1">
            <w:col w:w="9060"/>
          </w:cols>
          <w:pgMar w:left="1440" w:top="327"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F-27</w:t>
      </w:r>
    </w:p>
    <w:p>
      <w:pPr>
        <w:sectPr>
          <w:pgSz w:w="11880" w:h="15480" w:orient="portrait"/>
          <w:cols w:equalWidth="0" w:num="1">
            <w:col w:w="9060"/>
          </w:cols>
          <w:pgMar w:left="1440" w:top="327" w:right="1380" w:bottom="0"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Share option activity</w:t>
      </w:r>
    </w:p>
    <w:p>
      <w:pPr>
        <w:spacing w:after="0" w:line="110"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number of options, the weighted average grant date fair value per stock option, and the weighted average exercise price are all shown below on a per ordinary shares basis. The Company’s ADSs that are listed on the Nasdaq Global Market each represent eight ordinary shares.</w:t>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shows share option activity and includes the options outstanding from the plans: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94"/>
              </w:rPr>
              <w:t>Weighted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12"/>
              <w:spacing w:after="0"/>
              <w:rPr>
                <w:sz w:val="20"/>
                <w:szCs w:val="20"/>
                <w:color w:val="auto"/>
              </w:rPr>
            </w:pPr>
            <w:r>
              <w:rPr>
                <w:rFonts w:ascii="Arial" w:cs="Arial" w:eastAsia="Arial" w:hAnsi="Arial"/>
                <w:sz w:val="15"/>
                <w:szCs w:val="15"/>
                <w:b w:val="1"/>
                <w:bCs w:val="1"/>
                <w:color w:val="auto"/>
                <w:w w:val="94"/>
              </w:rPr>
              <w:t>Weighted</w:t>
            </w:r>
          </w:p>
        </w:tc>
        <w:tc>
          <w:tcPr>
            <w:tcW w:w="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91"/>
              </w:rPr>
              <w:t>average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12"/>
              <w:spacing w:after="0"/>
              <w:rPr>
                <w:sz w:val="20"/>
                <w:szCs w:val="20"/>
                <w:color w:val="auto"/>
              </w:rPr>
            </w:pPr>
            <w:r>
              <w:rPr>
                <w:rFonts w:ascii="Arial" w:cs="Arial" w:eastAsia="Arial" w:hAnsi="Arial"/>
                <w:sz w:val="15"/>
                <w:szCs w:val="15"/>
                <w:b w:val="1"/>
                <w:bCs w:val="1"/>
                <w:color w:val="auto"/>
                <w:w w:val="91"/>
              </w:rPr>
              <w:t>average</w:t>
            </w:r>
          </w:p>
        </w:tc>
        <w:tc>
          <w:tcPr>
            <w:tcW w:w="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94"/>
              </w:rPr>
              <w:t>remaining</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89"/>
              <w:spacing w:after="0"/>
              <w:rPr>
                <w:sz w:val="20"/>
                <w:szCs w:val="20"/>
                <w:color w:val="auto"/>
              </w:rPr>
            </w:pPr>
            <w:r>
              <w:rPr>
                <w:rFonts w:ascii="Arial" w:cs="Arial" w:eastAsia="Arial" w:hAnsi="Arial"/>
                <w:sz w:val="15"/>
                <w:szCs w:val="15"/>
                <w:b w:val="1"/>
                <w:bCs w:val="1"/>
                <w:color w:val="auto"/>
                <w:w w:val="91"/>
              </w:rPr>
              <w:t>Aggregate</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5"/>
                <w:szCs w:val="15"/>
                <w:b w:val="1"/>
                <w:bCs w:val="1"/>
                <w:color w:val="auto"/>
                <w:w w:val="87"/>
              </w:rPr>
              <w:t>exercise price</w:t>
            </w:r>
          </w:p>
        </w:tc>
        <w:tc>
          <w:tcPr>
            <w:tcW w:w="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93"/>
              </w:rPr>
              <w:t>contractual</w:t>
            </w:r>
          </w:p>
        </w:tc>
        <w:tc>
          <w:tcPr>
            <w:tcW w:w="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1"/>
              </w:rPr>
              <w:t>intrinsic value</w:t>
            </w:r>
          </w:p>
        </w:tc>
        <w:tc>
          <w:tcPr>
            <w:tcW w:w="0" w:type="dxa"/>
            <w:vAlign w:val="bottom"/>
          </w:tcPr>
          <w:p>
            <w:pPr>
              <w:spacing w:after="0"/>
              <w:rPr>
                <w:sz w:val="1"/>
                <w:szCs w:val="1"/>
                <w:color w:val="auto"/>
              </w:rPr>
            </w:pPr>
          </w:p>
        </w:tc>
      </w:tr>
      <w:tr>
        <w:trPr>
          <w:trHeight w:val="131"/>
        </w:trPr>
        <w:tc>
          <w:tcPr>
            <w:tcW w:w="4280" w:type="dxa"/>
            <w:vAlign w:val="bottom"/>
          </w:tcPr>
          <w:p>
            <w:pPr>
              <w:spacing w:after="0"/>
              <w:rPr>
                <w:sz w:val="11"/>
                <w:szCs w:val="11"/>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5"/>
                <w:szCs w:val="15"/>
                <w:b w:val="1"/>
                <w:bCs w:val="1"/>
                <w:color w:val="auto"/>
                <w:w w:val="99"/>
              </w:rPr>
              <w:t>share options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12"/>
              <w:spacing w:after="0"/>
              <w:rPr>
                <w:sz w:val="20"/>
                <w:szCs w:val="20"/>
                <w:color w:val="auto"/>
              </w:rPr>
            </w:pPr>
            <w:r>
              <w:rPr>
                <w:rFonts w:ascii="Arial" w:cs="Arial" w:eastAsia="Arial" w:hAnsi="Arial"/>
                <w:sz w:val="10"/>
                <w:szCs w:val="10"/>
                <w:b w:val="1"/>
                <w:bCs w:val="1"/>
                <w:color w:val="auto"/>
                <w:w w:val="97"/>
              </w:rPr>
              <w:t>(1)</w:t>
            </w:r>
          </w:p>
        </w:tc>
        <w:tc>
          <w:tcPr>
            <w:tcW w:w="6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term (years)</w:t>
            </w:r>
          </w:p>
        </w:tc>
        <w:tc>
          <w:tcPr>
            <w:tcW w:w="60" w:type="dxa"/>
            <w:vAlign w:val="bottom"/>
          </w:tcPr>
          <w:p>
            <w:pPr>
              <w:spacing w:after="0"/>
              <w:rPr>
                <w:sz w:val="11"/>
                <w:szCs w:val="11"/>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88"/>
              </w:rPr>
              <w:t>(in thousands)</w:t>
            </w:r>
          </w:p>
        </w:tc>
        <w:tc>
          <w:tcPr>
            <w:tcW w:w="0" w:type="dxa"/>
            <w:vAlign w:val="bottom"/>
          </w:tcPr>
          <w:p>
            <w:pPr>
              <w:spacing w:after="0"/>
              <w:rPr>
                <w:sz w:val="1"/>
                <w:szCs w:val="1"/>
                <w:color w:val="auto"/>
              </w:rPr>
            </w:pPr>
          </w:p>
        </w:tc>
      </w:tr>
      <w:tr>
        <w:trPr>
          <w:trHeight w:val="90"/>
        </w:trPr>
        <w:tc>
          <w:tcPr>
            <w:tcW w:w="4280" w:type="dxa"/>
            <w:vAlign w:val="bottom"/>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4280" w:type="dxa"/>
            <w:vAlign w:val="bottom"/>
          </w:tcPr>
          <w:p>
            <w:pPr>
              <w:spacing w:after="0"/>
              <w:rPr>
                <w:sz w:val="20"/>
                <w:szCs w:val="20"/>
                <w:color w:val="auto"/>
              </w:rPr>
            </w:pPr>
            <w:r>
              <w:rPr>
                <w:rFonts w:ascii="Arial" w:cs="Arial" w:eastAsia="Arial" w:hAnsi="Arial"/>
                <w:sz w:val="19"/>
                <w:szCs w:val="19"/>
                <w:b w:val="1"/>
                <w:bCs w:val="1"/>
                <w:color w:val="auto"/>
              </w:rPr>
              <w:t>Outstanding at January 1, 2024</w:t>
            </w:r>
          </w:p>
        </w:tc>
        <w:tc>
          <w:tcPr>
            <w:tcW w:w="1120" w:type="dxa"/>
            <w:vAlign w:val="bottom"/>
          </w:tcPr>
          <w:p>
            <w:pPr>
              <w:jc w:val="right"/>
              <w:spacing w:after="0"/>
              <w:rPr>
                <w:sz w:val="20"/>
                <w:szCs w:val="20"/>
                <w:color w:val="auto"/>
              </w:rPr>
            </w:pPr>
            <w:r>
              <w:rPr>
                <w:rFonts w:ascii="Arial" w:cs="Arial" w:eastAsia="Arial" w:hAnsi="Arial"/>
                <w:sz w:val="19"/>
                <w:szCs w:val="19"/>
                <w:color w:val="auto"/>
              </w:rPr>
              <w:t>24,689,624</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1.56</w:t>
            </w:r>
          </w:p>
        </w:tc>
        <w:tc>
          <w:tcPr>
            <w:tcW w:w="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7.4</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24,022</w:t>
            </w:r>
          </w:p>
        </w:tc>
        <w:tc>
          <w:tcPr>
            <w:tcW w:w="0" w:type="dxa"/>
            <w:vAlign w:val="bottom"/>
          </w:tcPr>
          <w:p>
            <w:pPr>
              <w:spacing w:after="0"/>
              <w:rPr>
                <w:sz w:val="1"/>
                <w:szCs w:val="1"/>
                <w:color w:val="auto"/>
              </w:rPr>
            </w:pPr>
          </w:p>
        </w:tc>
      </w:tr>
      <w:tr>
        <w:trPr>
          <w:trHeight w:val="245"/>
        </w:trPr>
        <w:tc>
          <w:tcPr>
            <w:tcW w:w="4280" w:type="dxa"/>
            <w:vAlign w:val="bottom"/>
          </w:tcPr>
          <w:p>
            <w:pPr>
              <w:spacing w:after="0"/>
              <w:rPr>
                <w:sz w:val="20"/>
                <w:szCs w:val="20"/>
                <w:color w:val="auto"/>
              </w:rPr>
            </w:pPr>
            <w:r>
              <w:rPr>
                <w:rFonts w:ascii="Arial" w:cs="Arial" w:eastAsia="Arial" w:hAnsi="Arial"/>
                <w:sz w:val="19"/>
                <w:szCs w:val="19"/>
                <w:color w:val="auto"/>
              </w:rPr>
              <w:t>Granted</w:t>
            </w:r>
          </w:p>
        </w:tc>
        <w:tc>
          <w:tcPr>
            <w:tcW w:w="1120" w:type="dxa"/>
            <w:vAlign w:val="bottom"/>
          </w:tcPr>
          <w:p>
            <w:pPr>
              <w:jc w:val="right"/>
              <w:spacing w:after="0"/>
              <w:rPr>
                <w:sz w:val="20"/>
                <w:szCs w:val="20"/>
                <w:color w:val="auto"/>
              </w:rPr>
            </w:pPr>
            <w:r>
              <w:rPr>
                <w:rFonts w:ascii="Arial" w:cs="Arial" w:eastAsia="Arial" w:hAnsi="Arial"/>
                <w:sz w:val="19"/>
                <w:szCs w:val="19"/>
                <w:color w:val="auto"/>
              </w:rPr>
              <w:t>13,416,000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2.32</w:t>
            </w:r>
          </w:p>
        </w:tc>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280" w:type="dxa"/>
            <w:vAlign w:val="bottom"/>
          </w:tcPr>
          <w:p>
            <w:pPr>
              <w:spacing w:after="0"/>
              <w:rPr>
                <w:sz w:val="20"/>
                <w:szCs w:val="20"/>
                <w:color w:val="auto"/>
              </w:rPr>
            </w:pPr>
            <w:r>
              <w:rPr>
                <w:rFonts w:ascii="Arial" w:cs="Arial" w:eastAsia="Arial" w:hAnsi="Arial"/>
                <w:sz w:val="19"/>
                <w:szCs w:val="19"/>
                <w:color w:val="auto"/>
              </w:rPr>
              <w:t>Forfeited</w:t>
            </w:r>
          </w:p>
        </w:tc>
        <w:tc>
          <w:tcPr>
            <w:tcW w:w="1120" w:type="dxa"/>
            <w:vAlign w:val="bottom"/>
          </w:tcPr>
          <w:p>
            <w:pPr>
              <w:jc w:val="right"/>
              <w:spacing w:after="0"/>
              <w:rPr>
                <w:sz w:val="20"/>
                <w:szCs w:val="20"/>
                <w:color w:val="auto"/>
              </w:rPr>
            </w:pPr>
            <w:r>
              <w:rPr>
                <w:rFonts w:ascii="Arial" w:cs="Arial" w:eastAsia="Arial" w:hAnsi="Arial"/>
                <w:sz w:val="19"/>
                <w:szCs w:val="19"/>
                <w:color w:val="auto"/>
              </w:rPr>
              <w:t>(848,632)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2.56</w:t>
            </w:r>
          </w:p>
        </w:tc>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280" w:type="dxa"/>
            <w:vAlign w:val="bottom"/>
          </w:tcPr>
          <w:p>
            <w:pPr>
              <w:spacing w:after="0"/>
              <w:rPr>
                <w:sz w:val="20"/>
                <w:szCs w:val="20"/>
                <w:color w:val="auto"/>
              </w:rPr>
            </w:pPr>
            <w:r>
              <w:rPr>
                <w:rFonts w:ascii="Arial" w:cs="Arial" w:eastAsia="Arial" w:hAnsi="Arial"/>
                <w:sz w:val="19"/>
                <w:szCs w:val="19"/>
                <w:color w:val="auto"/>
              </w:rPr>
              <w:t>Expired</w:t>
            </w:r>
          </w:p>
        </w:tc>
        <w:tc>
          <w:tcPr>
            <w:tcW w:w="1120" w:type="dxa"/>
            <w:vAlign w:val="bottom"/>
          </w:tcPr>
          <w:p>
            <w:pPr>
              <w:jc w:val="right"/>
              <w:spacing w:after="0"/>
              <w:rPr>
                <w:sz w:val="20"/>
                <w:szCs w:val="20"/>
                <w:color w:val="auto"/>
              </w:rPr>
            </w:pPr>
            <w:r>
              <w:rPr>
                <w:rFonts w:ascii="Arial" w:cs="Arial" w:eastAsia="Arial" w:hAnsi="Arial"/>
                <w:sz w:val="19"/>
                <w:szCs w:val="19"/>
                <w:color w:val="auto"/>
              </w:rPr>
              <w:t>(160,000)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2.94</w:t>
            </w:r>
          </w:p>
        </w:tc>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80" w:type="dxa"/>
            <w:vAlign w:val="bottom"/>
          </w:tcPr>
          <w:p>
            <w:pPr>
              <w:spacing w:after="0"/>
              <w:rPr>
                <w:sz w:val="20"/>
                <w:szCs w:val="20"/>
                <w:color w:val="auto"/>
              </w:rPr>
            </w:pPr>
            <w:r>
              <w:rPr>
                <w:rFonts w:ascii="Arial" w:cs="Arial" w:eastAsia="Arial" w:hAnsi="Arial"/>
                <w:sz w:val="19"/>
                <w:szCs w:val="19"/>
                <w:color w:val="auto"/>
              </w:rPr>
              <w:t>Exercised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(4,223,600)</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1.28</w:t>
            </w:r>
          </w:p>
        </w:tc>
        <w:tc>
          <w:tcPr>
            <w:tcW w:w="6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280" w:type="dxa"/>
            <w:vAlign w:val="bottom"/>
          </w:tcPr>
          <w:p>
            <w:pPr>
              <w:spacing w:after="0" w:line="205" w:lineRule="exact"/>
              <w:rPr>
                <w:sz w:val="20"/>
                <w:szCs w:val="20"/>
                <w:color w:val="auto"/>
              </w:rPr>
            </w:pPr>
            <w:r>
              <w:rPr>
                <w:rFonts w:ascii="Arial" w:cs="Arial" w:eastAsia="Arial" w:hAnsi="Arial"/>
                <w:sz w:val="19"/>
                <w:szCs w:val="19"/>
                <w:b w:val="1"/>
                <w:bCs w:val="1"/>
                <w:color w:val="auto"/>
              </w:rPr>
              <w:t>Outstanding at December 31, 2024</w:t>
            </w:r>
          </w:p>
        </w:tc>
        <w:tc>
          <w:tcPr>
            <w:tcW w:w="11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32,873,392</w:t>
            </w:r>
          </w:p>
        </w:tc>
        <w:tc>
          <w:tcPr>
            <w:tcW w:w="6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w:t>
            </w:r>
          </w:p>
        </w:tc>
        <w:tc>
          <w:tcPr>
            <w:tcW w:w="9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1.88</w:t>
            </w:r>
          </w:p>
        </w:tc>
        <w:tc>
          <w:tcPr>
            <w:tcW w:w="6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7.7</w:t>
            </w: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129,164</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9"/>
                <w:szCs w:val="19"/>
                <w:b w:val="1"/>
                <w:bCs w:val="1"/>
                <w:color w:val="auto"/>
              </w:rPr>
              <w:t>Exercisable at December 31, 2024</w:t>
            </w:r>
          </w:p>
        </w:tc>
        <w:tc>
          <w:tcPr>
            <w:tcW w:w="11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vMerge w:val="continue"/>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14,036,712</w:t>
            </w:r>
          </w:p>
        </w:tc>
        <w:tc>
          <w:tcPr>
            <w:tcW w:w="60" w:type="dxa"/>
            <w:vAlign w:val="bottom"/>
            <w:vMerge w:val="continue"/>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1.53</w:t>
            </w:r>
          </w:p>
        </w:tc>
        <w:tc>
          <w:tcPr>
            <w:tcW w:w="60" w:type="dxa"/>
            <w:vAlign w:val="bottom"/>
            <w:vMerge w:val="continue"/>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6.1</w:t>
            </w:r>
          </w:p>
        </w:tc>
        <w:tc>
          <w:tcPr>
            <w:tcW w:w="6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60,058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-1123315</wp:posOffset>
            </wp:positionV>
            <wp:extent cx="5733415" cy="11137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5733415" cy="1113790"/>
                    </a:xfrm>
                    <a:prstGeom prst="rect">
                      <a:avLst/>
                    </a:prstGeom>
                    <a:noFill/>
                  </pic:spPr>
                </pic:pic>
              </a:graphicData>
            </a:graphic>
          </wp:anchor>
        </w:drawing>
      </w:r>
    </w:p>
    <w:p>
      <w:pPr>
        <w:spacing w:after="0" w:line="94" w:lineRule="exact"/>
        <w:rPr>
          <w:sz w:val="20"/>
          <w:szCs w:val="20"/>
          <w:color w:val="auto"/>
        </w:rPr>
      </w:pPr>
    </w:p>
    <w:p>
      <w:pPr>
        <w:ind w:left="220" w:hanging="183"/>
        <w:spacing w:after="0"/>
        <w:tabs>
          <w:tab w:leader="none" w:pos="220" w:val="left"/>
        </w:tabs>
        <w:numPr>
          <w:ilvl w:val="0"/>
          <w:numId w:val="61"/>
        </w:numPr>
        <w:rPr>
          <w:rFonts w:ascii="Arial" w:cs="Arial" w:eastAsia="Arial" w:hAnsi="Arial"/>
          <w:sz w:val="22"/>
          <w:szCs w:val="22"/>
          <w:color w:val="auto"/>
          <w:vertAlign w:val="superscript"/>
        </w:rPr>
      </w:pPr>
      <w:r>
        <w:rPr>
          <w:rFonts w:ascii="Arial" w:cs="Arial" w:eastAsia="Arial" w:hAnsi="Arial"/>
          <w:sz w:val="17"/>
          <w:szCs w:val="17"/>
          <w:color w:val="auto"/>
        </w:rPr>
        <w:t>The exercise prices relate to the equivalent price for an ordinary share, calculated as one eighth of the ADS price.</w:t>
      </w:r>
    </w:p>
    <w:p>
      <w:pPr>
        <w:spacing w:after="0" w:line="75"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following summarizes the aggregate intrinsic value and cash receipts related to stock option exercise activity for the years ended December 31 (in thousands):</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5"/>
                <w:szCs w:val="15"/>
                <w:b w:val="1"/>
                <w:bCs w:val="1"/>
                <w:color w:val="auto"/>
              </w:rPr>
              <w:t>2023</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5"/>
                <w:szCs w:val="15"/>
                <w:b w:val="1"/>
                <w:bCs w:val="1"/>
                <w:color w:val="auto"/>
              </w:rPr>
              <w:t>2022</w:t>
            </w:r>
          </w:p>
        </w:tc>
      </w:tr>
      <w:tr>
        <w:trPr>
          <w:trHeight w:val="251"/>
        </w:trPr>
        <w:tc>
          <w:tcPr>
            <w:tcW w:w="5500" w:type="dxa"/>
            <w:vAlign w:val="bottom"/>
          </w:tcPr>
          <w:p>
            <w:pPr>
              <w:spacing w:after="0"/>
              <w:rPr>
                <w:sz w:val="20"/>
                <w:szCs w:val="20"/>
                <w:color w:val="auto"/>
              </w:rPr>
            </w:pPr>
            <w:r>
              <w:rPr>
                <w:rFonts w:ascii="Arial" w:cs="Arial" w:eastAsia="Arial" w:hAnsi="Arial"/>
                <w:sz w:val="19"/>
                <w:szCs w:val="19"/>
                <w:color w:val="auto"/>
              </w:rPr>
              <w:t>Aggregate intrinsic value of stock options exercised</w:t>
            </w:r>
          </w:p>
        </w:tc>
        <w:tc>
          <w:tcPr>
            <w:tcW w:w="26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7,995</w:t>
            </w:r>
          </w:p>
        </w:tc>
        <w:tc>
          <w:tcPr>
            <w:tcW w:w="60" w:type="dxa"/>
            <w:vAlign w:val="bottom"/>
          </w:tcPr>
          <w:p>
            <w:pPr>
              <w:spacing w:after="0"/>
              <w:rPr>
                <w:sz w:val="21"/>
                <w:szCs w:val="21"/>
                <w:color w:val="auto"/>
              </w:rPr>
            </w:pPr>
          </w:p>
        </w:tc>
        <w:tc>
          <w:tcPr>
            <w:tcW w:w="280" w:type="dxa"/>
            <w:vAlign w:val="bottom"/>
          </w:tcPr>
          <w:p>
            <w:pPr>
              <w:jc w:val="right"/>
              <w:ind w:right="44"/>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1,861</w:t>
            </w:r>
          </w:p>
        </w:tc>
        <w:tc>
          <w:tcPr>
            <w:tcW w:w="60" w:type="dxa"/>
            <w:vAlign w:val="bottom"/>
          </w:tcPr>
          <w:p>
            <w:pPr>
              <w:spacing w:after="0"/>
              <w:rPr>
                <w:sz w:val="21"/>
                <w:szCs w:val="21"/>
                <w:color w:val="auto"/>
              </w:rPr>
            </w:pPr>
          </w:p>
        </w:tc>
        <w:tc>
          <w:tcPr>
            <w:tcW w:w="28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2,413</w:t>
            </w:r>
          </w:p>
        </w:tc>
      </w:tr>
      <w:tr>
        <w:trPr>
          <w:trHeight w:val="264"/>
        </w:trPr>
        <w:tc>
          <w:tcPr>
            <w:tcW w:w="5500" w:type="dxa"/>
            <w:vAlign w:val="bottom"/>
          </w:tcPr>
          <w:p>
            <w:pPr>
              <w:spacing w:after="0"/>
              <w:rPr>
                <w:sz w:val="20"/>
                <w:szCs w:val="20"/>
                <w:color w:val="auto"/>
              </w:rPr>
            </w:pPr>
            <w:r>
              <w:rPr>
                <w:rFonts w:ascii="Arial" w:cs="Arial" w:eastAsia="Arial" w:hAnsi="Arial"/>
                <w:sz w:val="19"/>
                <w:szCs w:val="19"/>
                <w:color w:val="auto"/>
              </w:rPr>
              <w:t>Cash receipts from stock options exercised</w:t>
            </w:r>
          </w:p>
        </w:tc>
        <w:tc>
          <w:tcPr>
            <w:tcW w:w="26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5,408</w:t>
            </w:r>
          </w:p>
        </w:tc>
        <w:tc>
          <w:tcPr>
            <w:tcW w:w="340" w:type="dxa"/>
            <w:vAlign w:val="bottom"/>
            <w:gridSpan w:val="2"/>
          </w:tcPr>
          <w:p>
            <w:pPr>
              <w:jc w:val="right"/>
              <w:ind w:right="44"/>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1,949</w:t>
            </w:r>
          </w:p>
        </w:tc>
        <w:tc>
          <w:tcPr>
            <w:tcW w:w="340" w:type="dxa"/>
            <w:vAlign w:val="bottom"/>
            <w:gridSpan w:val="2"/>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1,372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-345440</wp:posOffset>
            </wp:positionV>
            <wp:extent cx="5733415" cy="372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extLst>
                    </a:blip>
                    <a:srcRect/>
                    <a:stretch>
                      <a:fillRect/>
                    </a:stretch>
                  </pic:blipFill>
                  <pic:spPr bwMode="auto">
                    <a:xfrm>
                      <a:off x="0" y="0"/>
                      <a:ext cx="5733415" cy="372745"/>
                    </a:xfrm>
                    <a:prstGeom prst="rect">
                      <a:avLst/>
                    </a:prstGeom>
                    <a:noFill/>
                  </pic:spPr>
                </pic:pic>
              </a:graphicData>
            </a:graphic>
          </wp:anchor>
        </w:drawing>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Determining the fair value of share options</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The total fair values of the options, estimated using the Black-Scholes option-pricing model for equity-settled compensation, amounted to $22.5 million for options granted in the year ended December 31, 2024 and $13.2 million for instruments granted in the year ended December 31, 2023. The cost is amortized over the vesting period of the options on a straight-line basis using the graded-vesting method.</w:t>
      </w:r>
    </w:p>
    <w:p>
      <w:pPr>
        <w:spacing w:after="0" w:line="7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following assumptions were used for the Black-Scholes valuation of share options granted in 2024, 2023, and 2022:</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Expected volatility</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Volatility is calculated using historical daily averages of the Company's share price over a period that is in line with the expected life of the options.</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Fair value of ordinary shares</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Prior to delisting from the AIM in October 2020, the fair value of ordinary shares was based on the closing share price of the Company’s shares on AIM on the evening before the date of grant. Subsequently, the fair value has been based on the closing price of ADSs traded on Nasdaq on the evening before the date of grant.</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Risk-free interest rate</w:t>
      </w:r>
    </w:p>
    <w:p>
      <w:pPr>
        <w:spacing w:after="0" w:line="110"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risk-free interest rate has been based on U.K. Government debt yield for the relevant term at the time of grant up until October 20, 2020 when the company delisted from AIM. After this, appropriate U.S. Treasury yield rates were used.</w:t>
      </w:r>
    </w:p>
    <w:p>
      <w:pPr>
        <w:spacing w:after="0" w:line="6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Expected term</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the Company does not have sufficient history to estimate its expected term, the Company applied the simplified method of estimating the expected term of the options, as described in the SEC’s Staff Accounting Bulletins 107 and</w:t>
      </w:r>
    </w:p>
    <w:p>
      <w:pPr>
        <w:spacing w:after="0" w:line="2" w:lineRule="exact"/>
        <w:rPr>
          <w:sz w:val="20"/>
          <w:szCs w:val="20"/>
          <w:color w:val="auto"/>
        </w:rPr>
      </w:pPr>
    </w:p>
    <w:p>
      <w:pPr>
        <w:jc w:val="both"/>
        <w:ind w:firstLine="5"/>
        <w:spacing w:after="0" w:line="238" w:lineRule="auto"/>
        <w:tabs>
          <w:tab w:leader="none" w:pos="398"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expected term, calculated under the simplified method, is applied to all stock options which have similar contractual terms. Using this method, the expected term is determined using the average of the vesting period and the contractual life of the stock options granted.</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F-28</w:t>
      </w:r>
    </w:p>
    <w:p>
      <w:pPr>
        <w:sectPr>
          <w:pgSz w:w="11880" w:h="15480" w:orient="portrait"/>
          <w:cols w:equalWidth="0" w:num="1">
            <w:col w:w="9000"/>
          </w:cols>
          <w:pgMar w:left="1440" w:top="327" w:right="1440" w:bottom="0" w:gutter="0" w:footer="0" w:header="0"/>
          <w:type w:val="continuous"/>
        </w:sectPr>
      </w:pPr>
    </w:p>
    <w:bookmarkStart w:id="136" w:name="page137"/>
    <w:bookmarkEnd w:id="136"/>
    <w:p>
      <w:pPr>
        <w:jc w:val="center"/>
        <w:ind w:right="40"/>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Expected dividend</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There are no expected dividends.</w:t>
      </w:r>
    </w:p>
    <w:p>
      <w:pPr>
        <w:spacing w:after="0" w:line="108"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A summary of the weighted-average assumptions applicable to the share options granted in the applicable years is as follows:</w:t>
      </w:r>
    </w:p>
    <w:p>
      <w:pPr>
        <w:sectPr>
          <w:pgSz w:w="11880" w:h="15480" w:orient="portrait"/>
          <w:cols w:equalWidth="0" w:num="1">
            <w:col w:w="9040"/>
          </w:cols>
          <w:pgMar w:left="1440" w:top="32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9"/>
          <w:szCs w:val="19"/>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-205740</wp:posOffset>
            </wp:positionV>
            <wp:extent cx="5770245" cy="1287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5770245" cy="1287780"/>
                    </a:xfrm>
                    <a:prstGeom prst="rect">
                      <a:avLst/>
                    </a:prstGeom>
                    <a:noFill/>
                  </pic:spPr>
                </pic:pic>
              </a:graphicData>
            </a:graphic>
          </wp:anchor>
        </w:drawing>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9"/>
          <w:szCs w:val="19"/>
          <w:color w:val="auto"/>
        </w:rPr>
        <w:t>Expected lives, years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9"/>
          <w:szCs w:val="19"/>
          <w:color w:val="auto"/>
        </w:rPr>
        <w:t>Expected volatility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9"/>
          <w:szCs w:val="19"/>
          <w:color w:val="auto"/>
        </w:rPr>
        <w:t>Expected dividend yield</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9"/>
          <w:szCs w:val="19"/>
          <w:color w:val="auto"/>
        </w:rPr>
        <w:t>Grant date fair value (per share)</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stock units activity</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RSU activity:</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34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-219075</wp:posOffset>
                </wp:positionH>
                <wp:positionV relativeFrom="paragraph">
                  <wp:posOffset>33655</wp:posOffset>
                </wp:positionV>
                <wp:extent cx="219519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51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499pt,2.65pt" to="155.6pt,2.65pt" o:allowincell="f" strokecolor="#000000" strokeweight="1pt"/>
            </w:pict>
          </mc:Fallback>
        </mc:AlternateContent>
      </w:r>
    </w:p>
    <w:p>
      <w:pPr>
        <w:spacing w:after="0" w:line="38" w:lineRule="exact"/>
        <w:rPr>
          <w:sz w:val="20"/>
          <w:szCs w:val="20"/>
          <w:color w:val="auto"/>
        </w:rPr>
      </w:pPr>
    </w:p>
    <w:p>
      <w:pPr>
        <w:ind w:left="60"/>
        <w:spacing w:after="0"/>
        <w:tabs>
          <w:tab w:leader="none" w:pos="1220" w:val="left"/>
          <w:tab w:leader="none" w:pos="2380" w:val="left"/>
        </w:tabs>
        <w:rPr>
          <w:sz w:val="20"/>
          <w:szCs w:val="20"/>
          <w:color w:val="auto"/>
        </w:rPr>
      </w:pPr>
      <w:r>
        <w:rPr>
          <w:rFonts w:ascii="Arial" w:cs="Arial" w:eastAsia="Arial" w:hAnsi="Arial"/>
          <w:sz w:val="15"/>
          <w:szCs w:val="15"/>
          <w:b w:val="1"/>
          <w:bCs w:val="1"/>
          <w:color w:val="auto"/>
        </w:rPr>
        <w:t>2024</w:t>
      </w:r>
      <w:r>
        <w:rPr>
          <w:sz w:val="20"/>
          <w:szCs w:val="20"/>
          <w:color w:val="auto"/>
        </w:rPr>
        <w:tab/>
      </w:r>
      <w:r>
        <w:rPr>
          <w:rFonts w:ascii="Arial" w:cs="Arial" w:eastAsia="Arial" w:hAnsi="Arial"/>
          <w:sz w:val="15"/>
          <w:szCs w:val="15"/>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40" w:lineRule="exact"/>
        <w:rPr>
          <w:sz w:val="20"/>
          <w:szCs w:val="20"/>
          <w:color w:val="auto"/>
        </w:rPr>
      </w:pPr>
    </w:p>
    <w:p>
      <w:pPr>
        <w:ind w:left="100"/>
        <w:spacing w:after="0"/>
        <w:tabs>
          <w:tab w:leader="none" w:pos="1260" w:val="left"/>
          <w:tab w:leader="none" w:pos="2440" w:val="left"/>
        </w:tabs>
        <w:rPr>
          <w:sz w:val="20"/>
          <w:szCs w:val="20"/>
          <w:color w:val="auto"/>
        </w:rPr>
      </w:pPr>
      <w:r>
        <w:rPr>
          <w:rFonts w:ascii="Arial" w:cs="Arial" w:eastAsia="Arial" w:hAnsi="Arial"/>
          <w:sz w:val="19"/>
          <w:szCs w:val="19"/>
          <w:color w:val="auto"/>
        </w:rPr>
        <w:t>3.50% -</w:t>
      </w:r>
      <w:r>
        <w:rPr>
          <w:sz w:val="20"/>
          <w:szCs w:val="20"/>
          <w:color w:val="auto"/>
        </w:rPr>
        <w:tab/>
      </w:r>
      <w:r>
        <w:rPr>
          <w:rFonts w:ascii="Arial" w:cs="Arial" w:eastAsia="Arial" w:hAnsi="Arial"/>
          <w:sz w:val="19"/>
          <w:szCs w:val="19"/>
          <w:color w:val="auto"/>
        </w:rPr>
        <w:t>3.40% -</w:t>
      </w:r>
      <w:r>
        <w:rPr>
          <w:sz w:val="20"/>
          <w:szCs w:val="20"/>
          <w:color w:val="auto"/>
        </w:rPr>
        <w:tab/>
      </w:r>
      <w:r>
        <w:rPr>
          <w:rFonts w:ascii="Arial" w:cs="Arial" w:eastAsia="Arial" w:hAnsi="Arial"/>
          <w:sz w:val="17"/>
          <w:szCs w:val="17"/>
          <w:color w:val="auto"/>
        </w:rPr>
        <w:t>2.09% -</w:t>
      </w:r>
    </w:p>
    <w:p>
      <w:pPr>
        <w:ind w:left="220"/>
        <w:spacing w:after="0"/>
        <w:tabs>
          <w:tab w:leader="none" w:pos="1380" w:val="left"/>
          <w:tab w:leader="none" w:pos="2540" w:val="left"/>
        </w:tabs>
        <w:rPr>
          <w:sz w:val="20"/>
          <w:szCs w:val="20"/>
          <w:color w:val="auto"/>
        </w:rPr>
      </w:pPr>
      <w:r>
        <w:rPr>
          <w:rFonts w:ascii="Arial" w:cs="Arial" w:eastAsia="Arial" w:hAnsi="Arial"/>
          <w:sz w:val="19"/>
          <w:szCs w:val="19"/>
          <w:color w:val="auto"/>
        </w:rPr>
        <w:t>4.60%</w:t>
      </w:r>
      <w:r>
        <w:rPr>
          <w:sz w:val="20"/>
          <w:szCs w:val="20"/>
          <w:color w:val="auto"/>
        </w:rPr>
        <w:tab/>
      </w:r>
      <w:r>
        <w:rPr>
          <w:rFonts w:ascii="Arial" w:cs="Arial" w:eastAsia="Arial" w:hAnsi="Arial"/>
          <w:sz w:val="19"/>
          <w:szCs w:val="19"/>
          <w:color w:val="auto"/>
        </w:rPr>
        <w:t>4.69%</w:t>
      </w:r>
      <w:r>
        <w:rPr>
          <w:sz w:val="20"/>
          <w:szCs w:val="20"/>
          <w:color w:val="auto"/>
        </w:rPr>
        <w:tab/>
      </w:r>
      <w:r>
        <w:rPr>
          <w:rFonts w:ascii="Arial" w:cs="Arial" w:eastAsia="Arial" w:hAnsi="Arial"/>
          <w:sz w:val="17"/>
          <w:szCs w:val="17"/>
          <w:color w:val="auto"/>
        </w:rPr>
        <w:t>4.20%</w:t>
      </w:r>
    </w:p>
    <w:p>
      <w:pPr>
        <w:spacing w:after="0" w:line="24" w:lineRule="exact"/>
        <w:rPr>
          <w:sz w:val="20"/>
          <w:szCs w:val="20"/>
          <w:color w:val="auto"/>
        </w:rPr>
      </w:pPr>
    </w:p>
    <w:p>
      <w:pPr>
        <w:ind w:left="460"/>
        <w:spacing w:after="0"/>
        <w:tabs>
          <w:tab w:leader="none" w:pos="1620" w:val="left"/>
          <w:tab w:leader="none" w:pos="2780" w:val="left"/>
        </w:tabs>
        <w:rPr>
          <w:sz w:val="20"/>
          <w:szCs w:val="20"/>
          <w:color w:val="auto"/>
        </w:rPr>
      </w:pPr>
      <w:r>
        <w:rPr>
          <w:rFonts w:ascii="Arial" w:cs="Arial" w:eastAsia="Arial" w:hAnsi="Arial"/>
          <w:sz w:val="19"/>
          <w:szCs w:val="19"/>
          <w:color w:val="auto"/>
        </w:rPr>
        <w:t>5-7</w:t>
      </w:r>
      <w:r>
        <w:rPr>
          <w:sz w:val="20"/>
          <w:szCs w:val="20"/>
          <w:color w:val="auto"/>
        </w:rPr>
        <w:tab/>
      </w:r>
      <w:r>
        <w:rPr>
          <w:rFonts w:ascii="Arial" w:cs="Arial" w:eastAsia="Arial" w:hAnsi="Arial"/>
          <w:sz w:val="19"/>
          <w:szCs w:val="19"/>
          <w:color w:val="auto"/>
        </w:rPr>
        <w:t>5-7</w:t>
      </w:r>
      <w:r>
        <w:rPr>
          <w:sz w:val="20"/>
          <w:szCs w:val="20"/>
          <w:color w:val="auto"/>
        </w:rPr>
        <w:tab/>
      </w:r>
      <w:r>
        <w:rPr>
          <w:rFonts w:ascii="Arial" w:cs="Arial" w:eastAsia="Arial" w:hAnsi="Arial"/>
          <w:sz w:val="17"/>
          <w:szCs w:val="17"/>
          <w:color w:val="auto"/>
        </w:rPr>
        <w:t>5-7</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0" w:type="dxa"/>
            <w:vAlign w:val="bottom"/>
          </w:tcPr>
          <w:p>
            <w:pPr>
              <w:jc w:val="right"/>
              <w:spacing w:after="0"/>
              <w:rPr>
                <w:sz w:val="20"/>
                <w:szCs w:val="20"/>
                <w:color w:val="auto"/>
              </w:rPr>
            </w:pPr>
            <w:r>
              <w:rPr>
                <w:rFonts w:ascii="Arial" w:cs="Arial" w:eastAsia="Arial" w:hAnsi="Arial"/>
                <w:sz w:val="19"/>
                <w:szCs w:val="19"/>
                <w:color w:val="auto"/>
                <w:w w:val="89"/>
              </w:rPr>
              <w:t>79.31%</w:t>
            </w:r>
          </w:p>
        </w:tc>
        <w:tc>
          <w:tcPr>
            <w:tcW w:w="360" w:type="dxa"/>
            <w:vAlign w:val="bottom"/>
          </w:tcPr>
          <w:p>
            <w:pPr>
              <w:jc w:val="right"/>
              <w:ind w:right="164"/>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80.64%</w:t>
            </w:r>
          </w:p>
        </w:tc>
        <w:tc>
          <w:tcPr>
            <w:tcW w:w="340" w:type="dxa"/>
            <w:vAlign w:val="bottom"/>
          </w:tcPr>
          <w:p>
            <w:pPr>
              <w:jc w:val="right"/>
              <w:ind w:right="14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82.50%</w:t>
            </w:r>
          </w:p>
        </w:tc>
        <w:tc>
          <w:tcPr>
            <w:tcW w:w="120" w:type="dxa"/>
            <w:vAlign w:val="bottom"/>
          </w:tcPr>
          <w:p>
            <w:pPr>
              <w:jc w:val="right"/>
              <w:spacing w:after="0"/>
              <w:rPr>
                <w:sz w:val="20"/>
                <w:szCs w:val="20"/>
                <w:color w:val="auto"/>
              </w:rPr>
            </w:pPr>
            <w:r>
              <w:rPr>
                <w:rFonts w:ascii="Arial" w:cs="Arial" w:eastAsia="Arial" w:hAnsi="Arial"/>
                <w:sz w:val="19"/>
                <w:szCs w:val="19"/>
                <w:color w:val="auto"/>
                <w:w w:val="94"/>
              </w:rPr>
              <w:t>-</w:t>
            </w:r>
          </w:p>
        </w:tc>
      </w:tr>
      <w:tr>
        <w:trPr>
          <w:trHeight w:val="251"/>
        </w:trPr>
        <w:tc>
          <w:tcPr>
            <w:tcW w:w="980" w:type="dxa"/>
            <w:vAlign w:val="bottom"/>
            <w:gridSpan w:val="2"/>
          </w:tcPr>
          <w:p>
            <w:pPr>
              <w:jc w:val="right"/>
              <w:ind w:right="164"/>
              <w:spacing w:after="0"/>
              <w:rPr>
                <w:sz w:val="20"/>
                <w:szCs w:val="20"/>
                <w:color w:val="auto"/>
              </w:rPr>
            </w:pPr>
            <w:r>
              <w:rPr>
                <w:rFonts w:ascii="Arial" w:cs="Arial" w:eastAsia="Arial" w:hAnsi="Arial"/>
                <w:sz w:val="19"/>
                <w:szCs w:val="19"/>
                <w:color w:val="auto"/>
              </w:rPr>
              <w:t>84.68%</w:t>
            </w:r>
          </w:p>
        </w:tc>
        <w:tc>
          <w:tcPr>
            <w:tcW w:w="1160" w:type="dxa"/>
            <w:vAlign w:val="bottom"/>
            <w:gridSpan w:val="2"/>
          </w:tcPr>
          <w:p>
            <w:pPr>
              <w:jc w:val="right"/>
              <w:ind w:right="144"/>
              <w:spacing w:after="0"/>
              <w:rPr>
                <w:sz w:val="20"/>
                <w:szCs w:val="20"/>
                <w:color w:val="auto"/>
              </w:rPr>
            </w:pPr>
            <w:r>
              <w:rPr>
                <w:rFonts w:ascii="Arial" w:cs="Arial" w:eastAsia="Arial" w:hAnsi="Arial"/>
                <w:sz w:val="19"/>
                <w:szCs w:val="19"/>
                <w:color w:val="auto"/>
              </w:rPr>
              <w:t>87.26%</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84.27%</w:t>
            </w:r>
          </w:p>
        </w:tc>
      </w:tr>
      <w:tr>
        <w:trPr>
          <w:trHeight w:val="316"/>
        </w:trPr>
        <w:tc>
          <w:tcPr>
            <w:tcW w:w="980" w:type="dxa"/>
            <w:vAlign w:val="bottom"/>
            <w:gridSpan w:val="2"/>
          </w:tcPr>
          <w:p>
            <w:pPr>
              <w:jc w:val="right"/>
              <w:ind w:right="144"/>
              <w:spacing w:after="0"/>
              <w:rPr>
                <w:sz w:val="20"/>
                <w:szCs w:val="20"/>
                <w:color w:val="auto"/>
              </w:rPr>
            </w:pPr>
            <w:r>
              <w:rPr>
                <w:rFonts w:ascii="Arial" w:cs="Arial" w:eastAsia="Arial" w:hAnsi="Arial"/>
                <w:sz w:val="19"/>
                <w:szCs w:val="19"/>
                <w:color w:val="auto"/>
              </w:rPr>
              <w:t>— %</w:t>
            </w:r>
          </w:p>
        </w:tc>
        <w:tc>
          <w:tcPr>
            <w:tcW w:w="1160" w:type="dxa"/>
            <w:vAlign w:val="bottom"/>
            <w:gridSpan w:val="2"/>
          </w:tcPr>
          <w:p>
            <w:pPr>
              <w:jc w:val="right"/>
              <w:ind w:right="104"/>
              <w:spacing w:after="0"/>
              <w:rPr>
                <w:sz w:val="20"/>
                <w:szCs w:val="20"/>
                <w:color w:val="auto"/>
              </w:rPr>
            </w:pPr>
            <w:r>
              <w:rPr>
                <w:rFonts w:ascii="Arial" w:cs="Arial" w:eastAsia="Arial" w:hAnsi="Arial"/>
                <w:sz w:val="19"/>
                <w:szCs w:val="19"/>
                <w:color w:val="auto"/>
              </w:rPr>
              <w:t>— %</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 %</w:t>
            </w:r>
          </w:p>
        </w:tc>
      </w:tr>
      <w:tr>
        <w:trPr>
          <w:trHeight w:val="211"/>
        </w:trPr>
        <w:tc>
          <w:tcPr>
            <w:tcW w:w="620" w:type="dxa"/>
            <w:vAlign w:val="bottom"/>
          </w:tcPr>
          <w:p>
            <w:pPr>
              <w:jc w:val="right"/>
              <w:spacing w:after="0" w:line="211" w:lineRule="exact"/>
              <w:rPr>
                <w:sz w:val="20"/>
                <w:szCs w:val="20"/>
                <w:color w:val="auto"/>
              </w:rPr>
            </w:pPr>
            <w:r>
              <w:rPr>
                <w:rFonts w:ascii="Arial" w:cs="Arial" w:eastAsia="Arial" w:hAnsi="Arial"/>
                <w:sz w:val="19"/>
                <w:szCs w:val="19"/>
                <w:color w:val="auto"/>
              </w:rPr>
              <w:t>$1.08</w:t>
            </w:r>
          </w:p>
        </w:tc>
        <w:tc>
          <w:tcPr>
            <w:tcW w:w="360" w:type="dxa"/>
            <w:vAlign w:val="bottom"/>
          </w:tcPr>
          <w:p>
            <w:pPr>
              <w:jc w:val="right"/>
              <w:ind w:right="164"/>
              <w:spacing w:after="0" w:line="211" w:lineRule="exact"/>
              <w:rPr>
                <w:sz w:val="20"/>
                <w:szCs w:val="20"/>
                <w:color w:val="auto"/>
              </w:rPr>
            </w:pPr>
            <w:r>
              <w:rPr>
                <w:rFonts w:ascii="Arial" w:cs="Arial" w:eastAsia="Arial" w:hAnsi="Arial"/>
                <w:sz w:val="19"/>
                <w:szCs w:val="19"/>
                <w:color w:val="auto"/>
              </w:rPr>
              <w:t>-</w:t>
            </w:r>
          </w:p>
        </w:tc>
        <w:tc>
          <w:tcPr>
            <w:tcW w:w="820" w:type="dxa"/>
            <w:vAlign w:val="bottom"/>
          </w:tcPr>
          <w:p>
            <w:pPr>
              <w:jc w:val="right"/>
              <w:spacing w:after="0" w:line="211" w:lineRule="exact"/>
              <w:rPr>
                <w:sz w:val="20"/>
                <w:szCs w:val="20"/>
                <w:color w:val="auto"/>
              </w:rPr>
            </w:pPr>
            <w:r>
              <w:rPr>
                <w:rFonts w:ascii="Arial" w:cs="Arial" w:eastAsia="Arial" w:hAnsi="Arial"/>
                <w:sz w:val="19"/>
                <w:szCs w:val="19"/>
                <w:color w:val="auto"/>
              </w:rPr>
              <w:t>$1.69</w:t>
            </w:r>
          </w:p>
        </w:tc>
        <w:tc>
          <w:tcPr>
            <w:tcW w:w="340" w:type="dxa"/>
            <w:vAlign w:val="bottom"/>
          </w:tcPr>
          <w:p>
            <w:pPr>
              <w:jc w:val="right"/>
              <w:ind w:right="144"/>
              <w:spacing w:after="0" w:line="211" w:lineRule="exact"/>
              <w:rPr>
                <w:sz w:val="20"/>
                <w:szCs w:val="20"/>
                <w:color w:val="auto"/>
              </w:rPr>
            </w:pPr>
            <w:r>
              <w:rPr>
                <w:rFonts w:ascii="Arial" w:cs="Arial" w:eastAsia="Arial" w:hAnsi="Arial"/>
                <w:sz w:val="19"/>
                <w:szCs w:val="19"/>
                <w:color w:val="auto"/>
              </w:rPr>
              <w:t>-</w:t>
            </w:r>
          </w:p>
        </w:tc>
        <w:tc>
          <w:tcPr>
            <w:tcW w:w="840" w:type="dxa"/>
            <w:vAlign w:val="bottom"/>
          </w:tcPr>
          <w:p>
            <w:pPr>
              <w:jc w:val="right"/>
              <w:spacing w:after="0" w:line="211" w:lineRule="exact"/>
              <w:rPr>
                <w:sz w:val="20"/>
                <w:szCs w:val="20"/>
                <w:color w:val="auto"/>
              </w:rPr>
            </w:pPr>
            <w:r>
              <w:rPr>
                <w:rFonts w:ascii="Arial" w:cs="Arial" w:eastAsia="Arial" w:hAnsi="Arial"/>
                <w:sz w:val="19"/>
                <w:szCs w:val="19"/>
                <w:color w:val="auto"/>
              </w:rPr>
              <w:t>$0.34</w:t>
            </w:r>
          </w:p>
        </w:tc>
        <w:tc>
          <w:tcPr>
            <w:tcW w:w="120" w:type="dxa"/>
            <w:vAlign w:val="bottom"/>
          </w:tcPr>
          <w:p>
            <w:pPr>
              <w:jc w:val="right"/>
              <w:spacing w:after="0" w:line="211" w:lineRule="exact"/>
              <w:rPr>
                <w:sz w:val="20"/>
                <w:szCs w:val="20"/>
                <w:color w:val="auto"/>
              </w:rPr>
            </w:pPr>
            <w:r>
              <w:rPr>
                <w:rFonts w:ascii="Arial" w:cs="Arial" w:eastAsia="Arial" w:hAnsi="Arial"/>
                <w:sz w:val="19"/>
                <w:szCs w:val="19"/>
                <w:color w:val="auto"/>
                <w:w w:val="94"/>
              </w:rPr>
              <w:t>-</w:t>
            </w:r>
          </w:p>
        </w:tc>
      </w:tr>
      <w:tr>
        <w:trPr>
          <w:trHeight w:val="251"/>
        </w:trPr>
        <w:tc>
          <w:tcPr>
            <w:tcW w:w="980" w:type="dxa"/>
            <w:vAlign w:val="bottom"/>
            <w:gridSpan w:val="2"/>
          </w:tcPr>
          <w:p>
            <w:pPr>
              <w:jc w:val="right"/>
              <w:ind w:right="164"/>
              <w:spacing w:after="0"/>
              <w:rPr>
                <w:sz w:val="20"/>
                <w:szCs w:val="20"/>
                <w:color w:val="auto"/>
              </w:rPr>
            </w:pPr>
            <w:r>
              <w:rPr>
                <w:rFonts w:ascii="Arial" w:cs="Arial" w:eastAsia="Arial" w:hAnsi="Arial"/>
                <w:sz w:val="19"/>
                <w:szCs w:val="19"/>
                <w:color w:val="auto"/>
              </w:rPr>
              <w:t>$3.70</w:t>
            </w:r>
          </w:p>
        </w:tc>
        <w:tc>
          <w:tcPr>
            <w:tcW w:w="1160" w:type="dxa"/>
            <w:vAlign w:val="bottom"/>
            <w:gridSpan w:val="2"/>
          </w:tcPr>
          <w:p>
            <w:pPr>
              <w:jc w:val="right"/>
              <w:ind w:right="144"/>
              <w:spacing w:after="0"/>
              <w:rPr>
                <w:sz w:val="20"/>
                <w:szCs w:val="20"/>
                <w:color w:val="auto"/>
              </w:rPr>
            </w:pPr>
            <w:r>
              <w:rPr>
                <w:rFonts w:ascii="Arial" w:cs="Arial" w:eastAsia="Arial" w:hAnsi="Arial"/>
                <w:sz w:val="19"/>
                <w:szCs w:val="19"/>
                <w:color w:val="auto"/>
              </w:rPr>
              <w:t>$3.27</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$1.33</w:t>
            </w:r>
          </w:p>
        </w:tc>
      </w:tr>
    </w:tbl>
    <w:p>
      <w:pPr>
        <w:spacing w:after="0" w:line="899" w:lineRule="exact"/>
        <w:rPr>
          <w:sz w:val="20"/>
          <w:szCs w:val="20"/>
          <w:color w:val="auto"/>
        </w:rPr>
      </w:pPr>
    </w:p>
    <w:p>
      <w:pPr>
        <w:sectPr>
          <w:pgSz w:w="11880" w:h="15480" w:orient="portrait"/>
          <w:cols w:equalWidth="0" w:num="2">
            <w:col w:w="5220" w:space="720"/>
            <w:col w:w="3100"/>
          </w:cols>
          <w:pgMar w:left="1440" w:top="327" w:right="140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47"/>
              <w:spacing w:after="0"/>
              <w:rPr>
                <w:sz w:val="20"/>
                <w:szCs w:val="20"/>
                <w:color w:val="auto"/>
              </w:rPr>
            </w:pPr>
            <w:r>
              <w:rPr>
                <w:rFonts w:ascii="Arial" w:cs="Arial" w:eastAsia="Arial" w:hAnsi="Arial"/>
                <w:sz w:val="15"/>
                <w:szCs w:val="15"/>
                <w:b w:val="1"/>
                <w:bCs w:val="1"/>
                <w:color w:val="auto"/>
                <w:w w:val="97"/>
              </w:rPr>
              <w:t>Weighted</w:t>
            </w:r>
          </w:p>
        </w:tc>
      </w:tr>
      <w:tr>
        <w:trPr>
          <w:trHeight w:val="184"/>
        </w:trPr>
        <w:tc>
          <w:tcPr>
            <w:tcW w:w="666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6"/>
                <w:szCs w:val="16"/>
                <w:color w:val="auto"/>
              </w:rPr>
            </w:pPr>
          </w:p>
        </w:tc>
        <w:tc>
          <w:tcPr>
            <w:tcW w:w="1120" w:type="dxa"/>
            <w:vAlign w:val="bottom"/>
            <w:gridSpan w:val="2"/>
          </w:tcPr>
          <w:p>
            <w:pPr>
              <w:jc w:val="right"/>
              <w:ind w:right="7"/>
              <w:spacing w:after="0"/>
              <w:rPr>
                <w:sz w:val="20"/>
                <w:szCs w:val="20"/>
                <w:color w:val="auto"/>
              </w:rPr>
            </w:pPr>
            <w:r>
              <w:rPr>
                <w:rFonts w:ascii="Arial" w:cs="Arial" w:eastAsia="Arial" w:hAnsi="Arial"/>
                <w:sz w:val="15"/>
                <w:szCs w:val="15"/>
                <w:b w:val="1"/>
                <w:bCs w:val="1"/>
                <w:color w:val="auto"/>
              </w:rPr>
              <w:t>average grant</w:t>
            </w:r>
          </w:p>
        </w:tc>
      </w:tr>
      <w:tr>
        <w:trPr>
          <w:trHeight w:val="209"/>
        </w:trPr>
        <w:tc>
          <w:tcPr>
            <w:tcW w:w="6660" w:type="dxa"/>
            <w:vAlign w:val="bottom"/>
          </w:tcPr>
          <w:p>
            <w:pPr>
              <w:spacing w:after="0"/>
              <w:rPr>
                <w:sz w:val="18"/>
                <w:szCs w:val="18"/>
                <w:color w:val="auto"/>
              </w:rPr>
            </w:pPr>
          </w:p>
        </w:tc>
        <w:tc>
          <w:tcPr>
            <w:tcW w:w="1100" w:type="dxa"/>
            <w:vAlign w:val="bottom"/>
            <w:tcBorders>
              <w:bottom w:val="single" w:sz="8" w:color="auto"/>
            </w:tcBorders>
          </w:tcPr>
          <w:p>
            <w:pPr>
              <w:jc w:val="right"/>
              <w:ind w:right="269"/>
              <w:spacing w:after="0"/>
              <w:rPr>
                <w:sz w:val="20"/>
                <w:szCs w:val="20"/>
                <w:color w:val="auto"/>
              </w:rPr>
            </w:pPr>
            <w:r>
              <w:rPr>
                <w:rFonts w:ascii="Arial" w:cs="Arial" w:eastAsia="Arial" w:hAnsi="Arial"/>
                <w:sz w:val="15"/>
                <w:szCs w:val="15"/>
                <w:b w:val="1"/>
                <w:bCs w:val="1"/>
                <w:color w:val="auto"/>
              </w:rPr>
              <w:t>RSUs</w:t>
            </w:r>
          </w:p>
        </w:tc>
        <w:tc>
          <w:tcPr>
            <w:tcW w:w="6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date fair value</w:t>
            </w:r>
          </w:p>
        </w:tc>
      </w:tr>
      <w:tr>
        <w:trPr>
          <w:trHeight w:val="221"/>
        </w:trPr>
        <w:tc>
          <w:tcPr>
            <w:tcW w:w="6660" w:type="dxa"/>
            <w:vAlign w:val="bottom"/>
          </w:tcPr>
          <w:p>
            <w:pPr>
              <w:spacing w:after="0"/>
              <w:rPr>
                <w:sz w:val="20"/>
                <w:szCs w:val="20"/>
                <w:color w:val="auto"/>
              </w:rPr>
            </w:pPr>
            <w:r>
              <w:rPr>
                <w:rFonts w:ascii="Arial" w:cs="Arial" w:eastAsia="Arial" w:hAnsi="Arial"/>
                <w:sz w:val="19"/>
                <w:szCs w:val="19"/>
                <w:b w:val="1"/>
                <w:bCs w:val="1"/>
                <w:color w:val="auto"/>
              </w:rPr>
              <w:t>Outstanding at January 1, 2024</w:t>
            </w:r>
          </w:p>
        </w:tc>
        <w:tc>
          <w:tcPr>
            <w:tcW w:w="1100" w:type="dxa"/>
            <w:vAlign w:val="bottom"/>
          </w:tcPr>
          <w:p>
            <w:pPr>
              <w:jc w:val="right"/>
              <w:spacing w:after="0"/>
              <w:rPr>
                <w:sz w:val="20"/>
                <w:szCs w:val="20"/>
                <w:color w:val="auto"/>
              </w:rPr>
            </w:pPr>
            <w:r>
              <w:rPr>
                <w:rFonts w:ascii="Arial" w:cs="Arial" w:eastAsia="Arial" w:hAnsi="Arial"/>
                <w:sz w:val="19"/>
                <w:szCs w:val="19"/>
                <w:color w:val="auto"/>
              </w:rPr>
              <w:t>19,502,624</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1.14</w:t>
            </w:r>
          </w:p>
        </w:tc>
      </w:tr>
      <w:tr>
        <w:trPr>
          <w:trHeight w:val="245"/>
        </w:trPr>
        <w:tc>
          <w:tcPr>
            <w:tcW w:w="6660" w:type="dxa"/>
            <w:vAlign w:val="bottom"/>
          </w:tcPr>
          <w:p>
            <w:pPr>
              <w:spacing w:after="0"/>
              <w:rPr>
                <w:sz w:val="20"/>
                <w:szCs w:val="20"/>
                <w:color w:val="auto"/>
              </w:rPr>
            </w:pPr>
            <w:r>
              <w:rPr>
                <w:rFonts w:ascii="Arial" w:cs="Arial" w:eastAsia="Arial" w:hAnsi="Arial"/>
                <w:sz w:val="19"/>
                <w:szCs w:val="19"/>
                <w:color w:val="auto"/>
              </w:rPr>
              <w:t>Granted</w:t>
            </w:r>
          </w:p>
        </w:tc>
        <w:tc>
          <w:tcPr>
            <w:tcW w:w="1100" w:type="dxa"/>
            <w:vAlign w:val="bottom"/>
          </w:tcPr>
          <w:p>
            <w:pPr>
              <w:jc w:val="right"/>
              <w:spacing w:after="0"/>
              <w:rPr>
                <w:sz w:val="20"/>
                <w:szCs w:val="20"/>
                <w:color w:val="auto"/>
              </w:rPr>
            </w:pPr>
            <w:r>
              <w:rPr>
                <w:rFonts w:ascii="Arial" w:cs="Arial" w:eastAsia="Arial" w:hAnsi="Arial"/>
                <w:sz w:val="19"/>
                <w:szCs w:val="19"/>
                <w:color w:val="auto"/>
              </w:rPr>
              <w:t>6,709,896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4.21</w:t>
            </w:r>
          </w:p>
        </w:tc>
      </w:tr>
      <w:tr>
        <w:trPr>
          <w:trHeight w:val="245"/>
        </w:trPr>
        <w:tc>
          <w:tcPr>
            <w:tcW w:w="6660" w:type="dxa"/>
            <w:vAlign w:val="bottom"/>
          </w:tcPr>
          <w:p>
            <w:pPr>
              <w:spacing w:after="0"/>
              <w:rPr>
                <w:sz w:val="20"/>
                <w:szCs w:val="20"/>
                <w:color w:val="auto"/>
              </w:rPr>
            </w:pPr>
            <w:r>
              <w:rPr>
                <w:rFonts w:ascii="Arial" w:cs="Arial" w:eastAsia="Arial" w:hAnsi="Arial"/>
                <w:sz w:val="19"/>
                <w:szCs w:val="19"/>
                <w:color w:val="auto"/>
              </w:rPr>
              <w:t>Forfeited</w:t>
            </w:r>
          </w:p>
        </w:tc>
        <w:tc>
          <w:tcPr>
            <w:tcW w:w="1100" w:type="dxa"/>
            <w:vAlign w:val="bottom"/>
          </w:tcPr>
          <w:p>
            <w:pPr>
              <w:jc w:val="right"/>
              <w:spacing w:after="0"/>
              <w:rPr>
                <w:sz w:val="20"/>
                <w:szCs w:val="20"/>
                <w:color w:val="auto"/>
              </w:rPr>
            </w:pPr>
            <w:r>
              <w:rPr>
                <w:rFonts w:ascii="Arial" w:cs="Arial" w:eastAsia="Arial" w:hAnsi="Arial"/>
                <w:sz w:val="19"/>
                <w:szCs w:val="19"/>
                <w:color w:val="auto"/>
              </w:rPr>
              <w:t>(1,261,048)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1.29</w:t>
            </w:r>
          </w:p>
        </w:tc>
      </w:tr>
      <w:tr>
        <w:trPr>
          <w:trHeight w:val="249"/>
        </w:trPr>
        <w:tc>
          <w:tcPr>
            <w:tcW w:w="6660" w:type="dxa"/>
            <w:vAlign w:val="bottom"/>
          </w:tcPr>
          <w:p>
            <w:pPr>
              <w:spacing w:after="0"/>
              <w:rPr>
                <w:sz w:val="20"/>
                <w:szCs w:val="20"/>
                <w:color w:val="auto"/>
              </w:rPr>
            </w:pPr>
            <w:r>
              <w:rPr>
                <w:rFonts w:ascii="Arial" w:cs="Arial" w:eastAsia="Arial" w:hAnsi="Arial"/>
                <w:sz w:val="19"/>
                <w:szCs w:val="19"/>
                <w:color w:val="auto"/>
              </w:rPr>
              <w:t>Vested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(10,121,360)</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1.06</w:t>
            </w:r>
          </w:p>
        </w:tc>
      </w:tr>
      <w:tr>
        <w:trPr>
          <w:trHeight w:val="206"/>
        </w:trPr>
        <w:tc>
          <w:tcPr>
            <w:tcW w:w="6660" w:type="dxa"/>
            <w:vAlign w:val="bottom"/>
          </w:tcPr>
          <w:p>
            <w:pPr>
              <w:spacing w:after="0" w:line="205" w:lineRule="exact"/>
              <w:rPr>
                <w:sz w:val="20"/>
                <w:szCs w:val="20"/>
                <w:color w:val="auto"/>
              </w:rPr>
            </w:pPr>
            <w:r>
              <w:rPr>
                <w:rFonts w:ascii="Arial" w:cs="Arial" w:eastAsia="Arial" w:hAnsi="Arial"/>
                <w:sz w:val="19"/>
                <w:szCs w:val="19"/>
                <w:b w:val="1"/>
                <w:bCs w:val="1"/>
                <w:color w:val="auto"/>
              </w:rPr>
              <w:t>Outstanding at December 31, 2024</w:t>
            </w:r>
          </w:p>
        </w:tc>
        <w:tc>
          <w:tcPr>
            <w:tcW w:w="11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14,830,112</w:t>
            </w:r>
          </w:p>
        </w:tc>
        <w:tc>
          <w:tcPr>
            <w:tcW w:w="6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w:t>
            </w:r>
          </w:p>
        </w:tc>
        <w:tc>
          <w:tcPr>
            <w:tcW w:w="9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2.57</w:t>
            </w:r>
          </w:p>
        </w:tc>
      </w:tr>
      <w:tr>
        <w:trPr>
          <w:trHeight w:val="20"/>
        </w:trPr>
        <w:tc>
          <w:tcPr>
            <w:tcW w:w="6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-808355</wp:posOffset>
            </wp:positionV>
            <wp:extent cx="5733415" cy="815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extLst>
                    </a:blip>
                    <a:srcRect/>
                    <a:stretch>
                      <a:fillRect/>
                    </a:stretch>
                  </pic:blipFill>
                  <pic:spPr bwMode="auto">
                    <a:xfrm>
                      <a:off x="0" y="0"/>
                      <a:ext cx="5733415" cy="815340"/>
                    </a:xfrm>
                    <a:prstGeom prst="rect">
                      <a:avLst/>
                    </a:prstGeom>
                    <a:noFill/>
                  </pic:spPr>
                </pic:pic>
              </a:graphicData>
            </a:graphic>
          </wp:anchor>
        </w:drawing>
      </w:r>
    </w:p>
    <w:p>
      <w:pPr>
        <w:spacing w:after="0" w:line="102" w:lineRule="exact"/>
        <w:rPr>
          <w:sz w:val="20"/>
          <w:szCs w:val="20"/>
          <w:color w:val="auto"/>
        </w:rPr>
      </w:pPr>
    </w:p>
    <w:p>
      <w:pPr>
        <w:jc w:val="both"/>
        <w:ind w:right="40"/>
        <w:spacing w:after="0" w:line="267" w:lineRule="auto"/>
        <w:rPr>
          <w:sz w:val="20"/>
          <w:szCs w:val="20"/>
          <w:color w:val="auto"/>
        </w:rPr>
      </w:pPr>
      <w:r>
        <w:rPr>
          <w:rFonts w:ascii="Arial" w:cs="Arial" w:eastAsia="Arial" w:hAnsi="Arial"/>
          <w:sz w:val="19"/>
          <w:szCs w:val="19"/>
          <w:color w:val="auto"/>
        </w:rPr>
        <w:t>The intrinsic value of RSUs that vested in the years ended December 31, 2024, 2023 and 2022, was $26.8 million, $41.5 million and $14.3 million,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Performance Restricted Stock Units (“PRSUs”)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shows PRSU activity:</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47"/>
              <w:spacing w:after="0"/>
              <w:rPr>
                <w:sz w:val="20"/>
                <w:szCs w:val="20"/>
                <w:color w:val="auto"/>
              </w:rPr>
            </w:pPr>
            <w:r>
              <w:rPr>
                <w:rFonts w:ascii="Arial" w:cs="Arial" w:eastAsia="Arial" w:hAnsi="Arial"/>
                <w:sz w:val="15"/>
                <w:szCs w:val="15"/>
                <w:b w:val="1"/>
                <w:bCs w:val="1"/>
                <w:color w:val="auto"/>
                <w:w w:val="97"/>
              </w:rPr>
              <w:t>Weighted</w:t>
            </w:r>
          </w:p>
        </w:tc>
      </w:tr>
      <w:tr>
        <w:trPr>
          <w:trHeight w:val="184"/>
        </w:trPr>
        <w:tc>
          <w:tcPr>
            <w:tcW w:w="666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6"/>
                <w:szCs w:val="16"/>
                <w:color w:val="auto"/>
              </w:rPr>
            </w:pPr>
          </w:p>
        </w:tc>
        <w:tc>
          <w:tcPr>
            <w:tcW w:w="1120" w:type="dxa"/>
            <w:vAlign w:val="bottom"/>
            <w:gridSpan w:val="2"/>
          </w:tcPr>
          <w:p>
            <w:pPr>
              <w:jc w:val="right"/>
              <w:ind w:right="7"/>
              <w:spacing w:after="0"/>
              <w:rPr>
                <w:sz w:val="20"/>
                <w:szCs w:val="20"/>
                <w:color w:val="auto"/>
              </w:rPr>
            </w:pPr>
            <w:r>
              <w:rPr>
                <w:rFonts w:ascii="Arial" w:cs="Arial" w:eastAsia="Arial" w:hAnsi="Arial"/>
                <w:sz w:val="15"/>
                <w:szCs w:val="15"/>
                <w:b w:val="1"/>
                <w:bCs w:val="1"/>
                <w:color w:val="auto"/>
              </w:rPr>
              <w:t>average grant</w:t>
            </w:r>
          </w:p>
        </w:tc>
      </w:tr>
      <w:tr>
        <w:trPr>
          <w:trHeight w:val="209"/>
        </w:trPr>
        <w:tc>
          <w:tcPr>
            <w:tcW w:w="6660" w:type="dxa"/>
            <w:vAlign w:val="bottom"/>
          </w:tcPr>
          <w:p>
            <w:pPr>
              <w:spacing w:after="0"/>
              <w:rPr>
                <w:sz w:val="18"/>
                <w:szCs w:val="18"/>
                <w:color w:val="auto"/>
              </w:rPr>
            </w:pPr>
          </w:p>
        </w:tc>
        <w:tc>
          <w:tcPr>
            <w:tcW w:w="1100" w:type="dxa"/>
            <w:vAlign w:val="bottom"/>
            <w:tcBorders>
              <w:bottom w:val="single" w:sz="8" w:color="auto"/>
            </w:tcBorders>
          </w:tcPr>
          <w:p>
            <w:pPr>
              <w:jc w:val="right"/>
              <w:ind w:right="229"/>
              <w:spacing w:after="0"/>
              <w:rPr>
                <w:sz w:val="20"/>
                <w:szCs w:val="20"/>
                <w:color w:val="auto"/>
              </w:rPr>
            </w:pPr>
            <w:r>
              <w:rPr>
                <w:rFonts w:ascii="Arial" w:cs="Arial" w:eastAsia="Arial" w:hAnsi="Arial"/>
                <w:sz w:val="15"/>
                <w:szCs w:val="15"/>
                <w:b w:val="1"/>
                <w:bCs w:val="1"/>
                <w:color w:val="auto"/>
              </w:rPr>
              <w:t>PRSUs</w:t>
            </w:r>
          </w:p>
        </w:tc>
        <w:tc>
          <w:tcPr>
            <w:tcW w:w="6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date fair value</w:t>
            </w:r>
          </w:p>
        </w:tc>
      </w:tr>
      <w:tr>
        <w:trPr>
          <w:trHeight w:val="221"/>
        </w:trPr>
        <w:tc>
          <w:tcPr>
            <w:tcW w:w="6660" w:type="dxa"/>
            <w:vAlign w:val="bottom"/>
          </w:tcPr>
          <w:p>
            <w:pPr>
              <w:spacing w:after="0"/>
              <w:rPr>
                <w:sz w:val="20"/>
                <w:szCs w:val="20"/>
                <w:color w:val="auto"/>
              </w:rPr>
            </w:pPr>
            <w:r>
              <w:rPr>
                <w:rFonts w:ascii="Arial" w:cs="Arial" w:eastAsia="Arial" w:hAnsi="Arial"/>
                <w:sz w:val="19"/>
                <w:szCs w:val="19"/>
                <w:b w:val="1"/>
                <w:bCs w:val="1"/>
                <w:color w:val="auto"/>
              </w:rPr>
              <w:t>Outstanding at January 1, 2024</w:t>
            </w:r>
          </w:p>
        </w:tc>
        <w:tc>
          <w:tcPr>
            <w:tcW w:w="1100" w:type="dxa"/>
            <w:vAlign w:val="bottom"/>
          </w:tcPr>
          <w:p>
            <w:pPr>
              <w:jc w:val="right"/>
              <w:spacing w:after="0"/>
              <w:rPr>
                <w:sz w:val="20"/>
                <w:szCs w:val="20"/>
                <w:color w:val="auto"/>
              </w:rPr>
            </w:pPr>
            <w:r>
              <w:rPr>
                <w:rFonts w:ascii="Arial" w:cs="Arial" w:eastAsia="Arial" w:hAnsi="Arial"/>
                <w:sz w:val="19"/>
                <w:szCs w:val="19"/>
                <w:color w:val="auto"/>
              </w:rPr>
              <w:t>10,730,144</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1.66</w:t>
            </w:r>
          </w:p>
        </w:tc>
      </w:tr>
      <w:tr>
        <w:trPr>
          <w:trHeight w:val="245"/>
        </w:trPr>
        <w:tc>
          <w:tcPr>
            <w:tcW w:w="6660" w:type="dxa"/>
            <w:vAlign w:val="bottom"/>
          </w:tcPr>
          <w:p>
            <w:pPr>
              <w:spacing w:after="0"/>
              <w:rPr>
                <w:sz w:val="20"/>
                <w:szCs w:val="20"/>
                <w:color w:val="auto"/>
              </w:rPr>
            </w:pPr>
            <w:r>
              <w:rPr>
                <w:rFonts w:ascii="Arial" w:cs="Arial" w:eastAsia="Arial" w:hAnsi="Arial"/>
                <w:sz w:val="19"/>
                <w:szCs w:val="19"/>
                <w:color w:val="auto"/>
              </w:rPr>
              <w:t>Granted</w:t>
            </w:r>
          </w:p>
        </w:tc>
        <w:tc>
          <w:tcPr>
            <w:tcW w:w="1100" w:type="dxa"/>
            <w:vAlign w:val="bottom"/>
          </w:tcPr>
          <w:p>
            <w:pPr>
              <w:jc w:val="right"/>
              <w:spacing w:after="0"/>
              <w:rPr>
                <w:sz w:val="20"/>
                <w:szCs w:val="20"/>
                <w:color w:val="auto"/>
              </w:rPr>
            </w:pPr>
            <w:r>
              <w:rPr>
                <w:rFonts w:ascii="Arial" w:cs="Arial" w:eastAsia="Arial" w:hAnsi="Arial"/>
                <w:sz w:val="19"/>
                <w:szCs w:val="19"/>
                <w:color w:val="auto"/>
              </w:rPr>
              <w:t>25,162,130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4.91</w:t>
            </w:r>
          </w:p>
        </w:tc>
      </w:tr>
      <w:tr>
        <w:trPr>
          <w:trHeight w:val="245"/>
        </w:trPr>
        <w:tc>
          <w:tcPr>
            <w:tcW w:w="6660" w:type="dxa"/>
            <w:vAlign w:val="bottom"/>
          </w:tcPr>
          <w:p>
            <w:pPr>
              <w:spacing w:after="0"/>
              <w:rPr>
                <w:sz w:val="20"/>
                <w:szCs w:val="20"/>
                <w:color w:val="auto"/>
              </w:rPr>
            </w:pPr>
            <w:r>
              <w:rPr>
                <w:rFonts w:ascii="Arial" w:cs="Arial" w:eastAsia="Arial" w:hAnsi="Arial"/>
                <w:sz w:val="19"/>
                <w:szCs w:val="19"/>
                <w:color w:val="auto"/>
              </w:rPr>
              <w:t>Forfeited</w:t>
            </w:r>
          </w:p>
        </w:tc>
        <w:tc>
          <w:tcPr>
            <w:tcW w:w="1100" w:type="dxa"/>
            <w:vAlign w:val="bottom"/>
          </w:tcPr>
          <w:p>
            <w:pPr>
              <w:jc w:val="right"/>
              <w:spacing w:after="0"/>
              <w:rPr>
                <w:sz w:val="20"/>
                <w:szCs w:val="20"/>
                <w:color w:val="auto"/>
              </w:rPr>
            </w:pPr>
            <w:r>
              <w:rPr>
                <w:rFonts w:ascii="Arial" w:cs="Arial" w:eastAsia="Arial" w:hAnsi="Arial"/>
                <w:sz w:val="19"/>
                <w:szCs w:val="19"/>
                <w:color w:val="auto"/>
              </w:rPr>
              <w:t>(931,084)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1.74</w:t>
            </w:r>
          </w:p>
        </w:tc>
      </w:tr>
      <w:tr>
        <w:trPr>
          <w:trHeight w:val="249"/>
        </w:trPr>
        <w:tc>
          <w:tcPr>
            <w:tcW w:w="6660" w:type="dxa"/>
            <w:vAlign w:val="bottom"/>
          </w:tcPr>
          <w:p>
            <w:pPr>
              <w:spacing w:after="0"/>
              <w:rPr>
                <w:sz w:val="20"/>
                <w:szCs w:val="20"/>
                <w:color w:val="auto"/>
              </w:rPr>
            </w:pPr>
            <w:r>
              <w:rPr>
                <w:rFonts w:ascii="Arial" w:cs="Arial" w:eastAsia="Arial" w:hAnsi="Arial"/>
                <w:sz w:val="19"/>
                <w:szCs w:val="19"/>
                <w:color w:val="auto"/>
              </w:rPr>
              <w:t>Vested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(4,399,216)</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1.66</w:t>
            </w:r>
          </w:p>
        </w:tc>
      </w:tr>
      <w:tr>
        <w:trPr>
          <w:trHeight w:val="206"/>
        </w:trPr>
        <w:tc>
          <w:tcPr>
            <w:tcW w:w="6660" w:type="dxa"/>
            <w:vAlign w:val="bottom"/>
          </w:tcPr>
          <w:p>
            <w:pPr>
              <w:spacing w:after="0" w:line="205" w:lineRule="exact"/>
              <w:rPr>
                <w:sz w:val="20"/>
                <w:szCs w:val="20"/>
                <w:color w:val="auto"/>
              </w:rPr>
            </w:pPr>
            <w:r>
              <w:rPr>
                <w:rFonts w:ascii="Arial" w:cs="Arial" w:eastAsia="Arial" w:hAnsi="Arial"/>
                <w:sz w:val="19"/>
                <w:szCs w:val="19"/>
                <w:b w:val="1"/>
                <w:bCs w:val="1"/>
                <w:color w:val="auto"/>
              </w:rPr>
              <w:t>Outstanding at December 31, 2024</w:t>
            </w:r>
          </w:p>
        </w:tc>
        <w:tc>
          <w:tcPr>
            <w:tcW w:w="11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30,561,974</w:t>
            </w:r>
          </w:p>
        </w:tc>
        <w:tc>
          <w:tcPr>
            <w:tcW w:w="6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w:t>
            </w:r>
          </w:p>
        </w:tc>
        <w:tc>
          <w:tcPr>
            <w:tcW w:w="9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4.33</w:t>
            </w:r>
          </w:p>
        </w:tc>
      </w:tr>
      <w:tr>
        <w:trPr>
          <w:trHeight w:val="20"/>
        </w:trPr>
        <w:tc>
          <w:tcPr>
            <w:tcW w:w="6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-808355</wp:posOffset>
            </wp:positionV>
            <wp:extent cx="5733415" cy="815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extLst>
                    </a:blip>
                    <a:srcRect/>
                    <a:stretch>
                      <a:fillRect/>
                    </a:stretch>
                  </pic:blipFill>
                  <pic:spPr bwMode="auto">
                    <a:xfrm>
                      <a:off x="0" y="0"/>
                      <a:ext cx="5733415" cy="815340"/>
                    </a:xfrm>
                    <a:prstGeom prst="rect">
                      <a:avLst/>
                    </a:prstGeom>
                    <a:noFill/>
                  </pic:spPr>
                </pic:pic>
              </a:graphicData>
            </a:graphic>
          </wp:anchor>
        </w:drawing>
      </w:r>
    </w:p>
    <w:p>
      <w:pPr>
        <w:spacing w:after="0" w:line="102" w:lineRule="exact"/>
        <w:rPr>
          <w:sz w:val="20"/>
          <w:szCs w:val="20"/>
          <w:color w:val="auto"/>
        </w:rPr>
      </w:pPr>
    </w:p>
    <w:p>
      <w:pPr>
        <w:jc w:val="both"/>
        <w:ind w:right="40"/>
        <w:spacing w:after="0" w:line="267" w:lineRule="auto"/>
        <w:rPr>
          <w:sz w:val="20"/>
          <w:szCs w:val="20"/>
          <w:color w:val="auto"/>
        </w:rPr>
      </w:pPr>
      <w:r>
        <w:rPr>
          <w:rFonts w:ascii="Arial" w:cs="Arial" w:eastAsia="Arial" w:hAnsi="Arial"/>
          <w:sz w:val="19"/>
          <w:szCs w:val="19"/>
          <w:color w:val="auto"/>
        </w:rPr>
        <w:t>The intrinsic value of PRSUs that vested in the year ended December 31, 2024 was $12.9 million, with no PRSUs vested in 2023 or 2022.</w:t>
      </w:r>
    </w:p>
    <w:p>
      <w:pPr>
        <w:spacing w:after="0" w:line="52" w:lineRule="exact"/>
        <w:rPr>
          <w:sz w:val="20"/>
          <w:szCs w:val="20"/>
          <w:color w:val="auto"/>
        </w:rPr>
      </w:pPr>
    </w:p>
    <w:p>
      <w:pPr>
        <w:jc w:val="both"/>
        <w:ind w:right="40"/>
        <w:spacing w:after="0" w:line="250" w:lineRule="auto"/>
        <w:rPr>
          <w:sz w:val="20"/>
          <w:szCs w:val="20"/>
          <w:color w:val="auto"/>
        </w:rPr>
      </w:pPr>
      <w:r>
        <w:rPr>
          <w:rFonts w:ascii="Arial" w:cs="Arial" w:eastAsia="Arial" w:hAnsi="Arial"/>
          <w:sz w:val="19"/>
          <w:szCs w:val="19"/>
          <w:color w:val="auto"/>
        </w:rPr>
        <w:t>As of December 31, 2024, total compensation cost related to share options, RSUs and PRSUs granted but not yet recognized was $141.9 million. This cost will be amortized to expense over a weighted average remaining period of approximately 1 year and will be adjusted for subsequent forfeitures.</w:t>
      </w:r>
    </w:p>
    <w:p>
      <w:pPr>
        <w:sectPr>
          <w:pgSz w:w="11880" w:h="15480" w:orient="portrait"/>
          <w:cols w:equalWidth="0" w:num="1">
            <w:col w:w="9040"/>
          </w:cols>
          <w:pgMar w:left="1440" w:top="327" w:right="14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F-29</w:t>
      </w:r>
    </w:p>
    <w:p>
      <w:pPr>
        <w:sectPr>
          <w:pgSz w:w="11880" w:h="15480" w:orient="portrait"/>
          <w:cols w:equalWidth="0" w:num="1">
            <w:col w:w="9040"/>
          </w:cols>
          <w:pgMar w:left="1440" w:top="327" w:right="1400" w:bottom="0" w:gutter="0" w:footer="0" w:header="0"/>
          <w:type w:val="continuous"/>
        </w:sectPr>
      </w:pPr>
    </w:p>
    <w:bookmarkStart w:id="137" w:name="page138"/>
    <w:bookmarkEnd w:id="137"/>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8 - Benefit plans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Company maintains a 401(k) defined contribution retirement plan in the U.S. and a defined contribution plan in the U.K. for its employees and executive directors. The assets of the plans are held separately from those of the Company in independently administered funds.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retirement plan cost represents the contributions payable by the Company to the plans during the year. Defined contribution costs during the years ended December 31, 2024, 2023 and 2022 amounted to $1.2 million, $0.6 million and $0.3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9 - Taxation</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Verona Pharma plc operates in the United Kingdom and Verona Pharma, Inc. operates in the United States and they are subject to income taxes in those countries. For the year ended December 31, 2024 the U.K. corporation tax is charged at 25.0% and the U.S. federal corporate income tax rate is 21%.</w:t>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color w:val="auto"/>
        </w:rPr>
        <w:t>The components of (loss)/profit before income taxes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5"/>
                <w:szCs w:val="15"/>
                <w:b w:val="1"/>
                <w:bCs w:val="1"/>
                <w:color w:val="auto"/>
                <w:w w:val="92"/>
              </w:rPr>
              <w:t>December 31,</w:t>
            </w: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2024</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67"/>
              <w:spacing w:after="0"/>
              <w:rPr>
                <w:sz w:val="20"/>
                <w:szCs w:val="20"/>
                <w:color w:val="auto"/>
              </w:rPr>
            </w:pPr>
            <w:r>
              <w:rPr>
                <w:rFonts w:ascii="Arial" w:cs="Arial" w:eastAsia="Arial" w:hAnsi="Arial"/>
                <w:sz w:val="15"/>
                <w:szCs w:val="15"/>
                <w:b w:val="1"/>
                <w:bCs w:val="1"/>
                <w:color w:val="auto"/>
                <w:w w:val="89"/>
              </w:rPr>
              <w:t>2023</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25"/>
        </w:trPr>
        <w:tc>
          <w:tcPr>
            <w:tcW w:w="5540" w:type="dxa"/>
            <w:vAlign w:val="bottom"/>
            <w:gridSpan w:val="2"/>
          </w:tcPr>
          <w:p>
            <w:pPr>
              <w:ind w:left="60"/>
              <w:spacing w:after="0"/>
              <w:rPr>
                <w:sz w:val="20"/>
                <w:szCs w:val="20"/>
                <w:color w:val="auto"/>
              </w:rPr>
            </w:pPr>
            <w:r>
              <w:rPr>
                <w:rFonts w:ascii="Arial" w:cs="Arial" w:eastAsia="Arial" w:hAnsi="Arial"/>
                <w:sz w:val="19"/>
                <w:szCs w:val="19"/>
                <w:color w:val="auto"/>
              </w:rPr>
              <w:t>United States</w:t>
            </w:r>
          </w:p>
        </w:tc>
        <w:tc>
          <w:tcPr>
            <w:tcW w:w="24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(107,460)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3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7,429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3,868</w:t>
            </w:r>
          </w:p>
        </w:tc>
        <w:tc>
          <w:tcPr>
            <w:tcW w:w="0" w:type="dxa"/>
            <w:vAlign w:val="bottom"/>
          </w:tcPr>
          <w:p>
            <w:pPr>
              <w:spacing w:after="0"/>
              <w:rPr>
                <w:sz w:val="1"/>
                <w:szCs w:val="1"/>
                <w:color w:val="auto"/>
              </w:rPr>
            </w:pPr>
          </w:p>
        </w:tc>
      </w:tr>
      <w:tr>
        <w:trPr>
          <w:trHeight w:val="244"/>
        </w:trPr>
        <w:tc>
          <w:tcPr>
            <w:tcW w:w="5540" w:type="dxa"/>
            <w:vAlign w:val="bottom"/>
            <w:gridSpan w:val="2"/>
          </w:tcPr>
          <w:p>
            <w:pPr>
              <w:ind w:left="60"/>
              <w:spacing w:after="0"/>
              <w:rPr>
                <w:sz w:val="20"/>
                <w:szCs w:val="20"/>
                <w:color w:val="auto"/>
              </w:rPr>
            </w:pPr>
            <w:r>
              <w:rPr>
                <w:rFonts w:ascii="Arial" w:cs="Arial" w:eastAsia="Arial" w:hAnsi="Arial"/>
                <w:sz w:val="19"/>
                <w:szCs w:val="19"/>
                <w:color w:val="auto"/>
              </w:rPr>
              <w:t>United Kingdom</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(55,669)</w:t>
            </w: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(61,324)</w:t>
            </w:r>
          </w:p>
        </w:tc>
        <w:tc>
          <w:tcPr>
            <w:tcW w:w="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(72,316)</w:t>
            </w:r>
          </w:p>
        </w:tc>
        <w:tc>
          <w:tcPr>
            <w:tcW w:w="0" w:type="dxa"/>
            <w:vAlign w:val="bottom"/>
          </w:tcPr>
          <w:p>
            <w:pPr>
              <w:spacing w:after="0"/>
              <w:rPr>
                <w:sz w:val="1"/>
                <w:szCs w:val="1"/>
                <w:color w:val="auto"/>
              </w:rPr>
            </w:pPr>
          </w:p>
        </w:tc>
      </w:tr>
      <w:tr>
        <w:trPr>
          <w:trHeight w:val="220"/>
        </w:trPr>
        <w:tc>
          <w:tcPr>
            <w:tcW w:w="5540" w:type="dxa"/>
            <w:vAlign w:val="bottom"/>
            <w:gridSpan w:val="2"/>
          </w:tcPr>
          <w:p>
            <w:pPr>
              <w:ind w:left="60"/>
              <w:spacing w:after="0"/>
              <w:rPr>
                <w:sz w:val="20"/>
                <w:szCs w:val="20"/>
                <w:color w:val="auto"/>
              </w:rPr>
            </w:pPr>
            <w:r>
              <w:rPr>
                <w:rFonts w:ascii="Arial" w:cs="Arial" w:eastAsia="Arial" w:hAnsi="Arial"/>
                <w:sz w:val="19"/>
                <w:szCs w:val="19"/>
                <w:b w:val="1"/>
                <w:bCs w:val="1"/>
                <w:color w:val="auto"/>
              </w:rPr>
              <w:t>Total</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(163,129)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34"/>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(53,895)</w:t>
            </w: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(68,448)</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9"/>
                <w:szCs w:val="19"/>
                <w:color w:val="auto"/>
                <w:w w:val="93"/>
              </w:rPr>
              <w:t>The components of income tax expense are as follows (in thousands):</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5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55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5"/>
                <w:szCs w:val="15"/>
                <w:b w:val="1"/>
                <w:bCs w:val="1"/>
                <w:color w:val="auto"/>
                <w:w w:val="90"/>
              </w:rPr>
              <w:t>December 31,</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2024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87"/>
              <w:spacing w:after="0"/>
              <w:rPr>
                <w:sz w:val="20"/>
                <w:szCs w:val="20"/>
                <w:color w:val="auto"/>
              </w:rPr>
            </w:pPr>
            <w:r>
              <w:rPr>
                <w:rFonts w:ascii="Arial" w:cs="Arial" w:eastAsia="Arial" w:hAnsi="Arial"/>
                <w:sz w:val="15"/>
                <w:szCs w:val="15"/>
                <w:b w:val="1"/>
                <w:bCs w:val="1"/>
                <w:color w:val="auto"/>
                <w:w w:val="95"/>
              </w:rPr>
              <w:t>2023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25"/>
        </w:trPr>
        <w:tc>
          <w:tcPr>
            <w:tcW w:w="5520" w:type="dxa"/>
            <w:vAlign w:val="bottom"/>
          </w:tcPr>
          <w:p>
            <w:pPr>
              <w:ind w:left="60"/>
              <w:spacing w:after="0"/>
              <w:rPr>
                <w:sz w:val="20"/>
                <w:szCs w:val="20"/>
                <w:color w:val="auto"/>
              </w:rPr>
            </w:pPr>
            <w:r>
              <w:rPr>
                <w:rFonts w:ascii="Arial" w:cs="Arial" w:eastAsia="Arial" w:hAnsi="Arial"/>
                <w:sz w:val="19"/>
                <w:szCs w:val="19"/>
                <w:color w:val="auto"/>
              </w:rPr>
              <w:t>United States</w:t>
            </w:r>
          </w:p>
        </w:tc>
        <w:tc>
          <w:tcPr>
            <w:tcW w:w="20" w:type="dxa"/>
            <w:vAlign w:val="bottom"/>
          </w:tcPr>
          <w:p>
            <w:pPr>
              <w:spacing w:after="0"/>
              <w:rPr>
                <w:sz w:val="19"/>
                <w:szCs w:val="19"/>
                <w:color w:val="auto"/>
              </w:rPr>
            </w:pPr>
          </w:p>
        </w:tc>
        <w:tc>
          <w:tcPr>
            <w:tcW w:w="240" w:type="dxa"/>
            <w:vAlign w:val="bottom"/>
          </w:tcPr>
          <w:p>
            <w:pPr>
              <w:jc w:val="right"/>
              <w:ind w:right="24"/>
              <w:spacing w:after="0"/>
              <w:rPr>
                <w:sz w:val="20"/>
                <w:szCs w:val="20"/>
                <w:color w:val="auto"/>
              </w:rPr>
            </w:pPr>
            <w:r>
              <w:rPr>
                <w:rFonts w:ascii="Arial" w:cs="Arial" w:eastAsia="Arial" w:hAnsi="Arial"/>
                <w:sz w:val="19"/>
                <w:szCs w:val="19"/>
                <w:color w:val="auto"/>
                <w:w w:val="94"/>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10,289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ind w:right="3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474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253</w:t>
            </w:r>
          </w:p>
        </w:tc>
        <w:tc>
          <w:tcPr>
            <w:tcW w:w="0" w:type="dxa"/>
            <w:vAlign w:val="bottom"/>
          </w:tcPr>
          <w:p>
            <w:pPr>
              <w:spacing w:after="0"/>
              <w:rPr>
                <w:sz w:val="1"/>
                <w:szCs w:val="1"/>
                <w:color w:val="auto"/>
              </w:rPr>
            </w:pPr>
          </w:p>
        </w:tc>
      </w:tr>
      <w:tr>
        <w:trPr>
          <w:trHeight w:val="244"/>
        </w:trPr>
        <w:tc>
          <w:tcPr>
            <w:tcW w:w="5540" w:type="dxa"/>
            <w:vAlign w:val="bottom"/>
            <w:gridSpan w:val="2"/>
          </w:tcPr>
          <w:p>
            <w:pPr>
              <w:ind w:left="60"/>
              <w:spacing w:after="0"/>
              <w:rPr>
                <w:sz w:val="20"/>
                <w:szCs w:val="20"/>
                <w:color w:val="auto"/>
              </w:rPr>
            </w:pPr>
            <w:r>
              <w:rPr>
                <w:rFonts w:ascii="Arial" w:cs="Arial" w:eastAsia="Arial" w:hAnsi="Arial"/>
                <w:sz w:val="19"/>
                <w:szCs w:val="19"/>
                <w:color w:val="auto"/>
              </w:rPr>
              <w:t>United Kingdom</w:t>
            </w:r>
          </w:p>
        </w:tc>
        <w:tc>
          <w:tcPr>
            <w:tcW w:w="2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0"/>
        </w:trPr>
        <w:tc>
          <w:tcPr>
            <w:tcW w:w="5520" w:type="dxa"/>
            <w:vAlign w:val="bottom"/>
          </w:tcPr>
          <w:p>
            <w:pPr>
              <w:ind w:left="60"/>
              <w:spacing w:after="0"/>
              <w:rPr>
                <w:sz w:val="20"/>
                <w:szCs w:val="20"/>
                <w:color w:val="auto"/>
              </w:rPr>
            </w:pPr>
            <w:r>
              <w:rPr>
                <w:rFonts w:ascii="Arial" w:cs="Arial" w:eastAsia="Arial" w:hAnsi="Arial"/>
                <w:sz w:val="19"/>
                <w:szCs w:val="19"/>
                <w:b w:val="1"/>
                <w:bCs w:val="1"/>
                <w:color w:val="auto"/>
              </w:rPr>
              <w:t>Total current tax expense</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9"/>
                <w:szCs w:val="19"/>
                <w:color w:val="auto"/>
                <w:w w:val="9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10,289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34"/>
              <w:spacing w:after="0"/>
              <w:rPr>
                <w:sz w:val="20"/>
                <w:szCs w:val="20"/>
                <w:color w:val="auto"/>
              </w:rPr>
            </w:pPr>
            <w:r>
              <w:rPr>
                <w:rFonts w:ascii="Arial" w:cs="Arial" w:eastAsia="Arial" w:hAnsi="Arial"/>
                <w:sz w:val="19"/>
                <w:szCs w:val="19"/>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474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253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5540" w:type="dxa"/>
            <w:vAlign w:val="bottom"/>
            <w:gridSpan w:val="2"/>
          </w:tcPr>
          <w:p>
            <w:pPr>
              <w:ind w:left="60"/>
              <w:spacing w:after="0"/>
              <w:rPr>
                <w:sz w:val="20"/>
                <w:szCs w:val="20"/>
                <w:color w:val="auto"/>
              </w:rPr>
            </w:pPr>
            <w:r>
              <w:rPr>
                <w:rFonts w:ascii="Arial" w:cs="Arial" w:eastAsia="Arial" w:hAnsi="Arial"/>
                <w:sz w:val="19"/>
                <w:szCs w:val="19"/>
                <w:color w:val="auto"/>
              </w:rPr>
              <w:t>United States</w:t>
            </w:r>
          </w:p>
        </w:tc>
        <w:tc>
          <w:tcPr>
            <w:tcW w:w="240" w:type="dxa"/>
            <w:vAlign w:val="bottom"/>
          </w:tcPr>
          <w:p>
            <w:pPr>
              <w:jc w:val="right"/>
              <w:ind w:right="24"/>
              <w:spacing w:after="0"/>
              <w:rPr>
                <w:sz w:val="20"/>
                <w:szCs w:val="20"/>
                <w:color w:val="auto"/>
              </w:rPr>
            </w:pPr>
            <w:r>
              <w:rPr>
                <w:rFonts w:ascii="Arial" w:cs="Arial" w:eastAsia="Arial" w:hAnsi="Arial"/>
                <w:sz w:val="19"/>
                <w:szCs w:val="19"/>
                <w:color w:val="auto"/>
                <w:w w:val="94"/>
              </w:rPr>
              <w:t>$</w:t>
            </w:r>
          </w:p>
        </w:tc>
        <w:tc>
          <w:tcPr>
            <w:tcW w:w="88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320" w:type="dxa"/>
            <w:vAlign w:val="bottom"/>
            <w:gridSpan w:val="3"/>
          </w:tcPr>
          <w:p>
            <w:pPr>
              <w:jc w:val="right"/>
              <w:ind w:right="34"/>
              <w:spacing w:after="0"/>
              <w:rPr>
                <w:sz w:val="20"/>
                <w:szCs w:val="20"/>
                <w:color w:val="auto"/>
              </w:rPr>
            </w:pPr>
            <w:r>
              <w:rPr>
                <w:rFonts w:ascii="Arial" w:cs="Arial" w:eastAsia="Arial" w:hAnsi="Arial"/>
                <w:sz w:val="19"/>
                <w:szCs w:val="19"/>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320" w:type="dxa"/>
            <w:vAlign w:val="bottom"/>
            <w:gridSpan w:val="2"/>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4"/>
        </w:trPr>
        <w:tc>
          <w:tcPr>
            <w:tcW w:w="5540" w:type="dxa"/>
            <w:vAlign w:val="bottom"/>
            <w:gridSpan w:val="2"/>
          </w:tcPr>
          <w:p>
            <w:pPr>
              <w:ind w:left="60"/>
              <w:spacing w:after="0"/>
              <w:rPr>
                <w:sz w:val="20"/>
                <w:szCs w:val="20"/>
                <w:color w:val="auto"/>
              </w:rPr>
            </w:pPr>
            <w:r>
              <w:rPr>
                <w:rFonts w:ascii="Arial" w:cs="Arial" w:eastAsia="Arial" w:hAnsi="Arial"/>
                <w:sz w:val="19"/>
                <w:szCs w:val="19"/>
                <w:color w:val="auto"/>
              </w:rPr>
              <w:t>United Kingdom</w:t>
            </w:r>
          </w:p>
        </w:tc>
        <w:tc>
          <w:tcPr>
            <w:tcW w:w="2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5"/>
        </w:trPr>
        <w:tc>
          <w:tcPr>
            <w:tcW w:w="5520" w:type="dxa"/>
            <w:vAlign w:val="bottom"/>
          </w:tcPr>
          <w:p>
            <w:pPr>
              <w:ind w:left="60"/>
              <w:spacing w:after="0"/>
              <w:rPr>
                <w:sz w:val="20"/>
                <w:szCs w:val="20"/>
                <w:color w:val="auto"/>
              </w:rPr>
            </w:pPr>
            <w:r>
              <w:rPr>
                <w:rFonts w:ascii="Arial" w:cs="Arial" w:eastAsia="Arial" w:hAnsi="Arial"/>
                <w:sz w:val="19"/>
                <w:szCs w:val="19"/>
                <w:b w:val="1"/>
                <w:bCs w:val="1"/>
                <w:color w:val="auto"/>
              </w:rPr>
              <w:t>Total deferred tax expense</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0"/>
        </w:trPr>
        <w:tc>
          <w:tcPr>
            <w:tcW w:w="5520" w:type="dxa"/>
            <w:vAlign w:val="bottom"/>
          </w:tcPr>
          <w:p>
            <w:pPr>
              <w:ind w:left="60"/>
              <w:spacing w:after="0"/>
              <w:rPr>
                <w:sz w:val="20"/>
                <w:szCs w:val="20"/>
                <w:color w:val="auto"/>
              </w:rPr>
            </w:pPr>
            <w:r>
              <w:rPr>
                <w:rFonts w:ascii="Arial" w:cs="Arial" w:eastAsia="Arial" w:hAnsi="Arial"/>
                <w:sz w:val="19"/>
                <w:szCs w:val="19"/>
                <w:b w:val="1"/>
                <w:bCs w:val="1"/>
                <w:color w:val="auto"/>
              </w:rPr>
              <w:t>Total income tax expense</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w w:val="9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10,289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-2412365</wp:posOffset>
            </wp:positionV>
            <wp:extent cx="5733415" cy="513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extLst>
                    </a:blip>
                    <a:srcRect/>
                    <a:stretch>
                      <a:fillRect/>
                    </a:stretch>
                  </pic:blipFill>
                  <pic:spPr bwMode="auto">
                    <a:xfrm>
                      <a:off x="0" y="0"/>
                      <a:ext cx="5733415" cy="51308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-1302385</wp:posOffset>
            </wp:positionV>
            <wp:extent cx="5733415" cy="130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extLst>
                    </a:blip>
                    <a:srcRect/>
                    <a:stretch>
                      <a:fillRect/>
                    </a:stretch>
                  </pic:blipFill>
                  <pic:spPr bwMode="auto">
                    <a:xfrm>
                      <a:off x="0" y="0"/>
                      <a:ext cx="5733415" cy="130937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A reconciliation of the U.K. statutory income tax rate to our effective income tax rate is as follows: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54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0"/>
        </w:trPr>
        <w:tc>
          <w:tcPr>
            <w:tcW w:w="5460" w:type="dxa"/>
            <w:vAlign w:val="bottom"/>
          </w:tcPr>
          <w:p>
            <w:pPr>
              <w:spacing w:after="0"/>
              <w:rPr>
                <w:sz w:val="18"/>
                <w:szCs w:val="18"/>
                <w:color w:val="auto"/>
              </w:rPr>
            </w:pPr>
          </w:p>
        </w:tc>
        <w:tc>
          <w:tcPr>
            <w:tcW w:w="1120" w:type="dxa"/>
            <w:vAlign w:val="bottom"/>
          </w:tcPr>
          <w:p>
            <w:pPr>
              <w:jc w:val="right"/>
              <w:ind w:right="306"/>
              <w:spacing w:after="0"/>
              <w:rPr>
                <w:sz w:val="20"/>
                <w:szCs w:val="20"/>
                <w:color w:val="auto"/>
              </w:rPr>
            </w:pPr>
            <w:r>
              <w:rPr>
                <w:rFonts w:ascii="Arial" w:cs="Arial" w:eastAsia="Arial" w:hAnsi="Arial"/>
                <w:sz w:val="15"/>
                <w:szCs w:val="15"/>
                <w:b w:val="1"/>
                <w:bCs w:val="1"/>
                <w:color w:val="auto"/>
              </w:rPr>
              <w:t>2024</w:t>
            </w:r>
          </w:p>
        </w:tc>
        <w:tc>
          <w:tcPr>
            <w:tcW w:w="1180" w:type="dxa"/>
            <w:vAlign w:val="bottom"/>
            <w:gridSpan w:val="2"/>
          </w:tcPr>
          <w:p>
            <w:pPr>
              <w:jc w:val="right"/>
              <w:ind w:right="309"/>
              <w:spacing w:after="0"/>
              <w:rPr>
                <w:sz w:val="20"/>
                <w:szCs w:val="20"/>
                <w:color w:val="auto"/>
              </w:rPr>
            </w:pPr>
            <w:r>
              <w:rPr>
                <w:rFonts w:ascii="Arial" w:cs="Arial" w:eastAsia="Arial" w:hAnsi="Arial"/>
                <w:sz w:val="15"/>
                <w:szCs w:val="15"/>
                <w:b w:val="1"/>
                <w:bCs w:val="1"/>
                <w:color w:val="auto"/>
              </w:rPr>
              <w:t>2023</w:t>
            </w:r>
          </w:p>
        </w:tc>
        <w:tc>
          <w:tcPr>
            <w:tcW w:w="1180" w:type="dxa"/>
            <w:vAlign w:val="bottom"/>
            <w:gridSpan w:val="2"/>
          </w:tcPr>
          <w:p>
            <w:pPr>
              <w:jc w:val="right"/>
              <w:ind w:right="304"/>
              <w:spacing w:after="0"/>
              <w:rPr>
                <w:sz w:val="20"/>
                <w:szCs w:val="20"/>
                <w:color w:val="auto"/>
              </w:rPr>
            </w:pPr>
            <w:r>
              <w:rPr>
                <w:rFonts w:ascii="Arial" w:cs="Arial" w:eastAsia="Arial" w:hAnsi="Arial"/>
                <w:sz w:val="15"/>
                <w:szCs w:val="15"/>
                <w:b w:val="1"/>
                <w:bCs w:val="1"/>
                <w:color w:val="auto"/>
              </w:rPr>
              <w:t>2022</w:t>
            </w:r>
          </w:p>
        </w:tc>
      </w:tr>
      <w:tr>
        <w:trPr>
          <w:trHeight w:val="225"/>
        </w:trPr>
        <w:tc>
          <w:tcPr>
            <w:tcW w:w="5460" w:type="dxa"/>
            <w:vAlign w:val="bottom"/>
          </w:tcPr>
          <w:p>
            <w:pPr>
              <w:spacing w:after="0"/>
              <w:rPr>
                <w:sz w:val="20"/>
                <w:szCs w:val="20"/>
                <w:color w:val="auto"/>
              </w:rPr>
            </w:pPr>
            <w:r>
              <w:rPr>
                <w:rFonts w:ascii="Arial" w:cs="Arial" w:eastAsia="Arial" w:hAnsi="Arial"/>
                <w:sz w:val="19"/>
                <w:szCs w:val="19"/>
                <w:color w:val="auto"/>
              </w:rPr>
              <w:t>U.K. tax rate</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25.0 %</w:t>
            </w:r>
          </w:p>
        </w:tc>
        <w:tc>
          <w:tcPr>
            <w:tcW w:w="6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23.5 %</w:t>
            </w:r>
          </w:p>
        </w:tc>
        <w:tc>
          <w:tcPr>
            <w:tcW w:w="6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19.0 %</w:t>
            </w:r>
          </w:p>
        </w:tc>
      </w:tr>
      <w:tr>
        <w:trPr>
          <w:trHeight w:val="245"/>
        </w:trPr>
        <w:tc>
          <w:tcPr>
            <w:tcW w:w="5460" w:type="dxa"/>
            <w:vAlign w:val="bottom"/>
          </w:tcPr>
          <w:p>
            <w:pPr>
              <w:spacing w:after="0"/>
              <w:rPr>
                <w:sz w:val="20"/>
                <w:szCs w:val="20"/>
                <w:color w:val="auto"/>
              </w:rPr>
            </w:pPr>
            <w:r>
              <w:rPr>
                <w:rFonts w:ascii="Arial" w:cs="Arial" w:eastAsia="Arial" w:hAnsi="Arial"/>
                <w:sz w:val="19"/>
                <w:szCs w:val="19"/>
                <w:color w:val="auto"/>
              </w:rPr>
              <w:t>U.S. federal rate differential</w:t>
            </w:r>
          </w:p>
        </w:tc>
        <w:tc>
          <w:tcPr>
            <w:tcW w:w="1120" w:type="dxa"/>
            <w:vAlign w:val="bottom"/>
          </w:tcPr>
          <w:p>
            <w:pPr>
              <w:jc w:val="right"/>
              <w:spacing w:after="0"/>
              <w:rPr>
                <w:sz w:val="20"/>
                <w:szCs w:val="20"/>
                <w:color w:val="auto"/>
              </w:rPr>
            </w:pPr>
            <w:r>
              <w:rPr>
                <w:rFonts w:ascii="Arial" w:cs="Arial" w:eastAsia="Arial" w:hAnsi="Arial"/>
                <w:sz w:val="19"/>
                <w:szCs w:val="19"/>
                <w:color w:val="auto"/>
              </w:rPr>
              <w:t>(2.6)%</w:t>
            </w:r>
          </w:p>
        </w:tc>
        <w:tc>
          <w:tcPr>
            <w:tcW w:w="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 %</w:t>
            </w:r>
          </w:p>
        </w:tc>
        <w:tc>
          <w:tcPr>
            <w:tcW w:w="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 %</w:t>
            </w:r>
          </w:p>
        </w:tc>
      </w:tr>
      <w:tr>
        <w:trPr>
          <w:trHeight w:val="245"/>
        </w:trPr>
        <w:tc>
          <w:tcPr>
            <w:tcW w:w="5460" w:type="dxa"/>
            <w:vAlign w:val="bottom"/>
          </w:tcPr>
          <w:p>
            <w:pPr>
              <w:spacing w:after="0"/>
              <w:rPr>
                <w:sz w:val="20"/>
                <w:szCs w:val="20"/>
                <w:color w:val="auto"/>
              </w:rPr>
            </w:pPr>
            <w:r>
              <w:rPr>
                <w:rFonts w:ascii="Arial" w:cs="Arial" w:eastAsia="Arial" w:hAnsi="Arial"/>
                <w:sz w:val="19"/>
                <w:szCs w:val="19"/>
                <w:color w:val="auto"/>
              </w:rPr>
              <w:t>Non-deductible expenses</w:t>
            </w:r>
          </w:p>
        </w:tc>
        <w:tc>
          <w:tcPr>
            <w:tcW w:w="1120" w:type="dxa"/>
            <w:vAlign w:val="bottom"/>
          </w:tcPr>
          <w:p>
            <w:pPr>
              <w:jc w:val="right"/>
              <w:spacing w:after="0"/>
              <w:rPr>
                <w:sz w:val="20"/>
                <w:szCs w:val="20"/>
                <w:color w:val="auto"/>
              </w:rPr>
            </w:pPr>
            <w:r>
              <w:rPr>
                <w:rFonts w:ascii="Arial" w:cs="Arial" w:eastAsia="Arial" w:hAnsi="Arial"/>
                <w:sz w:val="19"/>
                <w:szCs w:val="19"/>
                <w:color w:val="auto"/>
              </w:rPr>
              <w:t>(3.5)%</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(8.0)%</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(1.8)%</w:t>
            </w:r>
          </w:p>
        </w:tc>
      </w:tr>
      <w:tr>
        <w:trPr>
          <w:trHeight w:val="245"/>
        </w:trPr>
        <w:tc>
          <w:tcPr>
            <w:tcW w:w="5460" w:type="dxa"/>
            <w:vAlign w:val="bottom"/>
          </w:tcPr>
          <w:p>
            <w:pPr>
              <w:spacing w:after="0"/>
              <w:rPr>
                <w:sz w:val="20"/>
                <w:szCs w:val="20"/>
                <w:color w:val="auto"/>
              </w:rPr>
            </w:pPr>
            <w:r>
              <w:rPr>
                <w:rFonts w:ascii="Arial" w:cs="Arial" w:eastAsia="Arial" w:hAnsi="Arial"/>
                <w:sz w:val="19"/>
                <w:szCs w:val="19"/>
                <w:color w:val="auto"/>
              </w:rPr>
              <w:t>Research and development incentive</w:t>
            </w:r>
          </w:p>
        </w:tc>
        <w:tc>
          <w:tcPr>
            <w:tcW w:w="1120" w:type="dxa"/>
            <w:vAlign w:val="bottom"/>
          </w:tcPr>
          <w:p>
            <w:pPr>
              <w:jc w:val="right"/>
              <w:spacing w:after="0"/>
              <w:rPr>
                <w:sz w:val="20"/>
                <w:szCs w:val="20"/>
                <w:color w:val="auto"/>
              </w:rPr>
            </w:pPr>
            <w:r>
              <w:rPr>
                <w:rFonts w:ascii="Arial" w:cs="Arial" w:eastAsia="Arial" w:hAnsi="Arial"/>
                <w:sz w:val="19"/>
                <w:szCs w:val="19"/>
                <w:color w:val="auto"/>
              </w:rPr>
              <w:t>(2.6)%</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(4.1)%</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(8.0)%</w:t>
            </w:r>
          </w:p>
        </w:tc>
      </w:tr>
      <w:tr>
        <w:trPr>
          <w:trHeight w:val="245"/>
        </w:trPr>
        <w:tc>
          <w:tcPr>
            <w:tcW w:w="5460" w:type="dxa"/>
            <w:vAlign w:val="bottom"/>
          </w:tcPr>
          <w:p>
            <w:pPr>
              <w:spacing w:after="0"/>
              <w:rPr>
                <w:sz w:val="20"/>
                <w:szCs w:val="20"/>
                <w:color w:val="auto"/>
              </w:rPr>
            </w:pPr>
            <w:r>
              <w:rPr>
                <w:rFonts w:ascii="Arial" w:cs="Arial" w:eastAsia="Arial" w:hAnsi="Arial"/>
                <w:sz w:val="19"/>
                <w:szCs w:val="19"/>
                <w:color w:val="auto"/>
              </w:rPr>
              <w:t>Share-based compensation</w:t>
            </w:r>
          </w:p>
        </w:tc>
        <w:tc>
          <w:tcPr>
            <w:tcW w:w="1120" w:type="dxa"/>
            <w:vAlign w:val="bottom"/>
          </w:tcPr>
          <w:p>
            <w:pPr>
              <w:jc w:val="right"/>
              <w:spacing w:after="0"/>
              <w:rPr>
                <w:sz w:val="20"/>
                <w:szCs w:val="20"/>
                <w:color w:val="auto"/>
              </w:rPr>
            </w:pPr>
            <w:r>
              <w:rPr>
                <w:rFonts w:ascii="Arial" w:cs="Arial" w:eastAsia="Arial" w:hAnsi="Arial"/>
                <w:sz w:val="19"/>
                <w:szCs w:val="19"/>
                <w:color w:val="auto"/>
              </w:rPr>
              <w:t>1.0 %</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5.4 %</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2.1 %</w:t>
            </w:r>
          </w:p>
        </w:tc>
      </w:tr>
      <w:tr>
        <w:trPr>
          <w:trHeight w:val="245"/>
        </w:trPr>
        <w:tc>
          <w:tcPr>
            <w:tcW w:w="5460" w:type="dxa"/>
            <w:vAlign w:val="bottom"/>
          </w:tcPr>
          <w:p>
            <w:pPr>
              <w:spacing w:after="0"/>
              <w:rPr>
                <w:sz w:val="20"/>
                <w:szCs w:val="20"/>
                <w:color w:val="auto"/>
              </w:rPr>
            </w:pPr>
            <w:r>
              <w:rPr>
                <w:rFonts w:ascii="Arial" w:cs="Arial" w:eastAsia="Arial" w:hAnsi="Arial"/>
                <w:sz w:val="19"/>
                <w:szCs w:val="19"/>
                <w:color w:val="auto"/>
              </w:rPr>
              <w:t>Change in deferred tax valuation allowance</w:t>
            </w:r>
          </w:p>
        </w:tc>
        <w:tc>
          <w:tcPr>
            <w:tcW w:w="1120" w:type="dxa"/>
            <w:vAlign w:val="bottom"/>
          </w:tcPr>
          <w:p>
            <w:pPr>
              <w:jc w:val="right"/>
              <w:spacing w:after="0"/>
              <w:rPr>
                <w:sz w:val="20"/>
                <w:szCs w:val="20"/>
                <w:color w:val="auto"/>
              </w:rPr>
            </w:pPr>
            <w:r>
              <w:rPr>
                <w:rFonts w:ascii="Arial" w:cs="Arial" w:eastAsia="Arial" w:hAnsi="Arial"/>
                <w:sz w:val="19"/>
                <w:szCs w:val="19"/>
                <w:color w:val="auto"/>
              </w:rPr>
              <w:t>(22.5)%</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(18.1)%</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(11.6)%</w:t>
            </w:r>
          </w:p>
        </w:tc>
      </w:tr>
      <w:tr>
        <w:trPr>
          <w:trHeight w:val="244"/>
        </w:trPr>
        <w:tc>
          <w:tcPr>
            <w:tcW w:w="5460" w:type="dxa"/>
            <w:vAlign w:val="bottom"/>
          </w:tcPr>
          <w:p>
            <w:pPr>
              <w:spacing w:after="0"/>
              <w:rPr>
                <w:sz w:val="20"/>
                <w:szCs w:val="20"/>
                <w:color w:val="auto"/>
              </w:rPr>
            </w:pPr>
            <w:r>
              <w:rPr>
                <w:rFonts w:ascii="Arial" w:cs="Arial" w:eastAsia="Arial" w:hAnsi="Arial"/>
                <w:sz w:val="19"/>
                <w:szCs w:val="19"/>
                <w:color w:val="auto"/>
              </w:rPr>
              <w:t>Other differences</w:t>
            </w:r>
          </w:p>
        </w:tc>
        <w:tc>
          <w:tcPr>
            <w:tcW w:w="1120" w:type="dxa"/>
            <w:vAlign w:val="bottom"/>
          </w:tcPr>
          <w:p>
            <w:pPr>
              <w:jc w:val="right"/>
              <w:spacing w:after="0"/>
              <w:rPr>
                <w:sz w:val="20"/>
                <w:szCs w:val="20"/>
                <w:color w:val="auto"/>
              </w:rPr>
            </w:pPr>
            <w:r>
              <w:rPr>
                <w:rFonts w:ascii="Arial" w:cs="Arial" w:eastAsia="Arial" w:hAnsi="Arial"/>
                <w:sz w:val="19"/>
                <w:szCs w:val="19"/>
                <w:color w:val="auto"/>
              </w:rPr>
              <w:t>(1.1)%</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0.4 %</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(0.1)%</w:t>
            </w:r>
          </w:p>
        </w:tc>
      </w:tr>
      <w:tr>
        <w:trPr>
          <w:trHeight w:val="206"/>
        </w:trPr>
        <w:tc>
          <w:tcPr>
            <w:tcW w:w="5460" w:type="dxa"/>
            <w:vAlign w:val="bottom"/>
          </w:tcPr>
          <w:p>
            <w:pPr>
              <w:spacing w:after="0" w:line="205" w:lineRule="exact"/>
              <w:rPr>
                <w:sz w:val="20"/>
                <w:szCs w:val="20"/>
                <w:color w:val="auto"/>
              </w:rPr>
            </w:pPr>
            <w:r>
              <w:rPr>
                <w:rFonts w:ascii="Arial" w:cs="Arial" w:eastAsia="Arial" w:hAnsi="Arial"/>
                <w:sz w:val="19"/>
                <w:szCs w:val="19"/>
                <w:b w:val="1"/>
                <w:bCs w:val="1"/>
                <w:color w:val="auto"/>
              </w:rPr>
              <w:t>Effective income tax rate</w:t>
            </w:r>
          </w:p>
        </w:tc>
        <w:tc>
          <w:tcPr>
            <w:tcW w:w="112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(6.3)%</w:t>
            </w:r>
          </w:p>
        </w:tc>
        <w:tc>
          <w:tcPr>
            <w:tcW w:w="6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(0.9)%</w:t>
            </w:r>
          </w:p>
        </w:tc>
        <w:tc>
          <w:tcPr>
            <w:tcW w:w="6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(0.4)%</w:t>
            </w:r>
          </w:p>
        </w:tc>
      </w:tr>
      <w:tr>
        <w:trPr>
          <w:trHeight w:val="20"/>
        </w:trPr>
        <w:tc>
          <w:tcPr>
            <w:tcW w:w="5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-1274445</wp:posOffset>
            </wp:positionV>
            <wp:extent cx="5733415" cy="128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extLst>
                    </a:blip>
                    <a:srcRect/>
                    <a:stretch>
                      <a:fillRect/>
                    </a:stretch>
                  </pic:blipFill>
                  <pic:spPr bwMode="auto">
                    <a:xfrm>
                      <a:off x="0" y="0"/>
                      <a:ext cx="5733415" cy="1281430"/>
                    </a:xfrm>
                    <a:prstGeom prst="rect">
                      <a:avLst/>
                    </a:prstGeom>
                    <a:noFill/>
                  </pic:spPr>
                </pic:pic>
              </a:graphicData>
            </a:graphic>
          </wp:anchor>
        </w:drawing>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F-30</w:t>
      </w:r>
    </w:p>
    <w:p>
      <w:pPr>
        <w:sectPr>
          <w:pgSz w:w="11880" w:h="15480" w:orient="portrait"/>
          <w:cols w:equalWidth="0" w:num="1">
            <w:col w:w="9000"/>
          </w:cols>
          <w:pgMar w:left="1440" w:top="327" w:right="1440" w:bottom="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Components of the Company’s deferred tax assets and liabilities are as follows (in thousands):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4"/>
          </w:tcPr>
          <w:p>
            <w:pPr>
              <w:jc w:val="right"/>
              <w:ind w:right="605"/>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6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06"/>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05"/>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9"/>
                <w:szCs w:val="19"/>
                <w:b w:val="1"/>
                <w:bCs w:val="1"/>
                <w:color w:val="auto"/>
              </w:rPr>
              <w:t>Deferred tax liabilities:</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6640" w:type="dxa"/>
            <w:vAlign w:val="bottom"/>
          </w:tcPr>
          <w:p>
            <w:pPr>
              <w:spacing w:after="0" w:line="267" w:lineRule="exact"/>
              <w:rPr>
                <w:sz w:val="20"/>
                <w:szCs w:val="20"/>
                <w:color w:val="auto"/>
              </w:rPr>
            </w:pPr>
            <w:r>
              <w:rPr>
                <w:rFonts w:ascii="Arial" w:cs="Arial" w:eastAsia="Arial" w:hAnsi="Arial"/>
                <w:sz w:val="19"/>
                <w:szCs w:val="19"/>
                <w:color w:val="auto"/>
              </w:rPr>
              <w:t xml:space="preserve">Contingent liability </w:t>
            </w:r>
            <w:r>
              <w:rPr>
                <w:rFonts w:ascii="Arial" w:cs="Arial" w:eastAsia="Arial" w:hAnsi="Arial"/>
                <w:sz w:val="24"/>
                <w:szCs w:val="24"/>
                <w:color w:val="auto"/>
                <w:vertAlign w:val="superscript"/>
              </w:rPr>
              <w:t>(1)</w:t>
            </w:r>
          </w:p>
        </w:tc>
        <w:tc>
          <w:tcPr>
            <w:tcW w:w="28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(81,513)</w:t>
            </w:r>
          </w:p>
        </w:tc>
        <w:tc>
          <w:tcPr>
            <w:tcW w:w="340" w:type="dxa"/>
            <w:vAlign w:val="bottom"/>
            <w:gridSpan w:val="2"/>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(53,851)</w:t>
            </w:r>
          </w:p>
        </w:tc>
        <w:tc>
          <w:tcPr>
            <w:tcW w:w="0" w:type="dxa"/>
            <w:vAlign w:val="bottom"/>
          </w:tcPr>
          <w:p>
            <w:pPr>
              <w:spacing w:after="0"/>
              <w:rPr>
                <w:sz w:val="1"/>
                <w:szCs w:val="1"/>
                <w:color w:val="auto"/>
              </w:rPr>
            </w:pPr>
          </w:p>
        </w:tc>
      </w:tr>
      <w:tr>
        <w:trPr>
          <w:trHeight w:val="244"/>
        </w:trPr>
        <w:tc>
          <w:tcPr>
            <w:tcW w:w="6640" w:type="dxa"/>
            <w:vAlign w:val="bottom"/>
          </w:tcPr>
          <w:p>
            <w:pPr>
              <w:spacing w:after="0"/>
              <w:rPr>
                <w:sz w:val="20"/>
                <w:szCs w:val="20"/>
                <w:color w:val="auto"/>
              </w:rPr>
            </w:pPr>
            <w:r>
              <w:rPr>
                <w:rFonts w:ascii="Arial" w:cs="Arial" w:eastAsia="Arial" w:hAnsi="Arial"/>
                <w:sz w:val="19"/>
                <w:szCs w:val="19"/>
                <w:color w:val="auto"/>
              </w:rPr>
              <w:t>Other</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(694)</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5"/>
        </w:trPr>
        <w:tc>
          <w:tcPr>
            <w:tcW w:w="6640" w:type="dxa"/>
            <w:vAlign w:val="bottom"/>
          </w:tcPr>
          <w:p>
            <w:pPr>
              <w:spacing w:after="0"/>
              <w:rPr>
                <w:sz w:val="20"/>
                <w:szCs w:val="20"/>
                <w:color w:val="auto"/>
              </w:rPr>
            </w:pPr>
            <w:r>
              <w:rPr>
                <w:rFonts w:ascii="Arial" w:cs="Arial" w:eastAsia="Arial" w:hAnsi="Arial"/>
                <w:sz w:val="19"/>
                <w:szCs w:val="19"/>
                <w:b w:val="1"/>
                <w:bCs w:val="1"/>
                <w:color w:val="auto"/>
              </w:rPr>
              <w:t>Total deferred tax liabilities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(82,207)</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(53,851)</w:t>
            </w:r>
          </w:p>
        </w:tc>
        <w:tc>
          <w:tcPr>
            <w:tcW w:w="0" w:type="dxa"/>
            <w:vAlign w:val="bottom"/>
          </w:tcPr>
          <w:p>
            <w:pPr>
              <w:spacing w:after="0"/>
              <w:rPr>
                <w:sz w:val="1"/>
                <w:szCs w:val="1"/>
                <w:color w:val="auto"/>
              </w:rPr>
            </w:pPr>
          </w:p>
        </w:tc>
      </w:tr>
      <w:tr>
        <w:trPr>
          <w:trHeight w:val="473"/>
        </w:trPr>
        <w:tc>
          <w:tcPr>
            <w:tcW w:w="6640" w:type="dxa"/>
            <w:vAlign w:val="bottom"/>
          </w:tcPr>
          <w:p>
            <w:pPr>
              <w:spacing w:after="0"/>
              <w:rPr>
                <w:sz w:val="20"/>
                <w:szCs w:val="20"/>
                <w:color w:val="auto"/>
              </w:rPr>
            </w:pPr>
            <w:r>
              <w:rPr>
                <w:rFonts w:ascii="Arial" w:cs="Arial" w:eastAsia="Arial" w:hAnsi="Arial"/>
                <w:sz w:val="19"/>
                <w:szCs w:val="19"/>
                <w:b w:val="1"/>
                <w:bCs w:val="1"/>
                <w:color w:val="auto"/>
              </w:rPr>
              <w:t>Deferred tax assets: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640" w:type="dxa"/>
            <w:vAlign w:val="bottom"/>
          </w:tcPr>
          <w:p>
            <w:pPr>
              <w:spacing w:after="0"/>
              <w:rPr>
                <w:sz w:val="20"/>
                <w:szCs w:val="20"/>
                <w:color w:val="auto"/>
              </w:rPr>
            </w:pPr>
            <w:r>
              <w:rPr>
                <w:rFonts w:ascii="Arial" w:cs="Arial" w:eastAsia="Arial" w:hAnsi="Arial"/>
                <w:sz w:val="19"/>
                <w:szCs w:val="19"/>
                <w:color w:val="auto"/>
              </w:rPr>
              <w:t>Net operating losses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65,265</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54,012</w:t>
            </w:r>
          </w:p>
        </w:tc>
        <w:tc>
          <w:tcPr>
            <w:tcW w:w="0" w:type="dxa"/>
            <w:vAlign w:val="bottom"/>
          </w:tcPr>
          <w:p>
            <w:pPr>
              <w:spacing w:after="0"/>
              <w:rPr>
                <w:sz w:val="1"/>
                <w:szCs w:val="1"/>
                <w:color w:val="auto"/>
              </w:rPr>
            </w:pPr>
          </w:p>
        </w:tc>
      </w:tr>
      <w:tr>
        <w:trPr>
          <w:trHeight w:val="267"/>
        </w:trPr>
        <w:tc>
          <w:tcPr>
            <w:tcW w:w="6640" w:type="dxa"/>
            <w:vAlign w:val="bottom"/>
          </w:tcPr>
          <w:p>
            <w:pPr>
              <w:spacing w:after="0" w:line="267" w:lineRule="exact"/>
              <w:rPr>
                <w:sz w:val="20"/>
                <w:szCs w:val="20"/>
                <w:color w:val="auto"/>
              </w:rPr>
            </w:pPr>
            <w:r>
              <w:rPr>
                <w:rFonts w:ascii="Arial" w:cs="Arial" w:eastAsia="Arial" w:hAnsi="Arial"/>
                <w:sz w:val="19"/>
                <w:szCs w:val="19"/>
                <w:color w:val="auto"/>
              </w:rPr>
              <w:t xml:space="preserve">Intangible asset </w:t>
            </w:r>
            <w:r>
              <w:rPr>
                <w:rFonts w:ascii="Arial" w:cs="Arial" w:eastAsia="Arial" w:hAnsi="Arial"/>
                <w:sz w:val="24"/>
                <w:szCs w:val="24"/>
                <w:color w:val="auto"/>
                <w:vertAlign w:val="superscript"/>
              </w:rPr>
              <w:t>(1)</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74,406</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47,793</w:t>
            </w:r>
          </w:p>
        </w:tc>
        <w:tc>
          <w:tcPr>
            <w:tcW w:w="0" w:type="dxa"/>
            <w:vAlign w:val="bottom"/>
          </w:tcPr>
          <w:p>
            <w:pPr>
              <w:spacing w:after="0"/>
              <w:rPr>
                <w:sz w:val="1"/>
                <w:szCs w:val="1"/>
                <w:color w:val="auto"/>
              </w:rPr>
            </w:pPr>
          </w:p>
        </w:tc>
      </w:tr>
      <w:tr>
        <w:trPr>
          <w:trHeight w:val="245"/>
        </w:trPr>
        <w:tc>
          <w:tcPr>
            <w:tcW w:w="6640" w:type="dxa"/>
            <w:vAlign w:val="bottom"/>
          </w:tcPr>
          <w:p>
            <w:pPr>
              <w:spacing w:after="0"/>
              <w:rPr>
                <w:sz w:val="20"/>
                <w:szCs w:val="20"/>
                <w:color w:val="auto"/>
              </w:rPr>
            </w:pPr>
            <w:r>
              <w:rPr>
                <w:rFonts w:ascii="Arial" w:cs="Arial" w:eastAsia="Arial" w:hAnsi="Arial"/>
                <w:sz w:val="19"/>
                <w:szCs w:val="19"/>
                <w:color w:val="auto"/>
              </w:rPr>
              <w:t>RIPSA</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28,441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5"/>
        </w:trPr>
        <w:tc>
          <w:tcPr>
            <w:tcW w:w="6640" w:type="dxa"/>
            <w:vAlign w:val="bottom"/>
          </w:tcPr>
          <w:p>
            <w:pPr>
              <w:spacing w:after="0"/>
              <w:rPr>
                <w:sz w:val="20"/>
                <w:szCs w:val="20"/>
                <w:color w:val="auto"/>
              </w:rPr>
            </w:pPr>
            <w:r>
              <w:rPr>
                <w:rFonts w:ascii="Arial" w:cs="Arial" w:eastAsia="Arial" w:hAnsi="Arial"/>
                <w:sz w:val="19"/>
                <w:szCs w:val="19"/>
                <w:color w:val="auto"/>
              </w:rPr>
              <w:t>Future exercisable shares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9,258</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7,548</w:t>
            </w:r>
          </w:p>
        </w:tc>
        <w:tc>
          <w:tcPr>
            <w:tcW w:w="0" w:type="dxa"/>
            <w:vAlign w:val="bottom"/>
          </w:tcPr>
          <w:p>
            <w:pPr>
              <w:spacing w:after="0"/>
              <w:rPr>
                <w:sz w:val="1"/>
                <w:szCs w:val="1"/>
                <w:color w:val="auto"/>
              </w:rPr>
            </w:pPr>
          </w:p>
        </w:tc>
      </w:tr>
      <w:tr>
        <w:trPr>
          <w:trHeight w:val="244"/>
        </w:trPr>
        <w:tc>
          <w:tcPr>
            <w:tcW w:w="6640" w:type="dxa"/>
            <w:vAlign w:val="bottom"/>
          </w:tcPr>
          <w:p>
            <w:pPr>
              <w:spacing w:after="0"/>
              <w:rPr>
                <w:sz w:val="20"/>
                <w:szCs w:val="20"/>
                <w:color w:val="auto"/>
              </w:rPr>
            </w:pPr>
            <w:r>
              <w:rPr>
                <w:rFonts w:ascii="Arial" w:cs="Arial" w:eastAsia="Arial" w:hAnsi="Arial"/>
                <w:sz w:val="19"/>
                <w:szCs w:val="19"/>
                <w:color w:val="auto"/>
              </w:rPr>
              <w:t>Other</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3,359</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w:t>
            </w:r>
          </w:p>
        </w:tc>
        <w:tc>
          <w:tcPr>
            <w:tcW w:w="0" w:type="dxa"/>
            <w:vAlign w:val="bottom"/>
          </w:tcPr>
          <w:p>
            <w:pPr>
              <w:spacing w:after="0"/>
              <w:rPr>
                <w:sz w:val="1"/>
                <w:szCs w:val="1"/>
                <w:color w:val="auto"/>
              </w:rPr>
            </w:pPr>
          </w:p>
        </w:tc>
      </w:tr>
      <w:tr>
        <w:trPr>
          <w:trHeight w:val="266"/>
        </w:trPr>
        <w:tc>
          <w:tcPr>
            <w:tcW w:w="6640" w:type="dxa"/>
            <w:vAlign w:val="bottom"/>
          </w:tcPr>
          <w:p>
            <w:pPr>
              <w:spacing w:after="0"/>
              <w:rPr>
                <w:sz w:val="20"/>
                <w:szCs w:val="20"/>
                <w:color w:val="auto"/>
              </w:rPr>
            </w:pPr>
            <w:r>
              <w:rPr>
                <w:rFonts w:ascii="Arial" w:cs="Arial" w:eastAsia="Arial" w:hAnsi="Arial"/>
                <w:sz w:val="19"/>
                <w:szCs w:val="19"/>
                <w:b w:val="1"/>
                <w:bCs w:val="1"/>
                <w:color w:val="auto"/>
              </w:rPr>
              <w:t>Total deferred tax assets</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180,729</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109,374</w:t>
            </w:r>
          </w:p>
        </w:tc>
        <w:tc>
          <w:tcPr>
            <w:tcW w:w="0" w:type="dxa"/>
            <w:vAlign w:val="bottom"/>
          </w:tcPr>
          <w:p>
            <w:pPr>
              <w:spacing w:after="0"/>
              <w:rPr>
                <w:sz w:val="1"/>
                <w:szCs w:val="1"/>
                <w:color w:val="auto"/>
              </w:rPr>
            </w:pPr>
          </w:p>
        </w:tc>
      </w:tr>
      <w:tr>
        <w:trPr>
          <w:trHeight w:val="247"/>
        </w:trPr>
        <w:tc>
          <w:tcPr>
            <w:tcW w:w="6640" w:type="dxa"/>
            <w:vAlign w:val="bottom"/>
          </w:tcPr>
          <w:p>
            <w:pPr>
              <w:spacing w:after="0"/>
              <w:rPr>
                <w:sz w:val="20"/>
                <w:szCs w:val="20"/>
                <w:color w:val="auto"/>
              </w:rPr>
            </w:pPr>
            <w:r>
              <w:rPr>
                <w:rFonts w:ascii="Arial" w:cs="Arial" w:eastAsia="Arial" w:hAnsi="Arial"/>
                <w:sz w:val="19"/>
                <w:szCs w:val="19"/>
                <w:color w:val="auto"/>
              </w:rPr>
              <w:t>Less: valuation allowance</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(98,522)</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(55,523)</w:t>
            </w:r>
          </w:p>
        </w:tc>
        <w:tc>
          <w:tcPr>
            <w:tcW w:w="0" w:type="dxa"/>
            <w:vAlign w:val="bottom"/>
          </w:tcPr>
          <w:p>
            <w:pPr>
              <w:spacing w:after="0"/>
              <w:rPr>
                <w:sz w:val="1"/>
                <w:szCs w:val="1"/>
                <w:color w:val="auto"/>
              </w:rPr>
            </w:pPr>
          </w:p>
        </w:tc>
      </w:tr>
      <w:tr>
        <w:trPr>
          <w:trHeight w:val="206"/>
        </w:trPr>
        <w:tc>
          <w:tcPr>
            <w:tcW w:w="6640" w:type="dxa"/>
            <w:vAlign w:val="bottom"/>
          </w:tcPr>
          <w:p>
            <w:pPr>
              <w:spacing w:after="0" w:line="205" w:lineRule="exact"/>
              <w:rPr>
                <w:sz w:val="20"/>
                <w:szCs w:val="20"/>
                <w:color w:val="auto"/>
              </w:rPr>
            </w:pPr>
            <w:r>
              <w:rPr>
                <w:rFonts w:ascii="Arial" w:cs="Arial" w:eastAsia="Arial" w:hAnsi="Arial"/>
                <w:sz w:val="19"/>
                <w:szCs w:val="19"/>
                <w:b w:val="1"/>
                <w:bCs w:val="1"/>
                <w:color w:val="auto"/>
              </w:rPr>
              <w:t>Deferred tax assets, net of valuation allowance</w:t>
            </w:r>
          </w:p>
        </w:tc>
        <w:tc>
          <w:tcPr>
            <w:tcW w:w="280" w:type="dxa"/>
            <w:vAlign w:val="bottom"/>
            <w:tcBorders>
              <w:bottom w:val="single" w:sz="8" w:color="auto"/>
            </w:tcBorders>
          </w:tcPr>
          <w:p>
            <w:pPr>
              <w:jc w:val="right"/>
              <w:ind w:right="24"/>
              <w:spacing w:after="0" w:line="205" w:lineRule="exact"/>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w:t>
            </w:r>
          </w:p>
        </w:tc>
        <w:tc>
          <w:tcPr>
            <w:tcW w:w="60" w:type="dxa"/>
            <w:vAlign w:val="bottom"/>
          </w:tcPr>
          <w:p>
            <w:pPr>
              <w:spacing w:after="0"/>
              <w:rPr>
                <w:sz w:val="17"/>
                <w:szCs w:val="17"/>
                <w:color w:val="auto"/>
              </w:rPr>
            </w:pPr>
          </w:p>
        </w:tc>
        <w:tc>
          <w:tcPr>
            <w:tcW w:w="280" w:type="dxa"/>
            <w:vAlign w:val="bottom"/>
            <w:tcBorders>
              <w:bottom w:val="single" w:sz="8" w:color="auto"/>
            </w:tcBorders>
          </w:tcPr>
          <w:p>
            <w:pPr>
              <w:jc w:val="right"/>
              <w:ind w:right="24"/>
              <w:spacing w:after="0" w:line="205" w:lineRule="exact"/>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9"/>
                <w:szCs w:val="19"/>
                <w:color w:val="auto"/>
              </w:rPr>
              <w:t>Movements in the deferred tax valuation allowance</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6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6640" w:type="dxa"/>
            <w:vAlign w:val="bottom"/>
          </w:tcPr>
          <w:p>
            <w:pPr>
              <w:spacing w:after="0"/>
              <w:rPr>
                <w:sz w:val="20"/>
                <w:szCs w:val="20"/>
                <w:color w:val="auto"/>
              </w:rPr>
            </w:pPr>
            <w:r>
              <w:rPr>
                <w:rFonts w:ascii="Arial" w:cs="Arial" w:eastAsia="Arial" w:hAnsi="Arial"/>
                <w:sz w:val="19"/>
                <w:szCs w:val="19"/>
                <w:b w:val="1"/>
                <w:bCs w:val="1"/>
                <w:color w:val="auto"/>
              </w:rPr>
              <w:t>Valuation allowance at January 1</w:t>
            </w:r>
          </w:p>
        </w:tc>
        <w:tc>
          <w:tcPr>
            <w:tcW w:w="28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55,523</w:t>
            </w:r>
          </w:p>
        </w:tc>
        <w:tc>
          <w:tcPr>
            <w:tcW w:w="340" w:type="dxa"/>
            <w:vAlign w:val="bottom"/>
            <w:gridSpan w:val="2"/>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48,476</w:t>
            </w:r>
          </w:p>
        </w:tc>
        <w:tc>
          <w:tcPr>
            <w:tcW w:w="0" w:type="dxa"/>
            <w:vAlign w:val="bottom"/>
          </w:tcPr>
          <w:p>
            <w:pPr>
              <w:spacing w:after="0"/>
              <w:rPr>
                <w:sz w:val="1"/>
                <w:szCs w:val="1"/>
                <w:color w:val="auto"/>
              </w:rPr>
            </w:pPr>
          </w:p>
        </w:tc>
      </w:tr>
      <w:tr>
        <w:trPr>
          <w:trHeight w:val="259"/>
        </w:trPr>
        <w:tc>
          <w:tcPr>
            <w:tcW w:w="6640" w:type="dxa"/>
            <w:vAlign w:val="bottom"/>
          </w:tcPr>
          <w:p>
            <w:pPr>
              <w:spacing w:after="0"/>
              <w:rPr>
                <w:sz w:val="20"/>
                <w:szCs w:val="20"/>
                <w:color w:val="auto"/>
              </w:rPr>
            </w:pPr>
            <w:r>
              <w:rPr>
                <w:rFonts w:ascii="Arial" w:cs="Arial" w:eastAsia="Arial" w:hAnsi="Arial"/>
                <w:sz w:val="19"/>
                <w:szCs w:val="19"/>
                <w:color w:val="auto"/>
              </w:rPr>
              <w:t>Change in tax rates</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419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9"/>
                <w:szCs w:val="19"/>
                <w:color w:val="auto"/>
              </w:rPr>
              <w:t>(851)</w:t>
            </w:r>
          </w:p>
        </w:tc>
        <w:tc>
          <w:tcPr>
            <w:tcW w:w="0" w:type="dxa"/>
            <w:vAlign w:val="bottom"/>
          </w:tcPr>
          <w:p>
            <w:pPr>
              <w:spacing w:after="0"/>
              <w:rPr>
                <w:sz w:val="1"/>
                <w:szCs w:val="1"/>
                <w:color w:val="auto"/>
              </w:rPr>
            </w:pPr>
          </w:p>
        </w:tc>
      </w:tr>
      <w:tr>
        <w:trPr>
          <w:trHeight w:val="261"/>
        </w:trPr>
        <w:tc>
          <w:tcPr>
            <w:tcW w:w="6640" w:type="dxa"/>
            <w:vAlign w:val="bottom"/>
          </w:tcPr>
          <w:p>
            <w:pPr>
              <w:spacing w:after="0"/>
              <w:rPr>
                <w:sz w:val="20"/>
                <w:szCs w:val="20"/>
                <w:color w:val="auto"/>
              </w:rPr>
            </w:pPr>
            <w:r>
              <w:rPr>
                <w:rFonts w:ascii="Arial" w:cs="Arial" w:eastAsia="Arial" w:hAnsi="Arial"/>
                <w:sz w:val="19"/>
                <w:szCs w:val="19"/>
                <w:color w:val="auto"/>
              </w:rPr>
              <w:t>Increase in valuation allowance</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42,580</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7,898</w:t>
            </w:r>
          </w:p>
        </w:tc>
        <w:tc>
          <w:tcPr>
            <w:tcW w:w="0" w:type="dxa"/>
            <w:vAlign w:val="bottom"/>
          </w:tcPr>
          <w:p>
            <w:pPr>
              <w:spacing w:after="0"/>
              <w:rPr>
                <w:sz w:val="1"/>
                <w:szCs w:val="1"/>
                <w:color w:val="auto"/>
              </w:rPr>
            </w:pPr>
          </w:p>
        </w:tc>
      </w:tr>
      <w:tr>
        <w:trPr>
          <w:trHeight w:val="220"/>
        </w:trPr>
        <w:tc>
          <w:tcPr>
            <w:tcW w:w="6640" w:type="dxa"/>
            <w:vAlign w:val="bottom"/>
          </w:tcPr>
          <w:p>
            <w:pPr>
              <w:spacing w:after="0"/>
              <w:rPr>
                <w:sz w:val="20"/>
                <w:szCs w:val="20"/>
                <w:color w:val="auto"/>
              </w:rPr>
            </w:pPr>
            <w:r>
              <w:rPr>
                <w:rFonts w:ascii="Arial" w:cs="Arial" w:eastAsia="Arial" w:hAnsi="Arial"/>
                <w:sz w:val="19"/>
                <w:szCs w:val="19"/>
                <w:b w:val="1"/>
                <w:bCs w:val="1"/>
                <w:color w:val="auto"/>
              </w:rPr>
              <w:t>Valuation allowance at December 31</w:t>
            </w:r>
          </w:p>
        </w:tc>
        <w:tc>
          <w:tcPr>
            <w:tcW w:w="28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98,522</w:t>
            </w: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55,523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-3397250</wp:posOffset>
            </wp:positionV>
            <wp:extent cx="5733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extLst>
                    </a:blip>
                    <a:srcRect/>
                    <a:stretch>
                      <a:fillRect/>
                    </a:stretch>
                  </pic:blipFill>
                  <pic:spPr bwMode="auto">
                    <a:xfrm>
                      <a:off x="0" y="0"/>
                      <a:ext cx="5733415" cy="3404235"/>
                    </a:xfrm>
                    <a:prstGeom prst="rect">
                      <a:avLst/>
                    </a:prstGeom>
                    <a:noFill/>
                  </pic:spPr>
                </pic:pic>
              </a:graphicData>
            </a:graphic>
          </wp:anchor>
        </w:drawing>
      </w:r>
    </w:p>
    <w:p>
      <w:pPr>
        <w:spacing w:after="0" w:line="102" w:lineRule="exact"/>
        <w:rPr>
          <w:sz w:val="20"/>
          <w:szCs w:val="20"/>
          <w:color w:val="auto"/>
        </w:rPr>
      </w:pPr>
    </w:p>
    <w:p>
      <w:pPr>
        <w:ind w:firstLine="5"/>
        <w:spacing w:after="0" w:line="257" w:lineRule="auto"/>
        <w:tabs>
          <w:tab w:leader="none" w:pos="189" w:val="left"/>
        </w:tabs>
        <w:numPr>
          <w:ilvl w:val="0"/>
          <w:numId w:val="63"/>
        </w:numPr>
        <w:rPr>
          <w:rFonts w:ascii="Arial" w:cs="Arial" w:eastAsia="Arial" w:hAnsi="Arial"/>
          <w:sz w:val="22"/>
          <w:szCs w:val="22"/>
          <w:color w:val="auto"/>
          <w:vertAlign w:val="superscript"/>
        </w:rPr>
      </w:pPr>
      <w:r>
        <w:rPr>
          <w:rFonts w:ascii="Arial" w:cs="Arial" w:eastAsia="Arial" w:hAnsi="Arial"/>
          <w:sz w:val="17"/>
          <w:szCs w:val="17"/>
          <w:color w:val="auto"/>
        </w:rPr>
        <w:t>These relate to the difference in the tax base of the Ligand intangible asset and assumed contingent liability and the financial reporting base, which is nil under U.S. GAAP.</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use of the existing DTAs. A significant piece of objective negative evidence evaluated was the cumulative loss incurred over the three-year period ended December 31, 2024.</w:t>
      </w:r>
    </w:p>
    <w:p>
      <w:pPr>
        <w:spacing w:after="0" w:line="51"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Such objective evidence limits the ability to consider other subjective evidence, such as our projections for future growth. The Company has determined that the reversal of future taxable temporary differences corresponding to our DTLs will not provide a sufficient source of income for realization of our DTAs.</w:t>
      </w:r>
    </w:p>
    <w:p>
      <w:pPr>
        <w:spacing w:after="0" w:line="6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On the basis of this evaluation, as of December 31, 2024, a valuation allowance has been recorded against the entire value of our DTAs.</w:t>
      </w:r>
    </w:p>
    <w:p>
      <w:pPr>
        <w:spacing w:after="0" w:line="52"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At December 31, 2024, the Company had U.K. net operating losses (“NOLs”) of $261.1 million. The NOLs can be carried forward indefinitely to be offset against future taxable profits, but this is restricted to an annual £5 million allowance after which there will be a 50% restriction in the profits that can be covered by losses brought forward.</w:t>
      </w:r>
    </w:p>
    <w:p>
      <w:pPr>
        <w:spacing w:after="0" w:line="3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Company files separate income tax returns in the U.K. and the U.S. All necessary income tax filings have been completed for all years up to and including December 31, 2023. The tax years that remain subject to examination are 2021 forward in the U.S. and 2022 forward in the U.K. No interest or penalties were recognized in the Consolidated Statements of Operations and Comprehensive Loss or Consolidated Balance Sheets. As of December 31, 2024 the Company has no uncertain tax positions.</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F-31</w:t>
      </w:r>
    </w:p>
    <w:p>
      <w:pPr>
        <w:sectPr>
          <w:pgSz w:w="11880" w:h="15480" w:orient="portrait"/>
          <w:cols w:equalWidth="0" w:num="1">
            <w:col w:w="9000"/>
          </w:cols>
          <w:pgMar w:left="1440" w:top="327" w:right="1440" w:bottom="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19"/>
          <w:szCs w:val="19"/>
          <w:b w:val="1"/>
          <w:bCs w:val="1"/>
          <w:color w:val="auto"/>
        </w:rPr>
        <w:t>Verona Pharma plc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10 - Net loss per share</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Net loss per share is calculated on an ordinary share basis. The Company’s ADSs that are listed on the Nasdaq Global Market each represent eight ordinary shares. The following table shows the computation of basic and diluted earnings per share for 2024, 2023 and 2022 (in thousands, except per share amounts):</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5"/>
                <w:szCs w:val="15"/>
                <w:b w:val="1"/>
                <w:bCs w:val="1"/>
                <w:color w:val="auto"/>
              </w:rPr>
              <w:t>December 31,</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0"/>
        </w:trPr>
        <w:tc>
          <w:tcPr>
            <w:tcW w:w="5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9"/>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9"/>
              <w:spacing w:after="0"/>
              <w:rPr>
                <w:sz w:val="20"/>
                <w:szCs w:val="20"/>
                <w:color w:val="auto"/>
              </w:rPr>
            </w:pPr>
            <w:r>
              <w:rPr>
                <w:rFonts w:ascii="Arial" w:cs="Arial" w:eastAsia="Arial" w:hAnsi="Arial"/>
                <w:sz w:val="15"/>
                <w:szCs w:val="15"/>
                <w:b w:val="1"/>
                <w:bCs w:val="1"/>
                <w:color w:val="auto"/>
              </w:rPr>
              <w:t>2023</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9"/>
              <w:spacing w:after="0"/>
              <w:rPr>
                <w:sz w:val="20"/>
                <w:szCs w:val="20"/>
                <w:color w:val="auto"/>
              </w:rPr>
            </w:pPr>
            <w:r>
              <w:rPr>
                <w:rFonts w:ascii="Arial" w:cs="Arial" w:eastAsia="Arial" w:hAnsi="Arial"/>
                <w:sz w:val="15"/>
                <w:szCs w:val="15"/>
                <w:b w:val="1"/>
                <w:bCs w:val="1"/>
                <w:color w:val="auto"/>
              </w:rPr>
              <w:t>2022</w:t>
            </w:r>
          </w:p>
        </w:tc>
      </w:tr>
      <w:tr>
        <w:trPr>
          <w:trHeight w:val="225"/>
        </w:trPr>
        <w:tc>
          <w:tcPr>
            <w:tcW w:w="5460" w:type="dxa"/>
            <w:vAlign w:val="bottom"/>
          </w:tcPr>
          <w:p>
            <w:pPr>
              <w:spacing w:after="0"/>
              <w:rPr>
                <w:sz w:val="20"/>
                <w:szCs w:val="20"/>
                <w:color w:val="auto"/>
              </w:rPr>
            </w:pPr>
            <w:r>
              <w:rPr>
                <w:rFonts w:ascii="Arial" w:cs="Arial" w:eastAsia="Arial" w:hAnsi="Arial"/>
                <w:sz w:val="19"/>
                <w:szCs w:val="19"/>
                <w:color w:val="auto"/>
              </w:rPr>
              <w:t>Numerator:</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5"/>
        </w:trPr>
        <w:tc>
          <w:tcPr>
            <w:tcW w:w="5460" w:type="dxa"/>
            <w:vAlign w:val="bottom"/>
          </w:tcPr>
          <w:p>
            <w:pPr>
              <w:spacing w:after="0"/>
              <w:rPr>
                <w:sz w:val="20"/>
                <w:szCs w:val="20"/>
                <w:color w:val="auto"/>
              </w:rPr>
            </w:pPr>
            <w:r>
              <w:rPr>
                <w:rFonts w:ascii="Arial" w:cs="Arial" w:eastAsia="Arial" w:hAnsi="Arial"/>
                <w:sz w:val="19"/>
                <w:szCs w:val="19"/>
                <w:color w:val="auto"/>
              </w:rPr>
              <w:t>Net loss</w:t>
            </w:r>
          </w:p>
        </w:tc>
        <w:tc>
          <w:tcPr>
            <w:tcW w:w="24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(173,418)</w:t>
            </w:r>
          </w:p>
        </w:tc>
        <w:tc>
          <w:tcPr>
            <w:tcW w:w="340" w:type="dxa"/>
            <w:vAlign w:val="bottom"/>
            <w:gridSpan w:val="2"/>
          </w:tcPr>
          <w:p>
            <w:pPr>
              <w:jc w:val="right"/>
              <w:ind w:right="3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(54,369)</w:t>
            </w:r>
          </w:p>
        </w:tc>
        <w:tc>
          <w:tcPr>
            <w:tcW w:w="340" w:type="dxa"/>
            <w:vAlign w:val="bottom"/>
            <w:gridSpan w:val="2"/>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(68,701)</w:t>
            </w:r>
          </w:p>
        </w:tc>
      </w:tr>
      <w:tr>
        <w:trPr>
          <w:trHeight w:val="245"/>
        </w:trPr>
        <w:tc>
          <w:tcPr>
            <w:tcW w:w="5460" w:type="dxa"/>
            <w:vAlign w:val="bottom"/>
          </w:tcPr>
          <w:p>
            <w:pPr>
              <w:spacing w:after="0"/>
              <w:rPr>
                <w:sz w:val="20"/>
                <w:szCs w:val="20"/>
                <w:color w:val="auto"/>
              </w:rPr>
            </w:pPr>
            <w:r>
              <w:rPr>
                <w:rFonts w:ascii="Arial" w:cs="Arial" w:eastAsia="Arial" w:hAnsi="Arial"/>
                <w:sz w:val="19"/>
                <w:szCs w:val="19"/>
                <w:color w:val="auto"/>
              </w:rPr>
              <w:t>Denominator:</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4"/>
        </w:trPr>
        <w:tc>
          <w:tcPr>
            <w:tcW w:w="5460" w:type="dxa"/>
            <w:vAlign w:val="bottom"/>
          </w:tcPr>
          <w:p>
            <w:pPr>
              <w:spacing w:after="0"/>
              <w:rPr>
                <w:sz w:val="20"/>
                <w:szCs w:val="20"/>
                <w:color w:val="auto"/>
              </w:rPr>
            </w:pPr>
            <w:r>
              <w:rPr>
                <w:rFonts w:ascii="Arial" w:cs="Arial" w:eastAsia="Arial" w:hAnsi="Arial"/>
                <w:sz w:val="19"/>
                <w:szCs w:val="19"/>
                <w:color w:val="auto"/>
              </w:rPr>
              <w:t>Weighted-average shares outstanding - basic and diluted</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652,311</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634,143</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529,072</w:t>
            </w:r>
          </w:p>
        </w:tc>
      </w:tr>
      <w:tr>
        <w:trPr>
          <w:trHeight w:val="235"/>
        </w:trPr>
        <w:tc>
          <w:tcPr>
            <w:tcW w:w="5460" w:type="dxa"/>
            <w:vAlign w:val="bottom"/>
          </w:tcPr>
          <w:p>
            <w:pPr>
              <w:spacing w:after="0"/>
              <w:rPr>
                <w:sz w:val="20"/>
                <w:szCs w:val="20"/>
                <w:color w:val="auto"/>
              </w:rPr>
            </w:pPr>
            <w:r>
              <w:rPr>
                <w:rFonts w:ascii="Arial" w:cs="Arial" w:eastAsia="Arial" w:hAnsi="Arial"/>
                <w:sz w:val="19"/>
                <w:szCs w:val="19"/>
                <w:b w:val="1"/>
                <w:bCs w:val="1"/>
                <w:color w:val="auto"/>
              </w:rPr>
              <w:t>Net loss per share - basic and diluted</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(0.27)</w:t>
            </w:r>
          </w:p>
        </w:tc>
        <w:tc>
          <w:tcPr>
            <w:tcW w:w="60" w:type="dxa"/>
            <w:vAlign w:val="bottom"/>
          </w:tcPr>
          <w:p>
            <w:pPr>
              <w:spacing w:after="0"/>
              <w:rPr>
                <w:sz w:val="20"/>
                <w:szCs w:val="20"/>
                <w:color w:val="auto"/>
              </w:rPr>
            </w:pPr>
          </w:p>
        </w:tc>
        <w:tc>
          <w:tcPr>
            <w:tcW w:w="280" w:type="dxa"/>
            <w:vAlign w:val="bottom"/>
            <w:tcBorders>
              <w:bottom w:val="single" w:sz="8" w:color="auto"/>
            </w:tcBorders>
          </w:tcPr>
          <w:p>
            <w:pPr>
              <w:jc w:val="right"/>
              <w:ind w:right="34"/>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(0.09)</w:t>
            </w:r>
          </w:p>
        </w:tc>
        <w:tc>
          <w:tcPr>
            <w:tcW w:w="60" w:type="dxa"/>
            <w:vAlign w:val="bottom"/>
          </w:tcPr>
          <w:p>
            <w:pPr>
              <w:spacing w:after="0"/>
              <w:rPr>
                <w:sz w:val="20"/>
                <w:szCs w:val="20"/>
                <w:color w:val="auto"/>
              </w:rPr>
            </w:pPr>
          </w:p>
        </w:tc>
        <w:tc>
          <w:tcPr>
            <w:tcW w:w="28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(0.13)</w:t>
            </w: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-826770</wp:posOffset>
            </wp:positionV>
            <wp:extent cx="5733415" cy="833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extLst>
                    </a:blip>
                    <a:srcRect/>
                    <a:stretch>
                      <a:fillRect/>
                    </a:stretch>
                  </pic:blipFill>
                  <pic:spPr bwMode="auto">
                    <a:xfrm>
                      <a:off x="0" y="0"/>
                      <a:ext cx="5733415" cy="833755"/>
                    </a:xfrm>
                    <a:prstGeom prst="rect">
                      <a:avLst/>
                    </a:prstGeom>
                    <a:noFill/>
                  </pic:spPr>
                </pic:pic>
              </a:graphicData>
            </a:graphic>
          </wp:anchor>
        </w:drawing>
      </w:r>
    </w:p>
    <w:p>
      <w:pPr>
        <w:spacing w:after="0" w:line="102"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During the years ended December 31, 2024, 2023 and 2022, outstanding share options, RSUs and PRSUs of 78.3 million, 54.9 million and 53.8 million, respectively, were not included in the computation of diluted earnings per ordinary share, because to do so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11 - Commitments and contingencies</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three months ended March 31, 2023, the Company accrued up to the maximum exposure of $6.9 million related to a matter with a supplier and also had certain invoices in the amount of $1.5 million in accounts payable to the same supplier. Both items were settled in June 2023 for $2.1 million. This resulted in a net reversal of $6.3 million in the three months ended June 30, 2023 and a net reversal of $1.5 million in the year ended December 31, 2023 in Research and development costs in the Consolidated Statement of Operations and Comprehensive Loss.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12 - Related party transactions and other shareholder matters</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In the years ended December 31, 2024, 2023 and 2022 there were no related party transactions.</w:t>
      </w:r>
    </w:p>
    <w:p>
      <w:pPr>
        <w:sectPr>
          <w:pgSz w:w="11880" w:h="15480" w:orient="portrait"/>
          <w:cols w:equalWidth="0" w:num="1">
            <w:col w:w="9000"/>
          </w:cols>
          <w:pgMar w:left="1440" w:top="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F-32</w:t>
      </w:r>
    </w:p>
    <w:p>
      <w:pPr>
        <w:sectPr>
          <w:pgSz w:w="11880" w:h="15480" w:orient="portrait"/>
          <w:cols w:equalWidth="0" w:num="1">
            <w:col w:w="9000"/>
          </w:cols>
          <w:pgMar w:left="1440" w:top="327" w:right="1440" w:bottom="0" w:gutter="0" w:footer="0" w:header="0"/>
          <w:type w:val="continuous"/>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42" w:name="page143"/>
    <w:bookmarkEnd w:id="142"/>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67"/>
        </w:trPr>
        <w:tc>
          <w:tcPr>
            <w:tcW w:w="20" w:type="dxa"/>
            <w:vAlign w:val="bottom"/>
          </w:tcPr>
          <w:p>
            <w:pPr>
              <w:spacing w:after="0"/>
              <w:rPr>
                <w:sz w:val="23"/>
                <w:szCs w:val="23"/>
                <w:color w:val="auto"/>
              </w:rPr>
            </w:pPr>
          </w:p>
        </w:tc>
        <w:tc>
          <w:tcPr>
            <w:tcW w:w="3400" w:type="dxa"/>
            <w:vAlign w:val="bottom"/>
            <w:gridSpan w:val="6"/>
          </w:tcPr>
          <w:p>
            <w:pPr>
              <w:spacing w:after="0" w:line="267" w:lineRule="exact"/>
              <w:rPr>
                <w:sz w:val="20"/>
                <w:szCs w:val="20"/>
                <w:color w:val="auto"/>
              </w:rPr>
            </w:pPr>
            <w:r>
              <w:rPr>
                <w:rFonts w:ascii="PMingLiU" w:cs="PMingLiU" w:eastAsia="PMingLiU" w:hAnsi="PMingLiU"/>
                <w:sz w:val="22"/>
                <w:szCs w:val="22"/>
                <w:b w:val="1"/>
                <w:bCs w:val="1"/>
                <w:color w:val="auto"/>
              </w:rPr>
              <w:t/>
            </w:r>
            <w:r>
              <w:rPr>
                <w:rFonts w:ascii="Arial" w:cs="Arial" w:eastAsia="Arial" w:hAnsi="Arial"/>
                <w:sz w:val="22"/>
                <w:szCs w:val="22"/>
                <w:b w:val="1"/>
                <w:bCs w:val="1"/>
                <w:color w:val="auto"/>
              </w:rPr>
              <w:t>KZWKZ</w:t>
            </w:r>
            <w:r>
              <w:rPr>
                <w:rFonts w:ascii="PMingLiU" w:cs="PMingLiU" w:eastAsia="PMingLiU" w:hAnsi="PMingLiU"/>
                <w:sz w:val="22"/>
                <w:szCs w:val="22"/>
                <w:b w:val="1"/>
                <w:bCs w:val="1"/>
                <w:color w:val="auto"/>
              </w:rPr>
              <w:t/>
            </w:r>
            <w:r>
              <w:rPr>
                <w:rFonts w:ascii="Arial" w:cs="Arial" w:eastAsia="Arial" w:hAnsi="Arial"/>
                <w:sz w:val="22"/>
                <w:szCs w:val="22"/>
                <w:b w:val="1"/>
                <w:bCs w:val="1"/>
                <w:color w:val="auto"/>
              </w:rPr>
              <w:t>d</w:t>
            </w:r>
            <w:r>
              <w:rPr>
                <w:rFonts w:ascii="PMingLiU" w:cs="PMingLiU" w:eastAsia="PMingLiU" w:hAnsi="PMingLiU"/>
                <w:sz w:val="22"/>
                <w:szCs w:val="22"/>
                <w:b w:val="1"/>
                <w:bCs w:val="1"/>
                <w:color w:val="auto"/>
              </w:rPr>
              <w:t/>
            </w:r>
            <w:r>
              <w:rPr>
                <w:rFonts w:ascii="Arial" w:cs="Arial" w:eastAsia="Arial" w:hAnsi="Arial"/>
                <w:sz w:val="22"/>
                <w:szCs w:val="22"/>
                <w:b w:val="1"/>
                <w:bCs w:val="1"/>
                <w:color w:val="auto"/>
              </w:rPr>
              <w:t>/E&amp;KZD</w:t>
            </w:r>
            <w:r>
              <w:rPr>
                <w:rFonts w:ascii="PMingLiU" w:cs="PMingLiU" w:eastAsia="PMingLiU" w:hAnsi="PMingLiU"/>
                <w:sz w:val="22"/>
                <w:szCs w:val="22"/>
                <w:b w:val="1"/>
                <w:bCs w:val="1"/>
                <w:color w:val="auto"/>
              </w:rPr>
              <w:t/>
            </w:r>
            <w:r>
              <w:rPr>
                <w:rFonts w:ascii="Arial" w:cs="Arial" w:eastAsia="Arial" w:hAnsi="Arial"/>
                <w:sz w:val="22"/>
                <w:szCs w:val="22"/>
                <w:b w:val="1"/>
                <w:bCs w:val="1"/>
                <w:color w:val="auto"/>
              </w:rPr>
              <w:t>d/KE</w:t>
            </w:r>
            <w:r>
              <w:rPr>
                <w:rFonts w:ascii="PMingLiU" w:cs="PMingLiU" w:eastAsia="PMingLiU" w:hAnsi="PMingLiU"/>
                <w:sz w:val="22"/>
                <w:szCs w:val="22"/>
                <w:b w:val="1"/>
                <w:bCs w:val="1"/>
                <w:color w:val="auto"/>
              </w:rPr>
              <w:t>   </w:t>
            </w:r>
          </w:p>
        </w:tc>
        <w:tc>
          <w:tcPr>
            <w:tcW w:w="660" w:type="dxa"/>
            <w:vAlign w:val="bottom"/>
          </w:tcPr>
          <w:p>
            <w:pPr>
              <w:ind w:left="200"/>
              <w:spacing w:after="0" w:line="264" w:lineRule="exact"/>
              <w:rPr>
                <w:sz w:val="20"/>
                <w:szCs w:val="20"/>
                <w:color w:val="auto"/>
              </w:rPr>
            </w:pPr>
            <w:r>
              <w:rPr>
                <w:rFonts w:ascii="PMingLiU" w:cs="PMingLiU" w:eastAsia="PMingLiU" w:hAnsi="PMingLiU"/>
                <w:sz w:val="22"/>
                <w:szCs w:val="22"/>
                <w:b w:val="1"/>
                <w:bCs w:val="1"/>
                <w:color w:val="auto"/>
              </w:rPr>
              <w:t/>
            </w:r>
          </w:p>
        </w:tc>
        <w:tc>
          <w:tcPr>
            <w:tcW w:w="880" w:type="dxa"/>
            <w:vAlign w:val="bottom"/>
          </w:tcPr>
          <w:p>
            <w:pPr>
              <w:ind w:left="260"/>
              <w:spacing w:after="0" w:line="264" w:lineRule="exact"/>
              <w:rPr>
                <w:sz w:val="20"/>
                <w:szCs w:val="20"/>
                <w:color w:val="auto"/>
              </w:rPr>
            </w:pPr>
            <w:r>
              <w:rPr>
                <w:rFonts w:ascii="PMingLiU" w:cs="PMingLiU" w:eastAsia="PMingLiU" w:hAnsi="PMingLiU"/>
                <w:sz w:val="22"/>
                <w:szCs w:val="22"/>
                <w:b w:val="1"/>
                <w:bCs w:val="1"/>
                <w:color w:val="auto"/>
              </w:rPr>
              <w:t/>
            </w:r>
          </w:p>
        </w:tc>
        <w:tc>
          <w:tcPr>
            <w:tcW w:w="600" w:type="dxa"/>
            <w:vAlign w:val="bottom"/>
          </w:tcPr>
          <w:p>
            <w:pPr>
              <w:ind w:left="100"/>
              <w:spacing w:after="0" w:line="264" w:lineRule="exact"/>
              <w:rPr>
                <w:sz w:val="20"/>
                <w:szCs w:val="20"/>
                <w:color w:val="auto"/>
              </w:rPr>
            </w:pPr>
            <w:r>
              <w:rPr>
                <w:rFonts w:ascii="PMingLiU" w:cs="PMingLiU" w:eastAsia="PMingLiU" w:hAnsi="PMingLiU"/>
                <w:sz w:val="22"/>
                <w:szCs w:val="22"/>
                <w:b w:val="1"/>
                <w:bCs w:val="1"/>
                <w:color w:val="auto"/>
              </w:rPr>
              <w:t/>
            </w:r>
          </w:p>
        </w:tc>
        <w:tc>
          <w:tcPr>
            <w:tcW w:w="3600" w:type="dxa"/>
            <w:vAlign w:val="bottom"/>
            <w:gridSpan w:val="6"/>
          </w:tcPr>
          <w:p>
            <w:pPr>
              <w:ind w:left="220"/>
              <w:spacing w:after="0" w:line="267" w:lineRule="exact"/>
              <w:rPr>
                <w:sz w:val="20"/>
                <w:szCs w:val="20"/>
                <w:color w:val="auto"/>
              </w:rPr>
            </w:pPr>
            <w:r>
              <w:rPr>
                <w:rFonts w:ascii="Arial" w:cs="Arial" w:eastAsia="Arial" w:hAnsi="Arial"/>
                <w:sz w:val="22"/>
                <w:szCs w:val="22"/>
                <w:b w:val="1"/>
                <w:bCs w:val="1"/>
                <w:color w:val="auto"/>
              </w:rPr>
              <w:t>^,</w:t>
            </w:r>
            <w:r>
              <w:rPr>
                <w:rFonts w:ascii="PMingLiU" w:cs="PMingLiU" w:eastAsia="PMingLiU" w:hAnsi="PMingLiU"/>
                <w:sz w:val="22"/>
                <w:szCs w:val="22"/>
                <w:b w:val="1"/>
                <w:bCs w:val="1"/>
                <w:color w:val="auto"/>
              </w:rPr>
              <w:t/>
            </w:r>
            <w:r>
              <w:rPr>
                <w:rFonts w:ascii="Arial" w:cs="Arial" w:eastAsia="Arial" w:hAnsi="Arial"/>
                <w:sz w:val="22"/>
                <w:szCs w:val="22"/>
                <w:b w:val="1"/>
                <w:bCs w:val="1"/>
                <w:color w:val="auto"/>
              </w:rPr>
              <w:t>Z</w:t>
            </w:r>
            <w:r>
              <w:rPr>
                <w:rFonts w:ascii="PMingLiU" w:cs="PMingLiU" w:eastAsia="PMingLiU" w:hAnsi="PMingLiU"/>
                <w:sz w:val="22"/>
                <w:szCs w:val="22"/>
                <w:b w:val="1"/>
                <w:bCs w:val="1"/>
                <w:color w:val="auto"/>
              </w:rPr>
              <w:t/>
            </w:r>
            <w:r>
              <w:rPr>
                <w:rFonts w:ascii="Arial" w:cs="Arial" w:eastAsia="Arial" w:hAnsi="Arial"/>
                <w:sz w:val="22"/>
                <w:szCs w:val="22"/>
                <w:b w:val="1"/>
                <w:bCs w:val="1"/>
                <w:color w:val="auto"/>
              </w:rPr>
              <w:t>,K&gt;</w:t>
            </w:r>
            <w:r>
              <w:rPr>
                <w:rFonts w:ascii="PMingLiU" w:cs="PMingLiU" w:eastAsia="PMingLiU" w:hAnsi="PMingLiU"/>
                <w:sz w:val="22"/>
                <w:szCs w:val="22"/>
                <w:b w:val="1"/>
                <w:bCs w:val="1"/>
                <w:color w:val="auto"/>
              </w:rPr>
              <w:t/>
            </w:r>
            <w:r>
              <w:rPr>
                <w:rFonts w:ascii="Arial" w:cs="Arial" w:eastAsia="Arial" w:hAnsi="Arial"/>
                <w:sz w:val="22"/>
                <w:szCs w:val="22"/>
                <w:b w:val="1"/>
                <w:bCs w:val="1"/>
                <w:color w:val="auto"/>
              </w:rPr>
              <w:t>Z</w:t>
            </w:r>
            <w:r>
              <w:rPr>
                <w:rFonts w:ascii="PMingLiU" w:cs="PMingLiU" w:eastAsia="PMingLiU" w:hAnsi="PMingLiU"/>
                <w:sz w:val="22"/>
                <w:szCs w:val="22"/>
                <w:b w:val="1"/>
                <w:bCs w:val="1"/>
                <w:color w:val="auto"/>
              </w:rPr>
              <w:t/>
            </w:r>
            <w:r>
              <w:rPr>
                <w:rFonts w:ascii="Arial" w:cs="Arial" w:eastAsia="Arial" w:hAnsi="Arial"/>
                <w:sz w:val="22"/>
                <w:szCs w:val="22"/>
                <w:b w:val="1"/>
                <w:bCs w:val="1"/>
                <w:color w:val="auto"/>
              </w:rPr>
              <w:t>/E&amp;KZD</w:t>
            </w:r>
            <w:r>
              <w:rPr>
                <w:rFonts w:ascii="PMingLiU" w:cs="PMingLiU" w:eastAsia="PMingLiU" w:hAnsi="PMingLiU"/>
                <w:sz w:val="22"/>
                <w:szCs w:val="22"/>
                <w:b w:val="1"/>
                <w:bCs w:val="1"/>
                <w:color w:val="auto"/>
              </w:rPr>
              <w:t/>
            </w:r>
            <w:r>
              <w:rPr>
                <w:rFonts w:ascii="Arial" w:cs="Arial" w:eastAsia="Arial" w:hAnsi="Arial"/>
                <w:sz w:val="22"/>
                <w:szCs w:val="22"/>
                <w:b w:val="1"/>
                <w:bCs w:val="1"/>
                <w:color w:val="auto"/>
              </w:rPr>
              <w:t>d/KE</w:t>
            </w:r>
            <w:r>
              <w:rPr>
                <w:rFonts w:ascii="PMingLiU" w:cs="PMingLiU" w:eastAsia="PMingLiU" w:hAnsi="PMingLiU"/>
                <w:sz w:val="22"/>
                <w:szCs w:val="22"/>
                <w:b w:val="1"/>
                <w:bCs w:val="1"/>
                <w:color w:val="auto"/>
              </w:rPr>
              <w:t> </w:t>
            </w:r>
          </w:p>
        </w:tc>
      </w:tr>
      <w:tr>
        <w:trPr>
          <w:trHeight w:val="533"/>
        </w:trPr>
        <w:tc>
          <w:tcPr>
            <w:tcW w:w="20" w:type="dxa"/>
            <w:vAlign w:val="bottom"/>
          </w:tcPr>
          <w:p>
            <w:pPr>
              <w:spacing w:after="0"/>
              <w:rPr>
                <w:sz w:val="24"/>
                <w:szCs w:val="24"/>
                <w:color w:val="auto"/>
              </w:rPr>
            </w:pPr>
          </w:p>
        </w:tc>
        <w:tc>
          <w:tcPr>
            <w:tcW w:w="2040" w:type="dxa"/>
            <w:vAlign w:val="bottom"/>
            <w:tcBorders>
              <w:top w:val="single" w:sz="8" w:color="auto"/>
            </w:tcBorders>
            <w:gridSpan w:val="3"/>
          </w:tcPr>
          <w:p>
            <w:pPr>
              <w:spacing w:after="0" w:line="264" w:lineRule="exact"/>
              <w:rPr>
                <w:sz w:val="20"/>
                <w:szCs w:val="20"/>
                <w:color w:val="auto"/>
              </w:rPr>
            </w:pPr>
            <w:r>
              <w:rPr>
                <w:rFonts w:ascii="PMingLiU" w:cs="PMingLiU" w:eastAsia="PMingLiU" w:hAnsi="PMingLiU"/>
                <w:sz w:val="22"/>
                <w:szCs w:val="22"/>
                <w:color w:val="auto"/>
              </w:rPr>
              <w:t>yhd/sK&amp;&amp;/Z^</w:t>
            </w:r>
          </w:p>
        </w:tc>
        <w:tc>
          <w:tcPr>
            <w:tcW w:w="740" w:type="dxa"/>
            <w:vAlign w:val="bottom"/>
            <w:tcBorders>
              <w:top w:val="single" w:sz="8" w:color="auto"/>
            </w:tcBorders>
          </w:tcPr>
          <w:p>
            <w:pPr>
              <w:ind w:left="120"/>
              <w:spacing w:after="0" w:line="264" w:lineRule="exact"/>
              <w:rPr>
                <w:sz w:val="20"/>
                <w:szCs w:val="20"/>
                <w:color w:val="auto"/>
              </w:rPr>
            </w:pPr>
            <w:r>
              <w:rPr>
                <w:rFonts w:ascii="PMingLiU" w:cs="PMingLiU" w:eastAsia="PMingLiU" w:hAnsi="PMingLiU"/>
                <w:sz w:val="22"/>
                <w:szCs w:val="22"/>
                <w:color w:val="auto"/>
              </w:rPr>
              <w:t/>
            </w:r>
          </w:p>
        </w:tc>
        <w:tc>
          <w:tcPr>
            <w:tcW w:w="620" w:type="dxa"/>
            <w:vAlign w:val="bottom"/>
            <w:tcBorders>
              <w:top w:val="single" w:sz="8" w:color="auto"/>
            </w:tcBorders>
            <w:gridSpan w:val="2"/>
          </w:tcPr>
          <w:p>
            <w:pPr>
              <w:ind w:left="100"/>
              <w:spacing w:after="0" w:line="264" w:lineRule="exact"/>
              <w:rPr>
                <w:sz w:val="20"/>
                <w:szCs w:val="20"/>
                <w:color w:val="auto"/>
              </w:rPr>
            </w:pPr>
            <w:r>
              <w:rPr>
                <w:rFonts w:ascii="PMingLiU" w:cs="PMingLiU" w:eastAsia="PMingLiU" w:hAnsi="PMingLiU"/>
                <w:sz w:val="22"/>
                <w:szCs w:val="22"/>
                <w:color w:val="auto"/>
              </w:rPr>
              <w:t/>
            </w:r>
          </w:p>
        </w:tc>
        <w:tc>
          <w:tcPr>
            <w:tcW w:w="660" w:type="dxa"/>
            <w:vAlign w:val="bottom"/>
            <w:tcBorders>
              <w:top w:val="single" w:sz="8" w:color="auto"/>
            </w:tcBorders>
          </w:tcPr>
          <w:p>
            <w:pPr>
              <w:ind w:left="200"/>
              <w:spacing w:after="0" w:line="264" w:lineRule="exact"/>
              <w:rPr>
                <w:sz w:val="20"/>
                <w:szCs w:val="20"/>
                <w:color w:val="auto"/>
              </w:rPr>
            </w:pPr>
            <w:r>
              <w:rPr>
                <w:rFonts w:ascii="PMingLiU" w:cs="PMingLiU" w:eastAsia="PMingLiU" w:hAnsi="PMingLiU"/>
                <w:sz w:val="22"/>
                <w:szCs w:val="22"/>
                <w:color w:val="auto"/>
              </w:rPr>
              <w:t/>
            </w:r>
          </w:p>
        </w:tc>
        <w:tc>
          <w:tcPr>
            <w:tcW w:w="880" w:type="dxa"/>
            <w:vAlign w:val="bottom"/>
            <w:tcBorders>
              <w:top w:val="single" w:sz="8" w:color="auto"/>
            </w:tcBorders>
          </w:tcPr>
          <w:p>
            <w:pPr>
              <w:ind w:left="260"/>
              <w:spacing w:after="0" w:line="264" w:lineRule="exact"/>
              <w:rPr>
                <w:sz w:val="20"/>
                <w:szCs w:val="20"/>
                <w:color w:val="auto"/>
              </w:rPr>
            </w:pPr>
            <w:r>
              <w:rPr>
                <w:rFonts w:ascii="PMingLiU" w:cs="PMingLiU" w:eastAsia="PMingLiU" w:hAnsi="PMingLiU"/>
                <w:sz w:val="22"/>
                <w:szCs w:val="22"/>
                <w:color w:val="auto"/>
              </w:rPr>
              <w:t/>
            </w:r>
          </w:p>
        </w:tc>
        <w:tc>
          <w:tcPr>
            <w:tcW w:w="600" w:type="dxa"/>
            <w:vAlign w:val="bottom"/>
            <w:tcBorders>
              <w:top w:val="single" w:sz="8" w:color="auto"/>
            </w:tcBorders>
          </w:tcPr>
          <w:p>
            <w:pPr>
              <w:ind w:left="100"/>
              <w:spacing w:after="0" w:line="264" w:lineRule="exact"/>
              <w:rPr>
                <w:sz w:val="20"/>
                <w:szCs w:val="20"/>
                <w:color w:val="auto"/>
              </w:rPr>
            </w:pPr>
            <w:r>
              <w:rPr>
                <w:rFonts w:ascii="PMingLiU" w:cs="PMingLiU" w:eastAsia="PMingLiU" w:hAnsi="PMingLiU"/>
                <w:sz w:val="22"/>
                <w:szCs w:val="22"/>
                <w:color w:val="auto"/>
              </w:rPr>
              <w:t/>
            </w:r>
          </w:p>
        </w:tc>
        <w:tc>
          <w:tcPr>
            <w:tcW w:w="2280" w:type="dxa"/>
            <w:vAlign w:val="bottom"/>
            <w:tcBorders>
              <w:top w:val="single" w:sz="8" w:color="auto"/>
            </w:tcBorders>
            <w:gridSpan w:val="3"/>
          </w:tcPr>
          <w:p>
            <w:pPr>
              <w:ind w:left="220"/>
              <w:spacing w:after="0" w:line="264" w:lineRule="exact"/>
              <w:rPr>
                <w:sz w:val="20"/>
                <w:szCs w:val="20"/>
                <w:color w:val="auto"/>
              </w:rPr>
            </w:pPr>
            <w:r>
              <w:rPr>
                <w:rFonts w:ascii="PMingLiU" w:cs="PMingLiU" w:eastAsia="PMingLiU" w:hAnsi="PMingLiU"/>
                <w:sz w:val="22"/>
                <w:szCs w:val="22"/>
                <w:color w:val="auto"/>
              </w:rPr>
              <w:t>Z'/^dZK&amp;&amp;/</w:t>
            </w:r>
          </w:p>
        </w:tc>
        <w:tc>
          <w:tcPr>
            <w:tcW w:w="7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2780" w:type="dxa"/>
            <w:vAlign w:val="bottom"/>
            <w:gridSpan w:val="4"/>
          </w:tcPr>
          <w:p>
            <w:pPr>
              <w:spacing w:after="0" w:line="243" w:lineRule="exact"/>
              <w:rPr>
                <w:sz w:val="20"/>
                <w:szCs w:val="20"/>
                <w:color w:val="auto"/>
              </w:rPr>
            </w:pPr>
            <w:r>
              <w:rPr>
                <w:rFonts w:ascii="PMingLiU" w:cs="PMingLiU" w:eastAsia="PMingLiU" w:hAnsi="PMingLiU"/>
                <w:sz w:val="20"/>
                <w:szCs w:val="20"/>
                <w:color w:val="auto"/>
              </w:rPr>
              <w:t/>
            </w:r>
            <w:r>
              <w:rPr>
                <w:rFonts w:ascii="Arial" w:cs="Arial" w:eastAsia="Arial" w:hAnsi="Arial"/>
                <w:sz w:val="20"/>
                <w:szCs w:val="20"/>
                <w:color w:val="auto"/>
              </w:rPr>
              <w:t>ĂǀŝĚ</w:t>
            </w:r>
            <w:r>
              <w:rPr>
                <w:rFonts w:ascii="PMingLiU" w:cs="PMingLiU" w:eastAsia="PMingLiU" w:hAnsi="PMingLiU"/>
                <w:sz w:val="20"/>
                <w:szCs w:val="20"/>
                <w:color w:val="auto"/>
              </w:rPr>
              <w:t></w:t>
            </w:r>
            <w:r>
              <w:rPr>
                <w:rFonts w:ascii="Arial" w:cs="Arial" w:eastAsia="Arial" w:hAnsi="Arial"/>
                <w:sz w:val="20"/>
                <w:szCs w:val="20"/>
                <w:color w:val="auto"/>
              </w:rPr>
              <w:t>ĂĐĐĂƌĚĞůůŝ͕</w:t>
            </w:r>
            <w:r>
              <w:rPr>
                <w:rFonts w:ascii="PMingLiU" w:cs="PMingLiU" w:eastAsia="PMingLiU" w:hAnsi="PMingLiU"/>
                <w:sz w:val="20"/>
                <w:szCs w:val="20"/>
                <w:color w:val="auto"/>
              </w:rPr>
              <w:t/>
            </w:r>
            <w:r>
              <w:rPr>
                <w:rFonts w:ascii="Arial" w:cs="Arial" w:eastAsia="Arial" w:hAnsi="Arial"/>
                <w:sz w:val="20"/>
                <w:szCs w:val="20"/>
                <w:color w:val="auto"/>
              </w:rPr>
              <w:t>WŚĂƌŵ͘</w:t>
            </w:r>
            <w:r>
              <w:rPr>
                <w:rFonts w:ascii="PMingLiU" w:cs="PMingLiU" w:eastAsia="PMingLiU" w:hAnsi="PMingLiU"/>
                <w:sz w:val="20"/>
                <w:szCs w:val="20"/>
                <w:color w:val="auto"/>
              </w:rPr>
              <w:t/>
            </w:r>
            <w:r>
              <w:rPr>
                <w:rFonts w:ascii="Arial" w:cs="Arial" w:eastAsia="Arial" w:hAnsi="Arial"/>
                <w:sz w:val="20"/>
                <w:szCs w:val="20"/>
                <w:color w:val="auto"/>
              </w:rPr>
              <w:t>͘</w:t>
            </w: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gridSpan w:val="3"/>
          </w:tcPr>
          <w:p>
            <w:pPr>
              <w:ind w:left="220"/>
              <w:spacing w:after="0" w:line="243" w:lineRule="exact"/>
              <w:rPr>
                <w:sz w:val="20"/>
                <w:szCs w:val="20"/>
                <w:color w:val="auto"/>
              </w:rPr>
            </w:pPr>
            <w:r>
              <w:rPr>
                <w:rFonts w:ascii="Arial" w:cs="Arial" w:eastAsia="Arial" w:hAnsi="Arial"/>
                <w:sz w:val="20"/>
                <w:szCs w:val="20"/>
                <w:color w:val="auto"/>
              </w:rPr>
              <w:t>sĞƌŽŶĂ</w:t>
            </w:r>
            <w:r>
              <w:rPr>
                <w:rFonts w:ascii="PMingLiU" w:cs="PMingLiU" w:eastAsia="PMingLiU" w:hAnsi="PMingLiU"/>
                <w:sz w:val="20"/>
                <w:szCs w:val="20"/>
                <w:color w:val="auto"/>
              </w:rPr>
              <w:t/>
            </w:r>
            <w:r>
              <w:rPr>
                <w:rFonts w:ascii="Arial" w:cs="Arial" w:eastAsia="Arial" w:hAnsi="Arial"/>
                <w:sz w:val="20"/>
                <w:szCs w:val="20"/>
                <w:color w:val="auto"/>
              </w:rPr>
              <w:t>WŚĂƌŵĂ</w:t>
            </w:r>
            <w:r>
              <w:rPr>
                <w:rFonts w:ascii="PMingLiU" w:cs="PMingLiU" w:eastAsia="PMingLiU" w:hAnsi="PMingLiU"/>
                <w:sz w:val="20"/>
                <w:szCs w:val="20"/>
                <w:color w:val="auto"/>
              </w:rPr>
              <w:t/>
            </w:r>
            <w:r>
              <w:rPr>
                <w:rFonts w:ascii="Arial" w:cs="Arial" w:eastAsia="Arial" w:hAnsi="Arial"/>
                <w:sz w:val="20"/>
                <w:szCs w:val="20"/>
                <w:color w:val="auto"/>
              </w:rPr>
              <w:t>ƉůĐ</w:t>
            </w: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3420" w:type="dxa"/>
            <w:vAlign w:val="bottom"/>
            <w:gridSpan w:val="7"/>
          </w:tcPr>
          <w:p>
            <w:pPr>
              <w:ind w:left="20"/>
              <w:spacing w:after="0" w:line="243" w:lineRule="exact"/>
              <w:rPr>
                <w:sz w:val="20"/>
                <w:szCs w:val="20"/>
                <w:color w:val="auto"/>
              </w:rPr>
            </w:pPr>
            <w:r>
              <w:rPr>
                <w:rFonts w:ascii="Arial" w:cs="Arial" w:eastAsia="Arial" w:hAnsi="Arial"/>
                <w:sz w:val="20"/>
                <w:szCs w:val="20"/>
                <w:color w:val="auto"/>
                <w:w w:val="97"/>
              </w:rPr>
              <w:t>WƌĞƐŝĚĞŶƚ</w:t>
            </w:r>
            <w:r>
              <w:rPr>
                <w:rFonts w:ascii="PMingLiU" w:cs="PMingLiU" w:eastAsia="PMingLiU" w:hAnsi="PMingLiU"/>
                <w:sz w:val="20"/>
                <w:szCs w:val="20"/>
                <w:color w:val="auto"/>
                <w:w w:val="97"/>
              </w:rPr>
              <w:t/>
            </w:r>
            <w:r>
              <w:rPr>
                <w:rFonts w:ascii="Arial" w:cs="Arial" w:eastAsia="Arial" w:hAnsi="Arial"/>
                <w:sz w:val="20"/>
                <w:szCs w:val="20"/>
                <w:color w:val="auto"/>
                <w:w w:val="97"/>
              </w:rPr>
              <w:t>Θ</w:t>
            </w:r>
            <w:r>
              <w:rPr>
                <w:rFonts w:ascii="PMingLiU" w:cs="PMingLiU" w:eastAsia="PMingLiU" w:hAnsi="PMingLiU"/>
                <w:sz w:val="20"/>
                <w:szCs w:val="20"/>
                <w:color w:val="auto"/>
                <w:w w:val="97"/>
              </w:rPr>
              <w:t/>
            </w:r>
            <w:r>
              <w:rPr>
                <w:rFonts w:ascii="Arial" w:cs="Arial" w:eastAsia="Arial" w:hAnsi="Arial"/>
                <w:sz w:val="20"/>
                <w:szCs w:val="20"/>
                <w:color w:val="auto"/>
                <w:w w:val="97"/>
              </w:rPr>
              <w:t>ŚŝĞĨ</w:t>
            </w:r>
            <w:r>
              <w:rPr>
                <w:rFonts w:ascii="PMingLiU" w:cs="PMingLiU" w:eastAsia="PMingLiU" w:hAnsi="PMingLiU"/>
                <w:sz w:val="20"/>
                <w:szCs w:val="20"/>
                <w:color w:val="auto"/>
                <w:w w:val="97"/>
              </w:rPr>
              <w:t/>
            </w:r>
            <w:r>
              <w:rPr>
                <w:rFonts w:ascii="Arial" w:cs="Arial" w:eastAsia="Arial" w:hAnsi="Arial"/>
                <w:sz w:val="20"/>
                <w:szCs w:val="20"/>
                <w:color w:val="auto"/>
                <w:w w:val="97"/>
              </w:rPr>
              <w:t>ǆĞĐƵƚŝǀĞ</w:t>
            </w:r>
            <w:r>
              <w:rPr>
                <w:rFonts w:ascii="PMingLiU" w:cs="PMingLiU" w:eastAsia="PMingLiU" w:hAnsi="PMingLiU"/>
                <w:sz w:val="20"/>
                <w:szCs w:val="20"/>
                <w:color w:val="auto"/>
                <w:w w:val="97"/>
              </w:rPr>
              <w:t/>
            </w:r>
            <w:r>
              <w:rPr>
                <w:rFonts w:ascii="Arial" w:cs="Arial" w:eastAsia="Arial" w:hAnsi="Arial"/>
                <w:sz w:val="20"/>
                <w:szCs w:val="20"/>
                <w:color w:val="auto"/>
                <w:w w:val="97"/>
              </w:rPr>
              <w:t>KĨĨŝĐĞƌ</w:t>
            </w:r>
            <w:r>
              <w:rPr>
                <w:rFonts w:ascii="PMingLiU" w:cs="PMingLiU" w:eastAsia="PMingLiU" w:hAnsi="PMingLiU"/>
                <w:sz w:val="20"/>
                <w:szCs w:val="20"/>
                <w:color w:val="auto"/>
                <w:w w:val="97"/>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gridSpan w:val="3"/>
          </w:tcPr>
          <w:p>
            <w:pPr>
              <w:ind w:left="220"/>
              <w:spacing w:after="0" w:line="243" w:lineRule="exact"/>
              <w:rPr>
                <w:sz w:val="20"/>
                <w:szCs w:val="20"/>
                <w:color w:val="auto"/>
              </w:rPr>
            </w:pPr>
            <w:r>
              <w:rPr>
                <w:rFonts w:ascii="Arial" w:cs="Arial" w:eastAsia="Arial" w:hAnsi="Arial"/>
                <w:sz w:val="20"/>
                <w:szCs w:val="20"/>
                <w:color w:val="auto"/>
              </w:rPr>
              <w:t>KŶĞ</w:t>
            </w:r>
            <w:r>
              <w:rPr>
                <w:rFonts w:ascii="PMingLiU" w:cs="PMingLiU" w:eastAsia="PMingLiU" w:hAnsi="PMingLiU"/>
                <w:sz w:val="20"/>
                <w:szCs w:val="20"/>
                <w:color w:val="auto"/>
              </w:rPr>
              <w:t/>
            </w:r>
            <w:r>
              <w:rPr>
                <w:rFonts w:ascii="Arial" w:cs="Arial" w:eastAsia="Arial" w:hAnsi="Arial"/>
                <w:sz w:val="20"/>
                <w:szCs w:val="20"/>
                <w:color w:val="auto"/>
              </w:rPr>
              <w:t>ĞŶƚƌĂů</w:t>
            </w:r>
            <w:r>
              <w:rPr>
                <w:rFonts w:ascii="PMingLiU" w:cs="PMingLiU" w:eastAsia="PMingLiU" w:hAnsi="PMingLiU"/>
                <w:sz w:val="20"/>
                <w:szCs w:val="20"/>
                <w:color w:val="auto"/>
              </w:rPr>
              <w:t/>
            </w:r>
            <w:r>
              <w:rPr>
                <w:rFonts w:ascii="Arial" w:cs="Arial" w:eastAsia="Arial" w:hAnsi="Arial"/>
                <w:sz w:val="20"/>
                <w:szCs w:val="20"/>
                <w:color w:val="auto"/>
              </w:rPr>
              <w:t>^ƋƵĂƌĞ</w:t>
            </w: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5"/>
        </w:trPr>
        <w:tc>
          <w:tcPr>
            <w:tcW w:w="40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gridSpan w:val="3"/>
          </w:tcPr>
          <w:p>
            <w:pPr>
              <w:ind w:left="220"/>
              <w:spacing w:after="0" w:line="243" w:lineRule="exact"/>
              <w:rPr>
                <w:sz w:val="20"/>
                <w:szCs w:val="20"/>
                <w:color w:val="auto"/>
              </w:rPr>
            </w:pPr>
            <w:r>
              <w:rPr>
                <w:rFonts w:ascii="PMingLiU" w:cs="PMingLiU" w:eastAsia="PMingLiU" w:hAnsi="PMingLiU"/>
                <w:sz w:val="20"/>
                <w:szCs w:val="20"/>
                <w:color w:val="auto"/>
              </w:rPr>
              <w:t/>
            </w:r>
            <w:r>
              <w:rPr>
                <w:rFonts w:ascii="Arial" w:cs="Arial" w:eastAsia="Arial" w:hAnsi="Arial"/>
                <w:sz w:val="20"/>
                <w:szCs w:val="20"/>
                <w:color w:val="auto"/>
              </w:rPr>
              <w:t>ĂƌĚŝĨĨ</w:t>
            </w:r>
            <w:r>
              <w:rPr>
                <w:rFonts w:ascii="PMingLiU" w:cs="PMingLiU" w:eastAsia="PMingLiU" w:hAnsi="PMingLiU"/>
                <w:sz w:val="20"/>
                <w:szCs w:val="20"/>
                <w:color w:val="auto"/>
              </w:rPr>
              <w:t/>
            </w:r>
            <w:r>
              <w:rPr>
                <w:rFonts w:ascii="Arial" w:cs="Arial" w:eastAsia="Arial" w:hAnsi="Arial"/>
                <w:sz w:val="20"/>
                <w:szCs w:val="20"/>
                <w:color w:val="auto"/>
              </w:rPr>
              <w:t>&amp;ϭϬ</w:t>
            </w:r>
            <w:r>
              <w:rPr>
                <w:rFonts w:ascii="PMingLiU" w:cs="PMingLiU" w:eastAsia="PMingLiU" w:hAnsi="PMingLiU"/>
                <w:sz w:val="20"/>
                <w:szCs w:val="20"/>
                <w:color w:val="auto"/>
              </w:rPr>
              <w:t/>
            </w:r>
            <w:r>
              <w:rPr>
                <w:rFonts w:ascii="Arial" w:cs="Arial" w:eastAsia="Arial" w:hAnsi="Arial"/>
                <w:sz w:val="20"/>
                <w:szCs w:val="20"/>
                <w:color w:val="auto"/>
              </w:rPr>
              <w:t>ϭ&amp;^͕</w:t>
            </w:r>
            <w:r>
              <w:rPr>
                <w:rFonts w:ascii="PMingLiU" w:cs="PMingLiU" w:eastAsia="PMingLiU" w:hAnsi="PMingLiU"/>
                <w:sz w:val="20"/>
                <w:szCs w:val="20"/>
                <w:color w:val="auto"/>
              </w:rPr>
              <w:t/>
            </w:r>
            <w:r>
              <w:rPr>
                <w:rFonts w:ascii="Arial" w:cs="Arial" w:eastAsia="Arial" w:hAnsi="Arial"/>
                <w:sz w:val="20"/>
                <w:szCs w:val="20"/>
                <w:color w:val="auto"/>
              </w:rPr>
              <w:t>tĂůĞƐ</w:t>
            </w: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r>
      <w:tr>
        <w:trPr>
          <w:trHeight w:val="242"/>
        </w:trPr>
        <w:tc>
          <w:tcPr>
            <w:tcW w:w="1340" w:type="dxa"/>
            <w:vAlign w:val="bottom"/>
            <w:gridSpan w:val="3"/>
          </w:tcPr>
          <w:p>
            <w:pPr>
              <w:ind w:left="20"/>
              <w:spacing w:after="0" w:line="243" w:lineRule="exact"/>
              <w:rPr>
                <w:sz w:val="20"/>
                <w:szCs w:val="20"/>
                <w:color w:val="auto"/>
              </w:rPr>
            </w:pPr>
            <w:r>
              <w:rPr>
                <w:rFonts w:ascii="Arial" w:cs="Arial" w:eastAsia="Arial" w:hAnsi="Arial"/>
                <w:sz w:val="20"/>
                <w:szCs w:val="20"/>
                <w:color w:val="auto"/>
              </w:rPr>
              <w:t>DĂƌŬ</w:t>
            </w:r>
            <w:r>
              <w:rPr>
                <w:rFonts w:ascii="PMingLiU" w:cs="PMingLiU" w:eastAsia="PMingLiU" w:hAnsi="PMingLiU"/>
                <w:sz w:val="20"/>
                <w:szCs w:val="20"/>
                <w:color w:val="auto"/>
              </w:rPr>
              <w:t/>
            </w:r>
            <w:r>
              <w:rPr>
                <w:rFonts w:ascii="Arial" w:cs="Arial" w:eastAsia="Arial" w:hAnsi="Arial"/>
                <w:sz w:val="20"/>
                <w:szCs w:val="20"/>
                <w:color w:val="auto"/>
              </w:rPr>
              <w:t>t͘</w:t>
            </w:r>
            <w:r>
              <w:rPr>
                <w:rFonts w:ascii="PMingLiU" w:cs="PMingLiU" w:eastAsia="PMingLiU" w:hAnsi="PMingLiU"/>
                <w:sz w:val="20"/>
                <w:szCs w:val="20"/>
                <w:color w:val="auto"/>
              </w:rPr>
              <w:t/>
            </w:r>
            <w:r>
              <w:rPr>
                <w:rFonts w:ascii="Arial" w:cs="Arial" w:eastAsia="Arial" w:hAnsi="Arial"/>
                <w:sz w:val="20"/>
                <w:szCs w:val="20"/>
                <w:color w:val="auto"/>
              </w:rPr>
              <w:t>,ĂŚŶ</w:t>
            </w:r>
            <w:r>
              <w:rPr>
                <w:rFonts w:ascii="PMingLiU" w:cs="PMingLiU" w:eastAsia="PMingLiU" w:hAnsi="PMingLiU"/>
                <w:sz w:val="20"/>
                <w:szCs w:val="20"/>
                <w:color w:val="auto"/>
              </w:rPr>
              <w:t/>
            </w:r>
          </w:p>
        </w:tc>
        <w:tc>
          <w:tcPr>
            <w:tcW w:w="72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gridSpan w:val="3"/>
          </w:tcPr>
          <w:p>
            <w:pPr>
              <w:ind w:left="220"/>
              <w:spacing w:after="0" w:line="243" w:lineRule="exact"/>
              <w:rPr>
                <w:sz w:val="20"/>
                <w:szCs w:val="20"/>
                <w:color w:val="auto"/>
              </w:rPr>
            </w:pPr>
            <w:r>
              <w:rPr>
                <w:rFonts w:ascii="Arial" w:cs="Arial" w:eastAsia="Arial" w:hAnsi="Arial"/>
                <w:sz w:val="20"/>
                <w:szCs w:val="20"/>
                <w:color w:val="auto"/>
              </w:rPr>
              <w:t>hŶŝƚĞĚ</w:t>
            </w:r>
            <w:r>
              <w:rPr>
                <w:rFonts w:ascii="PMingLiU" w:cs="PMingLiU" w:eastAsia="PMingLiU" w:hAnsi="PMingLiU"/>
                <w:sz w:val="20"/>
                <w:szCs w:val="20"/>
                <w:color w:val="auto"/>
              </w:rPr>
              <w:t/>
            </w:r>
            <w:r>
              <w:rPr>
                <w:rFonts w:ascii="Arial" w:cs="Arial" w:eastAsia="Arial" w:hAnsi="Arial"/>
                <w:sz w:val="20"/>
                <w:szCs w:val="20"/>
                <w:color w:val="auto"/>
              </w:rPr>
              <w:t>&lt;ŝŶŐĚŽŵ</w:t>
            </w:r>
            <w:r>
              <w:rPr>
                <w:rFonts w:ascii="PMingLiU" w:cs="PMingLiU" w:eastAsia="PMingLiU" w:hAnsi="PMingLiU"/>
                <w:sz w:val="20"/>
                <w:szCs w:val="20"/>
                <w:color w:val="auto"/>
              </w:rPr>
              <w:t>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2060" w:type="dxa"/>
            <w:vAlign w:val="bottom"/>
            <w:gridSpan w:val="4"/>
          </w:tcPr>
          <w:p>
            <w:pPr>
              <w:ind w:left="20"/>
              <w:spacing w:after="0" w:line="243" w:lineRule="exact"/>
              <w:rPr>
                <w:sz w:val="20"/>
                <w:szCs w:val="20"/>
                <w:color w:val="auto"/>
              </w:rPr>
            </w:pPr>
            <w:r>
              <w:rPr>
                <w:rFonts w:ascii="PMingLiU" w:cs="PMingLiU" w:eastAsia="PMingLiU" w:hAnsi="PMingLiU"/>
                <w:sz w:val="20"/>
                <w:szCs w:val="20"/>
                <w:color w:val="auto"/>
                <w:w w:val="86"/>
              </w:rPr>
              <w:t/>
            </w:r>
            <w:r>
              <w:rPr>
                <w:rFonts w:ascii="Arial" w:cs="Arial" w:eastAsia="Arial" w:hAnsi="Arial"/>
                <w:sz w:val="20"/>
                <w:szCs w:val="20"/>
                <w:color w:val="auto"/>
                <w:w w:val="86"/>
              </w:rPr>
              <w:t>ŚŝĞĨ</w:t>
            </w:r>
            <w:r>
              <w:rPr>
                <w:rFonts w:ascii="PMingLiU" w:cs="PMingLiU" w:eastAsia="PMingLiU" w:hAnsi="PMingLiU"/>
                <w:sz w:val="20"/>
                <w:szCs w:val="20"/>
                <w:color w:val="auto"/>
                <w:w w:val="86"/>
              </w:rPr>
              <w:t/>
            </w:r>
            <w:r>
              <w:rPr>
                <w:rFonts w:ascii="Arial" w:cs="Arial" w:eastAsia="Arial" w:hAnsi="Arial"/>
                <w:sz w:val="20"/>
                <w:szCs w:val="20"/>
                <w:color w:val="auto"/>
                <w:w w:val="86"/>
              </w:rPr>
              <w:t>&amp;ŝŶĂŶĐŝĂů</w:t>
            </w:r>
            <w:r>
              <w:rPr>
                <w:rFonts w:ascii="PMingLiU" w:cs="PMingLiU" w:eastAsia="PMingLiU" w:hAnsi="PMingLiU"/>
                <w:sz w:val="20"/>
                <w:szCs w:val="20"/>
                <w:color w:val="auto"/>
                <w:w w:val="86"/>
              </w:rPr>
              <w:t/>
            </w:r>
            <w:r>
              <w:rPr>
                <w:rFonts w:ascii="Arial" w:cs="Arial" w:eastAsia="Arial" w:hAnsi="Arial"/>
                <w:sz w:val="20"/>
                <w:szCs w:val="20"/>
                <w:color w:val="auto"/>
                <w:w w:val="86"/>
              </w:rPr>
              <w:t>KĨĨŝĐĞƌ</w:t>
            </w:r>
            <w:r>
              <w:rPr>
                <w:rFonts w:ascii="PMingLiU" w:cs="PMingLiU" w:eastAsia="PMingLiU" w:hAnsi="PMingLiU"/>
                <w:sz w:val="20"/>
                <w:szCs w:val="20"/>
                <w:color w:val="auto"/>
                <w:w w:val="86"/>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3040" w:type="dxa"/>
            <w:vAlign w:val="bottom"/>
            <w:gridSpan w:val="4"/>
          </w:tcPr>
          <w:p>
            <w:pPr>
              <w:ind w:left="220"/>
              <w:spacing w:after="0" w:line="243" w:lineRule="exact"/>
              <w:rPr>
                <w:sz w:val="20"/>
                <w:szCs w:val="20"/>
                <w:color w:val="auto"/>
              </w:rPr>
            </w:pPr>
            <w:r>
              <w:rPr>
                <w:rFonts w:ascii="Arial" w:cs="Arial" w:eastAsia="Arial" w:hAnsi="Arial"/>
                <w:sz w:val="20"/>
                <w:szCs w:val="20"/>
                <w:color w:val="auto"/>
                <w:w w:val="90"/>
              </w:rPr>
              <w:t>d͗</w:t>
            </w:r>
            <w:r>
              <w:rPr>
                <w:rFonts w:ascii="PMingLiU" w:cs="PMingLiU" w:eastAsia="PMingLiU" w:hAnsi="PMingLiU"/>
                <w:sz w:val="20"/>
                <w:szCs w:val="20"/>
                <w:color w:val="auto"/>
                <w:w w:val="90"/>
              </w:rPr>
              <w:t/>
            </w:r>
            <w:r>
              <w:rPr>
                <w:rFonts w:ascii="Arial" w:cs="Arial" w:eastAsia="Arial" w:hAnsi="Arial"/>
                <w:sz w:val="20"/>
                <w:szCs w:val="20"/>
                <w:color w:val="auto"/>
                <w:w w:val="90"/>
              </w:rPr>
              <w:t>н</w:t>
            </w:r>
            <w:r>
              <w:rPr>
                <w:rFonts w:ascii="Arial" w:cs="Arial" w:eastAsia="Arial" w:hAnsi="Arial"/>
                <w:sz w:val="20"/>
                <w:szCs w:val="20"/>
                <w:color w:val="auto"/>
                <w:w w:val="90"/>
              </w:rPr>
              <w:t>ϭͲϴϯϯͲϰϭϳͲϬϮϲϮ</w:t>
            </w:r>
            <w:r>
              <w:rPr>
                <w:rFonts w:ascii="PMingLiU" w:cs="PMingLiU" w:eastAsia="PMingLiU" w:hAnsi="PMingLiU"/>
                <w:sz w:val="20"/>
                <w:szCs w:val="20"/>
                <w:color w:val="auto"/>
                <w:w w:val="90"/>
              </w:rPr>
              <w:t/>
            </w:r>
            <w:r>
              <w:rPr>
                <w:rFonts w:ascii="Arial" w:cs="Arial" w:eastAsia="Arial" w:hAnsi="Arial"/>
                <w:sz w:val="20"/>
                <w:szCs w:val="20"/>
                <w:color w:val="auto"/>
                <w:w w:val="90"/>
              </w:rPr>
              <w:t>ĨŽƌ</w:t>
            </w:r>
            <w:r>
              <w:rPr>
                <w:rFonts w:ascii="PMingLiU" w:cs="PMingLiU" w:eastAsia="PMingLiU" w:hAnsi="PMingLiU"/>
                <w:sz w:val="20"/>
                <w:szCs w:val="20"/>
                <w:color w:val="auto"/>
                <w:w w:val="90"/>
              </w:rPr>
              <w:t/>
            </w:r>
            <w:r>
              <w:rPr>
                <w:rFonts w:ascii="Arial" w:cs="Arial" w:eastAsia="Arial" w:hAnsi="Arial"/>
                <w:sz w:val="20"/>
                <w:szCs w:val="20"/>
                <w:color w:val="auto"/>
                <w:w w:val="90"/>
              </w:rPr>
              <w:t>h^</w:t>
            </w:r>
            <w:r>
              <w:rPr>
                <w:rFonts w:ascii="PMingLiU" w:cs="PMingLiU" w:eastAsia="PMingLiU" w:hAnsi="PMingLiU"/>
                <w:sz w:val="20"/>
                <w:szCs w:val="20"/>
                <w:color w:val="auto"/>
                <w:w w:val="90"/>
              </w:rPr>
              <w:t/>
            </w:r>
            <w:r>
              <w:rPr>
                <w:rFonts w:ascii="Arial" w:cs="Arial" w:eastAsia="Arial" w:hAnsi="Arial"/>
                <w:sz w:val="20"/>
                <w:szCs w:val="20"/>
                <w:color w:val="auto"/>
                <w:w w:val="90"/>
              </w:rPr>
              <w:t>ĐĂůůĞƌƐ</w:t>
            </w:r>
            <w:r>
              <w:rPr>
                <w:rFonts w:ascii="PMingLiU" w:cs="PMingLiU" w:eastAsia="PMingLiU" w:hAnsi="PMingLiU"/>
                <w:sz w:val="20"/>
                <w:szCs w:val="20"/>
                <w:color w:val="auto"/>
                <w:w w:val="90"/>
              </w:rPr>
              <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5"/>
        </w:trPr>
        <w:tc>
          <w:tcPr>
            <w:tcW w:w="40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3600" w:type="dxa"/>
            <w:vAlign w:val="bottom"/>
            <w:gridSpan w:val="6"/>
          </w:tcPr>
          <w:p>
            <w:pPr>
              <w:ind w:left="220"/>
              <w:spacing w:after="0" w:line="243" w:lineRule="exact"/>
              <w:rPr>
                <w:sz w:val="20"/>
                <w:szCs w:val="20"/>
                <w:color w:val="auto"/>
              </w:rPr>
            </w:pPr>
            <w:r>
              <w:rPr>
                <w:rFonts w:ascii="Arial" w:cs="Arial" w:eastAsia="Arial" w:hAnsi="Arial"/>
                <w:sz w:val="20"/>
                <w:szCs w:val="20"/>
                <w:color w:val="auto"/>
              </w:rPr>
              <w:t>d͗</w:t>
            </w:r>
            <w:r>
              <w:rPr>
                <w:rFonts w:ascii="PMingLiU" w:cs="PMingLiU" w:eastAsia="PMingLiU" w:hAnsi="PMingLiU"/>
                <w:sz w:val="20"/>
                <w:szCs w:val="20"/>
                <w:color w:val="auto"/>
              </w:rPr>
              <w:t/>
            </w:r>
            <w:r>
              <w:rPr>
                <w:rFonts w:ascii="Arial" w:cs="Arial" w:eastAsia="Arial" w:hAnsi="Arial"/>
                <w:sz w:val="20"/>
                <w:szCs w:val="20"/>
                <w:color w:val="auto"/>
              </w:rPr>
              <w:t>н</w:t>
            </w:r>
            <w:r>
              <w:rPr>
                <w:rFonts w:ascii="Arial" w:cs="Arial" w:eastAsia="Arial" w:hAnsi="Arial"/>
                <w:sz w:val="20"/>
                <w:szCs w:val="20"/>
                <w:color w:val="auto"/>
              </w:rPr>
              <w:t>ϰϰ</w:t>
            </w:r>
            <w:r>
              <w:rPr>
                <w:rFonts w:ascii="PMingLiU" w:cs="PMingLiU" w:eastAsia="PMingLiU" w:hAnsi="PMingLiU"/>
                <w:sz w:val="20"/>
                <w:szCs w:val="20"/>
                <w:color w:val="auto"/>
              </w:rPr>
              <w:t/>
            </w:r>
            <w:r>
              <w:rPr>
                <w:rFonts w:ascii="Arial" w:cs="Arial" w:eastAsia="Arial" w:hAnsi="Arial"/>
                <w:sz w:val="20"/>
                <w:szCs w:val="20"/>
                <w:color w:val="auto"/>
              </w:rPr>
              <w:t>;ϬͿϮϬϯ</w:t>
            </w:r>
            <w:r>
              <w:rPr>
                <w:rFonts w:ascii="PMingLiU" w:cs="PMingLiU" w:eastAsia="PMingLiU" w:hAnsi="PMingLiU"/>
                <w:sz w:val="20"/>
                <w:szCs w:val="20"/>
                <w:color w:val="auto"/>
              </w:rPr>
              <w:t/>
            </w:r>
            <w:r>
              <w:rPr>
                <w:rFonts w:ascii="Arial" w:cs="Arial" w:eastAsia="Arial" w:hAnsi="Arial"/>
                <w:sz w:val="20"/>
                <w:szCs w:val="20"/>
                <w:color w:val="auto"/>
              </w:rPr>
              <w:t>Ϯϴϯ</w:t>
            </w:r>
            <w:r>
              <w:rPr>
                <w:rFonts w:ascii="PMingLiU" w:cs="PMingLiU" w:eastAsia="PMingLiU" w:hAnsi="PMingLiU"/>
                <w:sz w:val="20"/>
                <w:szCs w:val="20"/>
                <w:color w:val="auto"/>
              </w:rPr>
              <w:t/>
            </w:r>
            <w:r>
              <w:rPr>
                <w:rFonts w:ascii="Arial" w:cs="Arial" w:eastAsia="Arial" w:hAnsi="Arial"/>
                <w:sz w:val="20"/>
                <w:szCs w:val="20"/>
                <w:color w:val="auto"/>
              </w:rPr>
              <w:t>ϰϮϬϬ</w:t>
            </w:r>
            <w:r>
              <w:rPr>
                <w:rFonts w:ascii="PMingLiU" w:cs="PMingLiU" w:eastAsia="PMingLiU" w:hAnsi="PMingLiU"/>
                <w:sz w:val="20"/>
                <w:szCs w:val="20"/>
                <w:color w:val="auto"/>
              </w:rPr>
              <w:t/>
            </w:r>
            <w:r>
              <w:rPr>
                <w:rFonts w:ascii="Arial" w:cs="Arial" w:eastAsia="Arial" w:hAnsi="Arial"/>
                <w:sz w:val="20"/>
                <w:szCs w:val="20"/>
                <w:color w:val="auto"/>
              </w:rPr>
              <w:t>ĨŽƌ</w:t>
            </w:r>
            <w:r>
              <w:rPr>
                <w:rFonts w:ascii="PMingLiU" w:cs="PMingLiU" w:eastAsia="PMingLiU" w:hAnsi="PMingLiU"/>
                <w:sz w:val="20"/>
                <w:szCs w:val="20"/>
                <w:color w:val="auto"/>
              </w:rPr>
              <w:t/>
            </w:r>
            <w:r>
              <w:rPr>
                <w:rFonts w:ascii="Arial" w:cs="Arial" w:eastAsia="Arial" w:hAnsi="Arial"/>
                <w:sz w:val="20"/>
                <w:szCs w:val="20"/>
                <w:color w:val="auto"/>
              </w:rPr>
              <w:t>h&lt;</w:t>
            </w:r>
            <w:r>
              <w:rPr>
                <w:rFonts w:ascii="PMingLiU" w:cs="PMingLiU" w:eastAsia="PMingLiU" w:hAnsi="PMingLiU"/>
                <w:sz w:val="20"/>
                <w:szCs w:val="20"/>
                <w:color w:val="auto"/>
              </w:rPr>
              <w:t/>
            </w:r>
            <w:r>
              <w:rPr>
                <w:rFonts w:ascii="Arial" w:cs="Arial" w:eastAsia="Arial" w:hAnsi="Arial"/>
                <w:sz w:val="20"/>
                <w:szCs w:val="20"/>
                <w:color w:val="auto"/>
              </w:rPr>
              <w:t>ĐĂůůĞƌƐ</w:t>
            </w:r>
            <w:r>
              <w:rPr>
                <w:rFonts w:ascii="PMingLiU" w:cs="PMingLiU" w:eastAsia="PMingLiU" w:hAnsi="PMingLiU"/>
                <w:sz w:val="20"/>
                <w:szCs w:val="20"/>
                <w:color w:val="auto"/>
              </w:rPr>
              <w:t/>
            </w:r>
          </w:p>
        </w:tc>
      </w:tr>
      <w:tr>
        <w:trPr>
          <w:trHeight w:val="245"/>
        </w:trPr>
        <w:tc>
          <w:tcPr>
            <w:tcW w:w="2060" w:type="dxa"/>
            <w:vAlign w:val="bottom"/>
            <w:gridSpan w:val="4"/>
          </w:tcPr>
          <w:p>
            <w:pPr>
              <w:ind w:left="20"/>
              <w:spacing w:after="0" w:line="243" w:lineRule="exact"/>
              <w:rPr>
                <w:sz w:val="20"/>
                <w:szCs w:val="20"/>
                <w:color w:val="auto"/>
              </w:rPr>
            </w:pPr>
            <w:r>
              <w:rPr>
                <w:rFonts w:ascii="Arial" w:cs="Arial" w:eastAsia="Arial" w:hAnsi="Arial"/>
                <w:sz w:val="20"/>
                <w:szCs w:val="20"/>
                <w:color w:val="auto"/>
              </w:rPr>
              <w:t>&lt;ĂƚŚůĞĞŶ</w:t>
            </w:r>
            <w:r>
              <w:rPr>
                <w:rFonts w:ascii="PMingLiU" w:cs="PMingLiU" w:eastAsia="PMingLiU" w:hAnsi="PMingLiU"/>
                <w:sz w:val="20"/>
                <w:szCs w:val="20"/>
                <w:color w:val="auto"/>
              </w:rPr>
              <w:t/>
            </w:r>
            <w:r>
              <w:rPr>
                <w:rFonts w:ascii="Arial" w:cs="Arial" w:eastAsia="Arial" w:hAnsi="Arial"/>
                <w:sz w:val="20"/>
                <w:szCs w:val="20"/>
                <w:color w:val="auto"/>
              </w:rPr>
              <w:t>ZŝĐŬĂƌĚ͕</w:t>
            </w:r>
            <w:r>
              <w:rPr>
                <w:rFonts w:ascii="PMingLiU" w:cs="PMingLiU" w:eastAsia="PMingLiU" w:hAnsi="PMingLiU"/>
                <w:sz w:val="20"/>
                <w:szCs w:val="20"/>
                <w:color w:val="auto"/>
              </w:rPr>
              <w:t/>
            </w:r>
            <w:r>
              <w:rPr>
                <w:rFonts w:ascii="Arial" w:cs="Arial" w:eastAsia="Arial" w:hAnsi="Arial"/>
                <w:sz w:val="20"/>
                <w:szCs w:val="20"/>
                <w:color w:val="auto"/>
              </w:rPr>
              <w:t>D͘</w:t>
            </w:r>
            <w:r>
              <w:rPr>
                <w:rFonts w:ascii="PMingLiU" w:cs="PMingLiU" w:eastAsia="PMingLiU" w:hAnsi="PMingLiU"/>
                <w:sz w:val="20"/>
                <w:szCs w:val="20"/>
                <w:color w:val="auto"/>
              </w:rPr>
              <w:t/>
            </w:r>
            <w:r>
              <w:rPr>
                <w:rFonts w:ascii="Arial" w:cs="Arial" w:eastAsia="Arial" w:hAnsi="Arial"/>
                <w:sz w:val="20"/>
                <w:szCs w:val="20"/>
                <w:color w:val="auto"/>
              </w:rPr>
              <w:t>͘</w:t>
            </w: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3040" w:type="dxa"/>
            <w:vAlign w:val="bottom"/>
            <w:gridSpan w:val="4"/>
          </w:tcPr>
          <w:p>
            <w:pPr>
              <w:ind w:left="220"/>
              <w:spacing w:after="0" w:line="243" w:lineRule="exact"/>
              <w:rPr>
                <w:sz w:val="20"/>
                <w:szCs w:val="20"/>
                <w:color w:val="auto"/>
              </w:rPr>
            </w:pPr>
            <w:r>
              <w:rPr>
                <w:rFonts w:ascii="PMingLiU" w:cs="PMingLiU" w:eastAsia="PMingLiU" w:hAnsi="PMingLiU"/>
                <w:sz w:val="20"/>
                <w:szCs w:val="20"/>
                <w:color w:val="auto"/>
              </w:rPr>
              <w:t/>
            </w:r>
            <w:r>
              <w:rPr>
                <w:rFonts w:ascii="Arial" w:cs="Arial" w:eastAsia="Arial" w:hAnsi="Arial"/>
                <w:sz w:val="20"/>
                <w:szCs w:val="20"/>
                <w:color w:val="auto"/>
              </w:rPr>
              <w:t>͗</w:t>
            </w:r>
            <w:r>
              <w:rPr>
                <w:rFonts w:ascii="PMingLiU" w:cs="PMingLiU" w:eastAsia="PMingLiU" w:hAnsi="PMingLiU"/>
                <w:sz w:val="20"/>
                <w:szCs w:val="20"/>
                <w:color w:val="auto"/>
              </w:rPr>
              <w:t/>
            </w:r>
            <w:r>
              <w:rPr>
                <w:rFonts w:ascii="Arial" w:cs="Arial" w:eastAsia="Arial" w:hAnsi="Arial"/>
                <w:sz w:val="20"/>
                <w:szCs w:val="20"/>
                <w:color w:val="auto"/>
              </w:rPr>
              <w:t>ŝŶĨŽΛǀĞƌŽŶĂƉŚĂƌŵĂ͘ĐŽŵ</w:t>
            </w:r>
            <w:r>
              <w:rPr>
                <w:rFonts w:ascii="PMingLiU" w:cs="PMingLiU" w:eastAsia="PMingLiU" w:hAnsi="PMingLiU"/>
                <w:sz w:val="20"/>
                <w:szCs w:val="20"/>
                <w:color w:val="auto"/>
              </w:rPr>
              <w:t/>
            </w:r>
          </w:p>
        </w:tc>
        <w:tc>
          <w:tcPr>
            <w:tcW w:w="5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r>
      <w:tr>
        <w:trPr>
          <w:trHeight w:val="242"/>
        </w:trPr>
        <w:tc>
          <w:tcPr>
            <w:tcW w:w="2060" w:type="dxa"/>
            <w:vAlign w:val="bottom"/>
            <w:gridSpan w:val="4"/>
          </w:tcPr>
          <w:p>
            <w:pPr>
              <w:ind w:left="20"/>
              <w:spacing w:after="0" w:line="243" w:lineRule="exact"/>
              <w:rPr>
                <w:sz w:val="20"/>
                <w:szCs w:val="20"/>
                <w:color w:val="auto"/>
              </w:rPr>
            </w:pPr>
            <w:r>
              <w:rPr>
                <w:rFonts w:ascii="PMingLiU" w:cs="PMingLiU" w:eastAsia="PMingLiU" w:hAnsi="PMingLiU"/>
                <w:sz w:val="20"/>
                <w:szCs w:val="20"/>
                <w:color w:val="auto"/>
                <w:w w:val="95"/>
              </w:rPr>
              <w:t/>
            </w:r>
            <w:r>
              <w:rPr>
                <w:rFonts w:ascii="Arial" w:cs="Arial" w:eastAsia="Arial" w:hAnsi="Arial"/>
                <w:sz w:val="20"/>
                <w:szCs w:val="20"/>
                <w:color w:val="auto"/>
                <w:w w:val="95"/>
              </w:rPr>
              <w:t>ŚŝĞĨ</w:t>
            </w:r>
            <w:r>
              <w:rPr>
                <w:rFonts w:ascii="PMingLiU" w:cs="PMingLiU" w:eastAsia="PMingLiU" w:hAnsi="PMingLiU"/>
                <w:sz w:val="20"/>
                <w:szCs w:val="20"/>
                <w:color w:val="auto"/>
                <w:w w:val="95"/>
              </w:rPr>
              <w:t/>
            </w:r>
            <w:r>
              <w:rPr>
                <w:rFonts w:ascii="Arial" w:cs="Arial" w:eastAsia="Arial" w:hAnsi="Arial"/>
                <w:sz w:val="20"/>
                <w:szCs w:val="20"/>
                <w:color w:val="auto"/>
                <w:w w:val="95"/>
              </w:rPr>
              <w:t>DĞĚŝĐĂů</w:t>
            </w:r>
            <w:r>
              <w:rPr>
                <w:rFonts w:ascii="PMingLiU" w:cs="PMingLiU" w:eastAsia="PMingLiU" w:hAnsi="PMingLiU"/>
                <w:sz w:val="20"/>
                <w:szCs w:val="20"/>
                <w:color w:val="auto"/>
                <w:w w:val="95"/>
              </w:rPr>
              <w:t/>
            </w:r>
            <w:r>
              <w:rPr>
                <w:rFonts w:ascii="Arial" w:cs="Arial" w:eastAsia="Arial" w:hAnsi="Arial"/>
                <w:sz w:val="20"/>
                <w:szCs w:val="20"/>
                <w:color w:val="auto"/>
                <w:w w:val="95"/>
              </w:rPr>
              <w:t>KĨĨŝĐĞƌ</w:t>
            </w:r>
            <w:r>
              <w:rPr>
                <w:rFonts w:ascii="PMingLiU" w:cs="PMingLiU" w:eastAsia="PMingLiU" w:hAnsi="PMingLiU"/>
                <w:sz w:val="20"/>
                <w:szCs w:val="20"/>
                <w:color w:val="auto"/>
                <w:w w:val="95"/>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3040" w:type="dxa"/>
            <w:vAlign w:val="bottom"/>
            <w:gridSpan w:val="4"/>
          </w:tcPr>
          <w:p>
            <w:pPr>
              <w:ind w:left="220"/>
              <w:spacing w:after="0" w:line="243" w:lineRule="exact"/>
              <w:rPr>
                <w:sz w:val="20"/>
                <w:szCs w:val="20"/>
                <w:color w:val="auto"/>
              </w:rPr>
            </w:pPr>
            <w:r>
              <w:rPr>
                <w:rFonts w:ascii="Arial" w:cs="Arial" w:eastAsia="Arial" w:hAnsi="Arial"/>
                <w:sz w:val="20"/>
                <w:szCs w:val="20"/>
                <w:color w:val="auto"/>
              </w:rPr>
              <w:t>t͗</w:t>
            </w:r>
            <w:r>
              <w:rPr>
                <w:rFonts w:ascii="PMingLiU" w:cs="PMingLiU" w:eastAsia="PMingLiU" w:hAnsi="PMingLiU"/>
                <w:sz w:val="20"/>
                <w:szCs w:val="20"/>
                <w:color w:val="auto"/>
              </w:rPr>
              <w:t/>
            </w:r>
            <w:r>
              <w:rPr>
                <w:rFonts w:ascii="Arial" w:cs="Arial" w:eastAsia="Arial" w:hAnsi="Arial"/>
                <w:sz w:val="20"/>
                <w:szCs w:val="20"/>
                <w:color w:val="auto"/>
              </w:rPr>
              <w:t>ǁǁǁ͘ǀĞƌŽŶĂƉŚĂƌŵĂ͘ĐŽŵ</w:t>
            </w: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5"/>
        </w:trPr>
        <w:tc>
          <w:tcPr>
            <w:tcW w:w="40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2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4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ind w:right="4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2060" w:type="dxa"/>
            <w:vAlign w:val="bottom"/>
            <w:gridSpan w:val="4"/>
          </w:tcPr>
          <w:p>
            <w:pPr>
              <w:jc w:val="right"/>
              <w:ind w:right="460"/>
              <w:spacing w:after="0" w:line="243" w:lineRule="exact"/>
              <w:rPr>
                <w:sz w:val="20"/>
                <w:szCs w:val="20"/>
                <w:color w:val="auto"/>
              </w:rPr>
            </w:pPr>
            <w:r>
              <w:rPr>
                <w:rFonts w:ascii="PMingLiU" w:cs="PMingLiU" w:eastAsia="PMingLiU" w:hAnsi="PMingLiU"/>
                <w:sz w:val="20"/>
                <w:szCs w:val="20"/>
                <w:color w:val="auto"/>
              </w:rPr>
              <w:t/>
            </w:r>
            <w:r>
              <w:rPr>
                <w:rFonts w:ascii="Arial" w:cs="Arial" w:eastAsia="Arial" w:hAnsi="Arial"/>
                <w:sz w:val="20"/>
                <w:szCs w:val="20"/>
                <w:color w:val="auto"/>
              </w:rPr>
              <w:t>ŶĚƌĞǁ</w:t>
            </w:r>
            <w:r>
              <w:rPr>
                <w:rFonts w:ascii="PMingLiU" w:cs="PMingLiU" w:eastAsia="PMingLiU" w:hAnsi="PMingLiU"/>
                <w:sz w:val="20"/>
                <w:szCs w:val="20"/>
                <w:color w:val="auto"/>
              </w:rPr>
              <w:t/>
            </w:r>
            <w:r>
              <w:rPr>
                <w:rFonts w:ascii="Arial" w:cs="Arial" w:eastAsia="Arial" w:hAnsi="Arial"/>
                <w:sz w:val="20"/>
                <w:szCs w:val="20"/>
                <w:color w:val="auto"/>
              </w:rPr>
              <w:t>&amp;ŝƐŚĞƌ</w:t>
            </w:r>
            <w:r>
              <w:rPr>
                <w:rFonts w:ascii="PMingLiU" w:cs="PMingLiU" w:eastAsia="PMingLiU" w:hAnsi="PMingLiU"/>
                <w:sz w:val="20"/>
                <w:szCs w:val="20"/>
                <w:color w:val="auto"/>
              </w:rPr>
              <w:t>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3040" w:type="dxa"/>
            <w:vAlign w:val="bottom"/>
            <w:gridSpan w:val="4"/>
          </w:tcPr>
          <w:p>
            <w:pPr>
              <w:ind w:left="220"/>
              <w:spacing w:after="0" w:line="243" w:lineRule="exact"/>
              <w:rPr>
                <w:sz w:val="20"/>
                <w:szCs w:val="20"/>
                <w:color w:val="auto"/>
              </w:rPr>
            </w:pPr>
            <w:r>
              <w:rPr>
                <w:rFonts w:ascii="PMingLiU" w:cs="PMingLiU" w:eastAsia="PMingLiU" w:hAnsi="PMingLiU"/>
                <w:sz w:val="20"/>
                <w:szCs w:val="20"/>
                <w:color w:val="auto"/>
              </w:rPr>
              <w:t/>
            </w:r>
            <w:r>
              <w:rPr>
                <w:rFonts w:ascii="Arial" w:cs="Arial" w:eastAsia="Arial" w:hAnsi="Arial"/>
                <w:sz w:val="20"/>
                <w:szCs w:val="20"/>
                <w:color w:val="auto"/>
              </w:rPr>
              <w:t>EEh</w:t>
            </w:r>
            <w:r>
              <w:rPr>
                <w:rFonts w:ascii="PMingLiU" w:cs="PMingLiU" w:eastAsia="PMingLiU" w:hAnsi="PMingLiU"/>
                <w:sz w:val="20"/>
                <w:szCs w:val="20"/>
                <w:color w:val="auto"/>
              </w:rPr>
              <w:t/>
            </w:r>
            <w:r>
              <w:rPr>
                <w:rFonts w:ascii="Arial" w:cs="Arial" w:eastAsia="Arial" w:hAnsi="Arial"/>
                <w:sz w:val="20"/>
                <w:szCs w:val="20"/>
                <w:color w:val="auto"/>
              </w:rPr>
              <w:t>&gt;</w:t>
            </w:r>
            <w:r>
              <w:rPr>
                <w:rFonts w:ascii="PMingLiU" w:cs="PMingLiU" w:eastAsia="PMingLiU" w:hAnsi="PMingLiU"/>
                <w:sz w:val="20"/>
                <w:szCs w:val="20"/>
                <w:color w:val="auto"/>
              </w:rPr>
              <w:t/>
            </w:r>
            <w:r>
              <w:rPr>
                <w:rFonts w:ascii="Arial" w:cs="Arial" w:eastAsia="Arial" w:hAnsi="Arial"/>
                <w:sz w:val="20"/>
                <w:szCs w:val="20"/>
                <w:color w:val="auto"/>
              </w:rPr>
              <w:t>'</w:t>
            </w:r>
            <w:r>
              <w:rPr>
                <w:rFonts w:ascii="PMingLiU" w:cs="PMingLiU" w:eastAsia="PMingLiU" w:hAnsi="PMingLiU"/>
                <w:sz w:val="20"/>
                <w:szCs w:val="20"/>
                <w:color w:val="auto"/>
              </w:rPr>
              <w:t/>
            </w:r>
            <w:r>
              <w:rPr>
                <w:rFonts w:ascii="Arial" w:cs="Arial" w:eastAsia="Arial" w:hAnsi="Arial"/>
                <w:sz w:val="20"/>
                <w:szCs w:val="20"/>
                <w:color w:val="auto"/>
              </w:rPr>
              <w:t>E</w:t>
            </w:r>
            <w:r>
              <w:rPr>
                <w:rFonts w:ascii="PMingLiU" w:cs="PMingLiU" w:eastAsia="PMingLiU" w:hAnsi="PMingLiU"/>
                <w:sz w:val="20"/>
                <w:szCs w:val="20"/>
                <w:color w:val="auto"/>
              </w:rPr>
              <w:t/>
            </w:r>
            <w:r>
              <w:rPr>
                <w:rFonts w:ascii="Arial" w:cs="Arial" w:eastAsia="Arial" w:hAnsi="Arial"/>
                <w:sz w:val="20"/>
                <w:szCs w:val="20"/>
                <w:color w:val="auto"/>
              </w:rPr>
              <w:t>Z</w:t>
            </w:r>
            <w:r>
              <w:rPr>
                <w:rFonts w:ascii="PMingLiU" w:cs="PMingLiU" w:eastAsia="PMingLiU" w:hAnsi="PMingLiU"/>
                <w:sz w:val="20"/>
                <w:szCs w:val="20"/>
                <w:color w:val="auto"/>
              </w:rPr>
              <w:t/>
            </w:r>
            <w:r>
              <w:rPr>
                <w:rFonts w:ascii="Arial" w:cs="Arial" w:eastAsia="Arial" w:hAnsi="Arial"/>
                <w:sz w:val="20"/>
                <w:szCs w:val="20"/>
                <w:color w:val="auto"/>
              </w:rPr>
              <w:t>&gt;</w:t>
            </w:r>
            <w:r>
              <w:rPr>
                <w:rFonts w:ascii="PMingLiU" w:cs="PMingLiU" w:eastAsia="PMingLiU" w:hAnsi="PMingLiU"/>
                <w:sz w:val="20"/>
                <w:szCs w:val="20"/>
                <w:color w:val="auto"/>
              </w:rPr>
              <w:t/>
            </w:r>
            <w:r>
              <w:rPr>
                <w:rFonts w:ascii="Arial" w:cs="Arial" w:eastAsia="Arial" w:hAnsi="Arial"/>
                <w:sz w:val="20"/>
                <w:szCs w:val="20"/>
                <w:color w:val="auto"/>
              </w:rPr>
              <w:t>D</w:t>
            </w:r>
            <w:r>
              <w:rPr>
                <w:rFonts w:ascii="PMingLiU" w:cs="PMingLiU" w:eastAsia="PMingLiU" w:hAnsi="PMingLiU"/>
                <w:sz w:val="20"/>
                <w:szCs w:val="20"/>
                <w:color w:val="auto"/>
              </w:rPr>
              <w:t/>
            </w:r>
            <w:r>
              <w:rPr>
                <w:rFonts w:ascii="Arial" w:cs="Arial" w:eastAsia="Arial" w:hAnsi="Arial"/>
                <w:sz w:val="20"/>
                <w:szCs w:val="20"/>
                <w:color w:val="auto"/>
              </w:rPr>
              <w:t>d/E'</w:t>
            </w:r>
            <w:r>
              <w:rPr>
                <w:rFonts w:ascii="PMingLiU" w:cs="PMingLiU" w:eastAsia="PMingLiU" w:hAnsi="PMingLiU"/>
                <w:sz w:val="20"/>
                <w:szCs w:val="20"/>
                <w:color w:val="auto"/>
              </w:rPr>
              <w:t/>
            </w:r>
            <w:r>
              <w:rPr>
                <w:rFonts w:ascii="Arial" w:cs="Arial" w:eastAsia="Arial" w:hAnsi="Arial"/>
                <w:sz w:val="20"/>
                <w:szCs w:val="20"/>
                <w:color w:val="auto"/>
              </w:rPr>
              <w:t>K&amp;</w:t>
            </w: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2060" w:type="dxa"/>
            <w:vAlign w:val="bottom"/>
            <w:gridSpan w:val="4"/>
          </w:tcPr>
          <w:p>
            <w:pPr>
              <w:jc w:val="right"/>
              <w:ind w:right="460"/>
              <w:spacing w:after="0" w:line="243" w:lineRule="exact"/>
              <w:rPr>
                <w:sz w:val="20"/>
                <w:szCs w:val="20"/>
                <w:color w:val="auto"/>
              </w:rPr>
            </w:pPr>
            <w:r>
              <w:rPr>
                <w:rFonts w:ascii="Arial" w:cs="Arial" w:eastAsia="Arial" w:hAnsi="Arial"/>
                <w:sz w:val="20"/>
                <w:szCs w:val="20"/>
                <w:color w:val="auto"/>
                <w:w w:val="89"/>
              </w:rPr>
              <w:t>'ĞŶĞƌĂů</w:t>
            </w:r>
            <w:r>
              <w:rPr>
                <w:rFonts w:ascii="PMingLiU" w:cs="PMingLiU" w:eastAsia="PMingLiU" w:hAnsi="PMingLiU"/>
                <w:sz w:val="20"/>
                <w:szCs w:val="20"/>
                <w:color w:val="auto"/>
                <w:w w:val="89"/>
              </w:rPr>
              <w:t/>
            </w:r>
            <w:r>
              <w:rPr>
                <w:rFonts w:ascii="Arial" w:cs="Arial" w:eastAsia="Arial" w:hAnsi="Arial"/>
                <w:sz w:val="20"/>
                <w:szCs w:val="20"/>
                <w:color w:val="auto"/>
                <w:w w:val="89"/>
              </w:rPr>
              <w:t>ŽƵŶƐĞů</w:t>
            </w:r>
            <w:r>
              <w:rPr>
                <w:rFonts w:ascii="PMingLiU" w:cs="PMingLiU" w:eastAsia="PMingLiU" w:hAnsi="PMingLiU"/>
                <w:sz w:val="20"/>
                <w:szCs w:val="20"/>
                <w:color w:val="auto"/>
                <w:w w:val="89"/>
              </w:rPr>
              <w:t>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gridSpan w:val="3"/>
          </w:tcPr>
          <w:p>
            <w:pPr>
              <w:ind w:left="220"/>
              <w:spacing w:after="0" w:line="243" w:lineRule="exact"/>
              <w:rPr>
                <w:sz w:val="20"/>
                <w:szCs w:val="20"/>
                <w:color w:val="auto"/>
              </w:rPr>
            </w:pPr>
            <w:r>
              <w:rPr>
                <w:rFonts w:ascii="Arial" w:cs="Arial" w:eastAsia="Arial" w:hAnsi="Arial"/>
                <w:sz w:val="20"/>
                <w:szCs w:val="20"/>
                <w:color w:val="auto"/>
              </w:rPr>
              <w:t>^,</w:t>
            </w:r>
            <w:r>
              <w:rPr>
                <w:rFonts w:ascii="PMingLiU" w:cs="PMingLiU" w:eastAsia="PMingLiU" w:hAnsi="PMingLiU"/>
                <w:sz w:val="20"/>
                <w:szCs w:val="20"/>
                <w:color w:val="auto"/>
              </w:rPr>
              <w:t/>
            </w:r>
            <w:r>
              <w:rPr>
                <w:rFonts w:ascii="Arial" w:cs="Arial" w:eastAsia="Arial" w:hAnsi="Arial"/>
                <w:sz w:val="20"/>
                <w:szCs w:val="20"/>
                <w:color w:val="auto"/>
              </w:rPr>
              <w:t>Z</w:t>
            </w:r>
            <w:r>
              <w:rPr>
                <w:rFonts w:ascii="PMingLiU" w:cs="PMingLiU" w:eastAsia="PMingLiU" w:hAnsi="PMingLiU"/>
                <w:sz w:val="20"/>
                <w:szCs w:val="20"/>
                <w:color w:val="auto"/>
              </w:rPr>
              <w:t/>
            </w:r>
            <w:r>
              <w:rPr>
                <w:rFonts w:ascii="Arial" w:cs="Arial" w:eastAsia="Arial" w:hAnsi="Arial"/>
                <w:sz w:val="20"/>
                <w:szCs w:val="20"/>
                <w:color w:val="auto"/>
              </w:rPr>
              <w:t>,K&gt;</w:t>
            </w:r>
            <w:r>
              <w:rPr>
                <w:rFonts w:ascii="PMingLiU" w:cs="PMingLiU" w:eastAsia="PMingLiU" w:hAnsi="PMingLiU"/>
                <w:sz w:val="20"/>
                <w:szCs w:val="20"/>
                <w:color w:val="auto"/>
              </w:rPr>
              <w:t/>
            </w:r>
            <w:r>
              <w:rPr>
                <w:rFonts w:ascii="Arial" w:cs="Arial" w:eastAsia="Arial" w:hAnsi="Arial"/>
                <w:sz w:val="20"/>
                <w:szCs w:val="20"/>
                <w:color w:val="auto"/>
              </w:rPr>
              <w:t>Z^</w:t>
            </w:r>
            <w:r>
              <w:rPr>
                <w:rFonts w:ascii="PMingLiU" w:cs="PMingLiU" w:eastAsia="PMingLiU" w:hAnsi="PMingLiU"/>
                <w:sz w:val="20"/>
                <w:szCs w:val="20"/>
                <w:color w:val="auto"/>
              </w:rPr>
              <w:t>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26"/>
        </w:trPr>
        <w:tc>
          <w:tcPr>
            <w:tcW w:w="400" w:type="dxa"/>
            <w:vAlign w:val="bottom"/>
            <w:gridSpan w:val="2"/>
          </w:tcPr>
          <w:p>
            <w:pPr>
              <w:ind w:left="20"/>
              <w:spacing w:after="0" w:line="225"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460"/>
              <w:spacing w:after="0" w:line="225"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ind w:right="460"/>
              <w:spacing w:after="0" w:line="225" w:lineRule="exact"/>
              <w:rPr>
                <w:sz w:val="20"/>
                <w:szCs w:val="20"/>
                <w:color w:val="auto"/>
              </w:rPr>
            </w:pPr>
            <w:r>
              <w:rPr>
                <w:rFonts w:ascii="PMingLiU" w:cs="PMingLiU" w:eastAsia="PMingLiU" w:hAnsi="PMingLiU"/>
                <w:sz w:val="20"/>
                <w:szCs w:val="20"/>
                <w:color w:val="auto"/>
              </w:rPr>
              <w:t/>
            </w:r>
          </w:p>
        </w:tc>
        <w:tc>
          <w:tcPr>
            <w:tcW w:w="740" w:type="dxa"/>
            <w:vAlign w:val="bottom"/>
          </w:tcPr>
          <w:p>
            <w:pPr>
              <w:ind w:left="120"/>
              <w:spacing w:after="0" w:line="225"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25"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25"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25"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25" w:lineRule="exact"/>
              <w:rPr>
                <w:sz w:val="20"/>
                <w:szCs w:val="20"/>
                <w:color w:val="auto"/>
              </w:rPr>
            </w:pPr>
            <w:r>
              <w:rPr>
                <w:rFonts w:ascii="PMingLiU" w:cs="PMingLiU" w:eastAsia="PMingLiU" w:hAnsi="PMingLiU"/>
                <w:sz w:val="20"/>
                <w:szCs w:val="20"/>
                <w:color w:val="auto"/>
              </w:rPr>
              <w:t/>
            </w:r>
          </w:p>
        </w:tc>
        <w:tc>
          <w:tcPr>
            <w:tcW w:w="1520" w:type="dxa"/>
            <w:vAlign w:val="bottom"/>
            <w:gridSpan w:val="2"/>
          </w:tcPr>
          <w:p>
            <w:pPr>
              <w:ind w:left="220"/>
              <w:spacing w:after="0" w:line="226" w:lineRule="exact"/>
              <w:rPr>
                <w:sz w:val="20"/>
                <w:szCs w:val="20"/>
                <w:color w:val="auto"/>
              </w:rPr>
            </w:pPr>
            <w:r>
              <w:rPr>
                <w:rFonts w:ascii="PMingLiU" w:cs="PMingLiU" w:eastAsia="PMingLiU" w:hAnsi="PMingLiU"/>
                <w:sz w:val="20"/>
                <w:szCs w:val="20"/>
                <w:color w:val="auto"/>
              </w:rPr>
              <w:t/>
            </w:r>
            <w:r>
              <w:rPr>
                <w:rFonts w:ascii="Arial" w:cs="Arial" w:eastAsia="Arial" w:hAnsi="Arial"/>
                <w:sz w:val="20"/>
                <w:szCs w:val="20"/>
                <w:color w:val="auto"/>
              </w:rPr>
              <w:t>Ɖƌŝů</w:t>
            </w:r>
            <w:r>
              <w:rPr>
                <w:rFonts w:ascii="PMingLiU" w:cs="PMingLiU" w:eastAsia="PMingLiU" w:hAnsi="PMingLiU"/>
                <w:sz w:val="20"/>
                <w:szCs w:val="20"/>
                <w:color w:val="auto"/>
              </w:rPr>
              <w:t/>
            </w:r>
            <w:r>
              <w:rPr>
                <w:rFonts w:ascii="Arial" w:cs="Arial" w:eastAsia="Arial" w:hAnsi="Arial"/>
                <w:sz w:val="20"/>
                <w:szCs w:val="20"/>
                <w:color w:val="auto"/>
              </w:rPr>
              <w:t>Ϯϰ͕</w:t>
            </w:r>
            <w:r>
              <w:rPr>
                <w:rFonts w:ascii="PMingLiU" w:cs="PMingLiU" w:eastAsia="PMingLiU" w:hAnsi="PMingLiU"/>
                <w:sz w:val="20"/>
                <w:szCs w:val="20"/>
                <w:color w:val="auto"/>
              </w:rPr>
              <w:t/>
            </w:r>
            <w:r>
              <w:rPr>
                <w:rFonts w:ascii="Arial" w:cs="Arial" w:eastAsia="Arial" w:hAnsi="Arial"/>
                <w:sz w:val="20"/>
                <w:szCs w:val="20"/>
                <w:color w:val="auto"/>
              </w:rPr>
              <w:t>ϮϬϮϱ</w:t>
            </w:r>
            <w:r>
              <w:rPr>
                <w:rFonts w:ascii="PMingLiU" w:cs="PMingLiU" w:eastAsia="PMingLiU" w:hAnsi="PMingLiU"/>
                <w:sz w:val="20"/>
                <w:szCs w:val="20"/>
                <w:color w:val="auto"/>
              </w:rPr>
              <w:t/>
            </w:r>
          </w:p>
        </w:tc>
        <w:tc>
          <w:tcPr>
            <w:tcW w:w="760" w:type="dxa"/>
            <w:vAlign w:val="bottom"/>
          </w:tcPr>
          <w:p>
            <w:pPr>
              <w:jc w:val="right"/>
              <w:ind w:right="480"/>
              <w:spacing w:after="0" w:line="225"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25"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ind w:left="60"/>
              <w:spacing w:after="0" w:line="225" w:lineRule="exact"/>
              <w:rPr>
                <w:sz w:val="20"/>
                <w:szCs w:val="20"/>
                <w:color w:val="auto"/>
              </w:rPr>
            </w:pPr>
            <w:r>
              <w:rPr>
                <w:rFonts w:ascii="PMingLiU" w:cs="PMingLiU" w:eastAsia="PMingLiU" w:hAnsi="PMingLiU"/>
                <w:sz w:val="20"/>
                <w:szCs w:val="20"/>
                <w:color w:val="auto"/>
              </w:rPr>
              <w:t/>
            </w:r>
          </w:p>
        </w:tc>
      </w:tr>
      <w:tr>
        <w:trPr>
          <w:trHeight w:val="244"/>
        </w:trPr>
        <w:tc>
          <w:tcPr>
            <w:tcW w:w="20" w:type="dxa"/>
            <w:vAlign w:val="bottom"/>
          </w:tcPr>
          <w:p>
            <w:pPr>
              <w:spacing w:after="0"/>
              <w:rPr>
                <w:sz w:val="21"/>
                <w:szCs w:val="21"/>
                <w:color w:val="auto"/>
              </w:rPr>
            </w:pPr>
          </w:p>
        </w:tc>
        <w:tc>
          <w:tcPr>
            <w:tcW w:w="2040" w:type="dxa"/>
            <w:vAlign w:val="bottom"/>
            <w:tcBorders>
              <w:top w:val="single" w:sz="8" w:color="auto"/>
            </w:tcBorders>
            <w:gridSpan w:val="3"/>
          </w:tcPr>
          <w:p>
            <w:pPr>
              <w:spacing w:after="0" w:line="243" w:lineRule="exact"/>
              <w:rPr>
                <w:sz w:val="20"/>
                <w:szCs w:val="20"/>
                <w:color w:val="auto"/>
              </w:rPr>
            </w:pPr>
            <w:r>
              <w:rPr>
                <w:rFonts w:ascii="PMingLiU" w:cs="PMingLiU" w:eastAsia="PMingLiU" w:hAnsi="PMingLiU"/>
                <w:sz w:val="20"/>
                <w:szCs w:val="20"/>
                <w:color w:val="auto"/>
              </w:rPr>
              <w:t/>
            </w:r>
            <w:r>
              <w:rPr>
                <w:rFonts w:ascii="Arial" w:cs="Arial" w:eastAsia="Arial" w:hAnsi="Arial"/>
                <w:sz w:val="20"/>
                <w:szCs w:val="20"/>
                <w:color w:val="auto"/>
              </w:rPr>
              <w:t>K</w:t>
            </w:r>
            <w:r>
              <w:rPr>
                <w:rFonts w:ascii="PMingLiU" w:cs="PMingLiU" w:eastAsia="PMingLiU" w:hAnsi="PMingLiU"/>
                <w:sz w:val="20"/>
                <w:szCs w:val="20"/>
                <w:color w:val="auto"/>
              </w:rPr>
              <w:t/>
            </w:r>
            <w:r>
              <w:rPr>
                <w:rFonts w:ascii="Arial" w:cs="Arial" w:eastAsia="Arial" w:hAnsi="Arial"/>
                <w:sz w:val="20"/>
                <w:szCs w:val="20"/>
                <w:color w:val="auto"/>
              </w:rPr>
              <w:t>Z</w:t>
            </w:r>
            <w:r>
              <w:rPr>
                <w:rFonts w:ascii="PMingLiU" w:cs="PMingLiU" w:eastAsia="PMingLiU" w:hAnsi="PMingLiU"/>
                <w:sz w:val="20"/>
                <w:szCs w:val="20"/>
                <w:color w:val="auto"/>
              </w:rPr>
              <w:t/>
            </w:r>
            <w:r>
              <w:rPr>
                <w:rFonts w:ascii="Arial" w:cs="Arial" w:eastAsia="Arial" w:hAnsi="Arial"/>
                <w:sz w:val="20"/>
                <w:szCs w:val="20"/>
                <w:color w:val="auto"/>
              </w:rPr>
              <w:t>K&amp;</w:t>
            </w:r>
            <w:r>
              <w:rPr>
                <w:rFonts w:ascii="PMingLiU" w:cs="PMingLiU" w:eastAsia="PMingLiU" w:hAnsi="PMingLiU"/>
                <w:sz w:val="20"/>
                <w:szCs w:val="20"/>
                <w:color w:val="auto"/>
              </w:rPr>
              <w:t/>
            </w:r>
            <w:r>
              <w:rPr>
                <w:rFonts w:ascii="Arial" w:cs="Arial" w:eastAsia="Arial" w:hAnsi="Arial"/>
                <w:sz w:val="20"/>
                <w:szCs w:val="20"/>
                <w:color w:val="auto"/>
              </w:rPr>
              <w:t>/Z</w:t>
            </w:r>
            <w:r>
              <w:rPr>
                <w:rFonts w:ascii="PMingLiU" w:cs="PMingLiU" w:eastAsia="PMingLiU" w:hAnsi="PMingLiU"/>
                <w:sz w:val="20"/>
                <w:szCs w:val="20"/>
                <w:color w:val="auto"/>
              </w:rPr>
              <w:t/>
            </w:r>
            <w:r>
              <w:rPr>
                <w:rFonts w:ascii="Arial" w:cs="Arial" w:eastAsia="Arial" w:hAnsi="Arial"/>
                <w:sz w:val="20"/>
                <w:szCs w:val="20"/>
                <w:color w:val="auto"/>
              </w:rPr>
              <w:t>dKZ^</w:t>
            </w:r>
            <w:r>
              <w:rPr>
                <w:rFonts w:ascii="PMingLiU" w:cs="PMingLiU" w:eastAsia="PMingLiU" w:hAnsi="PMingLiU"/>
                <w:sz w:val="20"/>
                <w:szCs w:val="20"/>
                <w:color w:val="auto"/>
              </w:rPr>
              <w:t/>
            </w:r>
          </w:p>
        </w:tc>
        <w:tc>
          <w:tcPr>
            <w:tcW w:w="740" w:type="dxa"/>
            <w:vAlign w:val="bottom"/>
            <w:tcBorders>
              <w:top w:val="single" w:sz="8" w:color="auto"/>
            </w:tcBorders>
          </w:tcPr>
          <w:p>
            <w:pPr>
              <w:ind w:left="12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top w:val="single" w:sz="8" w:color="auto"/>
            </w:tcBorders>
          </w:tcPr>
          <w:p>
            <w:pPr>
              <w:spacing w:after="0"/>
              <w:rPr>
                <w:sz w:val="21"/>
                <w:szCs w:val="21"/>
                <w:color w:val="auto"/>
              </w:rPr>
            </w:pPr>
          </w:p>
        </w:tc>
        <w:tc>
          <w:tcPr>
            <w:tcW w:w="52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3040" w:type="dxa"/>
            <w:vAlign w:val="bottom"/>
            <w:gridSpan w:val="4"/>
          </w:tcPr>
          <w:p>
            <w:pPr>
              <w:ind w:left="220"/>
              <w:spacing w:after="0" w:line="243" w:lineRule="exact"/>
              <w:rPr>
                <w:sz w:val="20"/>
                <w:szCs w:val="20"/>
                <w:color w:val="auto"/>
              </w:rPr>
            </w:pPr>
            <w:r>
              <w:rPr>
                <w:rFonts w:ascii="PMingLiU" w:cs="PMingLiU" w:eastAsia="PMingLiU" w:hAnsi="PMingLiU"/>
                <w:sz w:val="20"/>
                <w:szCs w:val="20"/>
                <w:color w:val="auto"/>
                <w:w w:val="83"/>
              </w:rPr>
              <w:t/>
            </w:r>
            <w:r>
              <w:rPr>
                <w:rFonts w:ascii="Arial" w:cs="Arial" w:eastAsia="Arial" w:hAnsi="Arial"/>
                <w:sz w:val="20"/>
                <w:szCs w:val="20"/>
                <w:color w:val="auto"/>
                <w:w w:val="83"/>
              </w:rPr>
              <w:t>ĞƚĂŝůƐ</w:t>
            </w:r>
            <w:r>
              <w:rPr>
                <w:rFonts w:ascii="PMingLiU" w:cs="PMingLiU" w:eastAsia="PMingLiU" w:hAnsi="PMingLiU"/>
                <w:sz w:val="20"/>
                <w:szCs w:val="20"/>
                <w:color w:val="auto"/>
                <w:w w:val="83"/>
              </w:rPr>
              <w:t/>
            </w:r>
            <w:r>
              <w:rPr>
                <w:rFonts w:ascii="Arial" w:cs="Arial" w:eastAsia="Arial" w:hAnsi="Arial"/>
                <w:sz w:val="20"/>
                <w:szCs w:val="20"/>
                <w:color w:val="auto"/>
                <w:w w:val="83"/>
              </w:rPr>
              <w:t>ƚŽ</w:t>
            </w:r>
            <w:r>
              <w:rPr>
                <w:rFonts w:ascii="PMingLiU" w:cs="PMingLiU" w:eastAsia="PMingLiU" w:hAnsi="PMingLiU"/>
                <w:sz w:val="20"/>
                <w:szCs w:val="20"/>
                <w:color w:val="auto"/>
                <w:w w:val="83"/>
              </w:rPr>
              <w:t/>
            </w:r>
            <w:r>
              <w:rPr>
                <w:rFonts w:ascii="Arial" w:cs="Arial" w:eastAsia="Arial" w:hAnsi="Arial"/>
                <w:sz w:val="20"/>
                <w:szCs w:val="20"/>
                <w:color w:val="auto"/>
                <w:w w:val="83"/>
              </w:rPr>
              <w:t>ďĞ</w:t>
            </w:r>
            <w:r>
              <w:rPr>
                <w:rFonts w:ascii="PMingLiU" w:cs="PMingLiU" w:eastAsia="PMingLiU" w:hAnsi="PMingLiU"/>
                <w:sz w:val="20"/>
                <w:szCs w:val="20"/>
                <w:color w:val="auto"/>
                <w:w w:val="83"/>
              </w:rPr>
              <w:t/>
            </w:r>
            <w:r>
              <w:rPr>
                <w:rFonts w:ascii="Arial" w:cs="Arial" w:eastAsia="Arial" w:hAnsi="Arial"/>
                <w:sz w:val="20"/>
                <w:szCs w:val="20"/>
                <w:color w:val="auto"/>
                <w:w w:val="83"/>
              </w:rPr>
              <w:t>ŶŽƚŝĨŝĞĚ</w:t>
            </w:r>
            <w:r>
              <w:rPr>
                <w:rFonts w:ascii="PMingLiU" w:cs="PMingLiU" w:eastAsia="PMingLiU" w:hAnsi="PMingLiU"/>
                <w:sz w:val="20"/>
                <w:szCs w:val="20"/>
                <w:color w:val="auto"/>
                <w:w w:val="83"/>
              </w:rPr>
              <w:t/>
            </w:r>
            <w:r>
              <w:rPr>
                <w:rFonts w:ascii="Arial" w:cs="Arial" w:eastAsia="Arial" w:hAnsi="Arial"/>
                <w:sz w:val="20"/>
                <w:szCs w:val="20"/>
                <w:color w:val="auto"/>
                <w:w w:val="83"/>
              </w:rPr>
              <w:t>ŝŶ</w:t>
            </w:r>
            <w:r>
              <w:rPr>
                <w:rFonts w:ascii="PMingLiU" w:cs="PMingLiU" w:eastAsia="PMingLiU" w:hAnsi="PMingLiU"/>
                <w:sz w:val="20"/>
                <w:szCs w:val="20"/>
                <w:color w:val="auto"/>
                <w:w w:val="83"/>
              </w:rPr>
              <w:t/>
            </w:r>
            <w:r>
              <w:rPr>
                <w:rFonts w:ascii="Arial" w:cs="Arial" w:eastAsia="Arial" w:hAnsi="Arial"/>
                <w:sz w:val="20"/>
                <w:szCs w:val="20"/>
                <w:color w:val="auto"/>
                <w:w w:val="83"/>
              </w:rPr>
              <w:t>ƚŚĞ</w:t>
            </w:r>
            <w:r>
              <w:rPr>
                <w:rFonts w:ascii="PMingLiU" w:cs="PMingLiU" w:eastAsia="PMingLiU" w:hAnsi="PMingLiU"/>
                <w:sz w:val="20"/>
                <w:szCs w:val="20"/>
                <w:color w:val="auto"/>
                <w:w w:val="83"/>
              </w:rPr>
              <w:t/>
            </w:r>
            <w:r>
              <w:rPr>
                <w:rFonts w:ascii="Arial" w:cs="Arial" w:eastAsia="Arial" w:hAnsi="Arial"/>
                <w:sz w:val="20"/>
                <w:szCs w:val="20"/>
                <w:color w:val="auto"/>
                <w:w w:val="83"/>
              </w:rPr>
              <w:t>WƌŽǆǇ</w:t>
            </w:r>
            <w:r>
              <w:rPr>
                <w:rFonts w:ascii="PMingLiU" w:cs="PMingLiU" w:eastAsia="PMingLiU" w:hAnsi="PMingLiU"/>
                <w:sz w:val="20"/>
                <w:szCs w:val="20"/>
                <w:color w:val="auto"/>
                <w:w w:val="83"/>
              </w:rPr>
              <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5"/>
        </w:trPr>
        <w:tc>
          <w:tcPr>
            <w:tcW w:w="40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1520" w:type="dxa"/>
            <w:vAlign w:val="bottom"/>
            <w:gridSpan w:val="2"/>
          </w:tcPr>
          <w:p>
            <w:pPr>
              <w:ind w:left="220"/>
              <w:spacing w:after="0" w:line="243" w:lineRule="exact"/>
              <w:rPr>
                <w:sz w:val="20"/>
                <w:szCs w:val="20"/>
                <w:color w:val="auto"/>
              </w:rPr>
            </w:pPr>
            <w:r>
              <w:rPr>
                <w:rFonts w:ascii="Arial" w:cs="Arial" w:eastAsia="Arial" w:hAnsi="Arial"/>
                <w:sz w:val="20"/>
                <w:szCs w:val="20"/>
                <w:color w:val="auto"/>
              </w:rPr>
              <w:t>^ƚĂƚĞŵĞŶƚ</w:t>
            </w:r>
            <w:r>
              <w:rPr>
                <w:rFonts w:ascii="PMingLiU" w:cs="PMingLiU" w:eastAsia="PMingLiU" w:hAnsi="PMingLiU"/>
                <w:sz w:val="20"/>
                <w:szCs w:val="20"/>
                <w:color w:val="auto"/>
              </w:rPr>
              <w:t/>
            </w:r>
          </w:p>
        </w:tc>
        <w:tc>
          <w:tcPr>
            <w:tcW w:w="760" w:type="dxa"/>
            <w:vAlign w:val="bottom"/>
          </w:tcPr>
          <w:p>
            <w:pPr>
              <w:jc w:val="right"/>
              <w:ind w:right="4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r>
      <w:tr>
        <w:trPr>
          <w:trHeight w:val="242"/>
        </w:trPr>
        <w:tc>
          <w:tcPr>
            <w:tcW w:w="2060" w:type="dxa"/>
            <w:vAlign w:val="bottom"/>
            <w:gridSpan w:val="4"/>
          </w:tcPr>
          <w:p>
            <w:pPr>
              <w:ind w:left="20"/>
              <w:spacing w:after="0" w:line="243" w:lineRule="exact"/>
              <w:rPr>
                <w:sz w:val="20"/>
                <w:szCs w:val="20"/>
                <w:color w:val="auto"/>
              </w:rPr>
            </w:pPr>
            <w:r>
              <w:rPr>
                <w:rFonts w:ascii="PMingLiU" w:cs="PMingLiU" w:eastAsia="PMingLiU" w:hAnsi="PMingLiU"/>
                <w:sz w:val="20"/>
                <w:szCs w:val="20"/>
                <w:color w:val="auto"/>
              </w:rPr>
              <w:t/>
            </w:r>
            <w:r>
              <w:rPr>
                <w:rFonts w:ascii="Arial" w:cs="Arial" w:eastAsia="Arial" w:hAnsi="Arial"/>
                <w:sz w:val="20"/>
                <w:szCs w:val="20"/>
                <w:color w:val="auto"/>
              </w:rPr>
              <w:t>ĂǀŝĚ</w:t>
            </w:r>
            <w:r>
              <w:rPr>
                <w:rFonts w:ascii="PMingLiU" w:cs="PMingLiU" w:eastAsia="PMingLiU" w:hAnsi="PMingLiU"/>
                <w:sz w:val="20"/>
                <w:szCs w:val="20"/>
                <w:color w:val="auto"/>
              </w:rPr>
              <w:t/>
            </w:r>
            <w:r>
              <w:rPr>
                <w:rFonts w:ascii="Arial" w:cs="Arial" w:eastAsia="Arial" w:hAnsi="Arial"/>
                <w:sz w:val="20"/>
                <w:szCs w:val="20"/>
                <w:color w:val="auto"/>
              </w:rPr>
              <w:t>ďƐǁŽƌƚŚ͕</w:t>
            </w:r>
            <w:r>
              <w:rPr>
                <w:rFonts w:ascii="PMingLiU" w:cs="PMingLiU" w:eastAsia="PMingLiU" w:hAnsi="PMingLiU"/>
                <w:sz w:val="20"/>
                <w:szCs w:val="20"/>
                <w:color w:val="auto"/>
              </w:rPr>
              <w:t/>
            </w:r>
            <w:r>
              <w:rPr>
                <w:rFonts w:ascii="Arial" w:cs="Arial" w:eastAsia="Arial" w:hAnsi="Arial"/>
                <w:sz w:val="20"/>
                <w:szCs w:val="20"/>
                <w:color w:val="auto"/>
              </w:rPr>
              <w:t>WŚ͘</w:t>
            </w: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2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4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ind w:right="4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5"/>
        </w:trPr>
        <w:tc>
          <w:tcPr>
            <w:tcW w:w="4080" w:type="dxa"/>
            <w:vAlign w:val="bottom"/>
            <w:gridSpan w:val="8"/>
          </w:tcPr>
          <w:p>
            <w:pPr>
              <w:ind w:left="20"/>
              <w:spacing w:after="0" w:line="243" w:lineRule="exact"/>
              <w:rPr>
                <w:sz w:val="20"/>
                <w:szCs w:val="20"/>
                <w:color w:val="auto"/>
              </w:rPr>
            </w:pPr>
            <w:r>
              <w:rPr>
                <w:rFonts w:ascii="PMingLiU" w:cs="PMingLiU" w:eastAsia="PMingLiU" w:hAnsi="PMingLiU"/>
                <w:sz w:val="20"/>
                <w:szCs w:val="20"/>
                <w:color w:val="auto"/>
                <w:w w:val="94"/>
              </w:rPr>
              <w:t/>
            </w:r>
            <w:r>
              <w:rPr>
                <w:rFonts w:ascii="Arial" w:cs="Arial" w:eastAsia="Arial" w:hAnsi="Arial"/>
                <w:sz w:val="20"/>
                <w:szCs w:val="20"/>
                <w:color w:val="auto"/>
                <w:w w:val="94"/>
              </w:rPr>
              <w:t>ŚĂŝƌƉĞƌƐŽŶ</w:t>
            </w:r>
            <w:r>
              <w:rPr>
                <w:rFonts w:ascii="PMingLiU" w:cs="PMingLiU" w:eastAsia="PMingLiU" w:hAnsi="PMingLiU"/>
                <w:sz w:val="20"/>
                <w:szCs w:val="20"/>
                <w:color w:val="auto"/>
                <w:w w:val="94"/>
              </w:rPr>
              <w:t/>
            </w:r>
            <w:r>
              <w:rPr>
                <w:rFonts w:ascii="Arial" w:cs="Arial" w:eastAsia="Arial" w:hAnsi="Arial"/>
                <w:sz w:val="20"/>
                <w:szCs w:val="20"/>
                <w:color w:val="auto"/>
                <w:w w:val="94"/>
              </w:rPr>
              <w:t>ŽĨ</w:t>
            </w:r>
            <w:r>
              <w:rPr>
                <w:rFonts w:ascii="PMingLiU" w:cs="PMingLiU" w:eastAsia="PMingLiU" w:hAnsi="PMingLiU"/>
                <w:sz w:val="20"/>
                <w:szCs w:val="20"/>
                <w:color w:val="auto"/>
                <w:w w:val="94"/>
              </w:rPr>
              <w:t/>
            </w:r>
            <w:r>
              <w:rPr>
                <w:rFonts w:ascii="Arial" w:cs="Arial" w:eastAsia="Arial" w:hAnsi="Arial"/>
                <w:sz w:val="20"/>
                <w:szCs w:val="20"/>
                <w:color w:val="auto"/>
                <w:w w:val="94"/>
              </w:rPr>
              <w:t>ƚŚĞ</w:t>
            </w:r>
            <w:r>
              <w:rPr>
                <w:rFonts w:ascii="PMingLiU" w:cs="PMingLiU" w:eastAsia="PMingLiU" w:hAnsi="PMingLiU"/>
                <w:sz w:val="20"/>
                <w:szCs w:val="20"/>
                <w:color w:val="auto"/>
                <w:w w:val="94"/>
              </w:rPr>
              <w:t/>
            </w:r>
            <w:r>
              <w:rPr>
                <w:rFonts w:ascii="Arial" w:cs="Arial" w:eastAsia="Arial" w:hAnsi="Arial"/>
                <w:sz w:val="20"/>
                <w:szCs w:val="20"/>
                <w:color w:val="auto"/>
                <w:w w:val="94"/>
              </w:rPr>
              <w:t>ŽĂƌĚ͕</w:t>
            </w:r>
            <w:r>
              <w:rPr>
                <w:rFonts w:ascii="PMingLiU" w:cs="PMingLiU" w:eastAsia="PMingLiU" w:hAnsi="PMingLiU"/>
                <w:sz w:val="20"/>
                <w:szCs w:val="20"/>
                <w:color w:val="auto"/>
                <w:w w:val="94"/>
              </w:rPr>
              <w:t/>
            </w:r>
            <w:r>
              <w:rPr>
                <w:rFonts w:ascii="Arial" w:cs="Arial" w:eastAsia="Arial" w:hAnsi="Arial"/>
                <w:sz w:val="20"/>
                <w:szCs w:val="20"/>
                <w:color w:val="auto"/>
                <w:w w:val="94"/>
              </w:rPr>
              <w:t>sĞƌŽŶĂ</w:t>
            </w:r>
            <w:r>
              <w:rPr>
                <w:rFonts w:ascii="PMingLiU" w:cs="PMingLiU" w:eastAsia="PMingLiU" w:hAnsi="PMingLiU"/>
                <w:sz w:val="20"/>
                <w:szCs w:val="20"/>
                <w:color w:val="auto"/>
                <w:w w:val="94"/>
              </w:rPr>
              <w:t/>
            </w:r>
            <w:r>
              <w:rPr>
                <w:rFonts w:ascii="Arial" w:cs="Arial" w:eastAsia="Arial" w:hAnsi="Arial"/>
                <w:sz w:val="20"/>
                <w:szCs w:val="20"/>
                <w:color w:val="auto"/>
                <w:w w:val="94"/>
              </w:rPr>
              <w:t>WŚĂƌŵĂ</w:t>
            </w:r>
            <w:r>
              <w:rPr>
                <w:rFonts w:ascii="PMingLiU" w:cs="PMingLiU" w:eastAsia="PMingLiU" w:hAnsi="PMingLiU"/>
                <w:sz w:val="20"/>
                <w:szCs w:val="20"/>
                <w:color w:val="auto"/>
                <w:w w:val="94"/>
              </w:rPr>
              <w:t/>
            </w:r>
            <w:r>
              <w:rPr>
                <w:rFonts w:ascii="Arial" w:cs="Arial" w:eastAsia="Arial" w:hAnsi="Arial"/>
                <w:sz w:val="20"/>
                <w:szCs w:val="20"/>
                <w:color w:val="auto"/>
                <w:w w:val="94"/>
              </w:rPr>
              <w:t>ĂŶĚ</w:t>
            </w:r>
            <w:r>
              <w:rPr>
                <w:rFonts w:ascii="PMingLiU" w:cs="PMingLiU" w:eastAsia="PMingLiU" w:hAnsi="PMingLiU"/>
                <w:sz w:val="20"/>
                <w:szCs w:val="20"/>
                <w:color w:val="auto"/>
                <w:w w:val="94"/>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3600" w:type="dxa"/>
            <w:vAlign w:val="bottom"/>
            <w:gridSpan w:val="6"/>
          </w:tcPr>
          <w:p>
            <w:pPr>
              <w:ind w:left="220"/>
              <w:spacing w:after="0" w:line="243" w:lineRule="exact"/>
              <w:rPr>
                <w:sz w:val="20"/>
                <w:szCs w:val="20"/>
                <w:color w:val="auto"/>
              </w:rPr>
            </w:pPr>
            <w:r>
              <w:rPr>
                <w:rFonts w:ascii="PMingLiU" w:cs="PMingLiU" w:eastAsia="PMingLiU" w:hAnsi="PMingLiU"/>
                <w:sz w:val="20"/>
                <w:szCs w:val="20"/>
                <w:color w:val="auto"/>
                <w:w w:val="98"/>
              </w:rPr>
              <w:t/>
            </w:r>
            <w:r>
              <w:rPr>
                <w:rFonts w:ascii="Arial" w:cs="Arial" w:eastAsia="Arial" w:hAnsi="Arial"/>
                <w:sz w:val="20"/>
                <w:szCs w:val="20"/>
                <w:color w:val="auto"/>
                <w:w w:val="98"/>
              </w:rPr>
              <w:t>Ŷ</w:t>
            </w:r>
            <w:r>
              <w:rPr>
                <w:rFonts w:ascii="PMingLiU" w:cs="PMingLiU" w:eastAsia="PMingLiU" w:hAnsi="PMingLiU"/>
                <w:sz w:val="20"/>
                <w:szCs w:val="20"/>
                <w:color w:val="auto"/>
                <w:w w:val="98"/>
              </w:rPr>
              <w:t/>
            </w:r>
            <w:r>
              <w:rPr>
                <w:rFonts w:ascii="Arial" w:cs="Arial" w:eastAsia="Arial" w:hAnsi="Arial"/>
                <w:sz w:val="20"/>
                <w:szCs w:val="20"/>
                <w:color w:val="auto"/>
                <w:w w:val="98"/>
              </w:rPr>
              <w:t>ŶŶƵĂů</w:t>
            </w:r>
            <w:r>
              <w:rPr>
                <w:rFonts w:ascii="PMingLiU" w:cs="PMingLiU" w:eastAsia="PMingLiU" w:hAnsi="PMingLiU"/>
                <w:sz w:val="20"/>
                <w:szCs w:val="20"/>
                <w:color w:val="auto"/>
                <w:w w:val="98"/>
              </w:rPr>
              <w:t/>
            </w:r>
            <w:r>
              <w:rPr>
                <w:rFonts w:ascii="Arial" w:cs="Arial" w:eastAsia="Arial" w:hAnsi="Arial"/>
                <w:sz w:val="20"/>
                <w:szCs w:val="20"/>
                <w:color w:val="auto"/>
                <w:w w:val="98"/>
              </w:rPr>
              <w:t>ZĞƉŽƌƚ͕</w:t>
            </w:r>
            <w:r>
              <w:rPr>
                <w:rFonts w:ascii="PMingLiU" w:cs="PMingLiU" w:eastAsia="PMingLiU" w:hAnsi="PMingLiU"/>
                <w:sz w:val="20"/>
                <w:szCs w:val="20"/>
                <w:color w:val="auto"/>
                <w:w w:val="98"/>
              </w:rPr>
              <w:t/>
            </w:r>
            <w:r>
              <w:rPr>
                <w:rFonts w:ascii="Arial" w:cs="Arial" w:eastAsia="Arial" w:hAnsi="Arial"/>
                <w:sz w:val="20"/>
                <w:szCs w:val="20"/>
                <w:color w:val="auto"/>
                <w:w w:val="98"/>
              </w:rPr>
              <w:t>Ă</w:t>
            </w:r>
            <w:r>
              <w:rPr>
                <w:rFonts w:ascii="PMingLiU" w:cs="PMingLiU" w:eastAsia="PMingLiU" w:hAnsi="PMingLiU"/>
                <w:sz w:val="20"/>
                <w:szCs w:val="20"/>
                <w:color w:val="auto"/>
                <w:w w:val="98"/>
              </w:rPr>
              <w:t/>
            </w:r>
            <w:r>
              <w:rPr>
                <w:rFonts w:ascii="Arial" w:cs="Arial" w:eastAsia="Arial" w:hAnsi="Arial"/>
                <w:sz w:val="20"/>
                <w:szCs w:val="20"/>
                <w:color w:val="auto"/>
                <w:w w:val="98"/>
              </w:rPr>
              <w:t>WƌŽǆǇ</w:t>
            </w:r>
            <w:r>
              <w:rPr>
                <w:rFonts w:ascii="PMingLiU" w:cs="PMingLiU" w:eastAsia="PMingLiU" w:hAnsi="PMingLiU"/>
                <w:sz w:val="20"/>
                <w:szCs w:val="20"/>
                <w:color w:val="auto"/>
                <w:w w:val="98"/>
              </w:rPr>
              <w:t/>
            </w:r>
            <w:r>
              <w:rPr>
                <w:rFonts w:ascii="Arial" w:cs="Arial" w:eastAsia="Arial" w:hAnsi="Arial"/>
                <w:sz w:val="20"/>
                <w:szCs w:val="20"/>
                <w:color w:val="auto"/>
                <w:w w:val="98"/>
              </w:rPr>
              <w:t>^ƚĂƚĞŵĞŶƚ</w:t>
            </w:r>
            <w:r>
              <w:rPr>
                <w:rFonts w:ascii="PMingLiU" w:cs="PMingLiU" w:eastAsia="PMingLiU" w:hAnsi="PMingLiU"/>
                <w:sz w:val="20"/>
                <w:szCs w:val="20"/>
                <w:color w:val="auto"/>
                <w:w w:val="98"/>
              </w:rPr>
              <w:t/>
            </w:r>
          </w:p>
        </w:tc>
      </w:tr>
      <w:tr>
        <w:trPr>
          <w:trHeight w:val="245"/>
        </w:trPr>
        <w:tc>
          <w:tcPr>
            <w:tcW w:w="3420" w:type="dxa"/>
            <w:vAlign w:val="bottom"/>
            <w:gridSpan w:val="7"/>
          </w:tcPr>
          <w:p>
            <w:pPr>
              <w:ind w:left="20"/>
              <w:spacing w:after="0" w:line="243" w:lineRule="exact"/>
              <w:rPr>
                <w:sz w:val="20"/>
                <w:szCs w:val="20"/>
                <w:color w:val="auto"/>
              </w:rPr>
            </w:pPr>
            <w:r>
              <w:rPr>
                <w:rFonts w:ascii="Arial" w:cs="Arial" w:eastAsia="Arial" w:hAnsi="Arial"/>
                <w:sz w:val="20"/>
                <w:szCs w:val="20"/>
                <w:color w:val="auto"/>
                <w:w w:val="97"/>
              </w:rPr>
              <w:t>EŽŶͲ</w:t>
            </w:r>
            <w:r>
              <w:rPr>
                <w:rFonts w:ascii="PMingLiU" w:cs="PMingLiU" w:eastAsia="PMingLiU" w:hAnsi="PMingLiU"/>
                <w:sz w:val="20"/>
                <w:szCs w:val="20"/>
                <w:color w:val="auto"/>
                <w:w w:val="97"/>
              </w:rPr>
              <w:t/>
            </w:r>
            <w:r>
              <w:rPr>
                <w:rFonts w:ascii="Arial" w:cs="Arial" w:eastAsia="Arial" w:hAnsi="Arial"/>
                <w:sz w:val="20"/>
                <w:szCs w:val="20"/>
                <w:color w:val="auto"/>
                <w:w w:val="97"/>
              </w:rPr>
              <w:t>ǆĞĐƵƚŝǀĞ</w:t>
            </w:r>
            <w:r>
              <w:rPr>
                <w:rFonts w:ascii="PMingLiU" w:cs="PMingLiU" w:eastAsia="PMingLiU" w:hAnsi="PMingLiU"/>
                <w:sz w:val="20"/>
                <w:szCs w:val="20"/>
                <w:color w:val="auto"/>
                <w:w w:val="97"/>
              </w:rPr>
              <w:t/>
            </w:r>
            <w:r>
              <w:rPr>
                <w:rFonts w:ascii="Arial" w:cs="Arial" w:eastAsia="Arial" w:hAnsi="Arial"/>
                <w:sz w:val="20"/>
                <w:szCs w:val="20"/>
                <w:color w:val="auto"/>
                <w:w w:val="97"/>
              </w:rPr>
              <w:t>ŝƌĞĐƚŽƌ</w:t>
            </w:r>
            <w:r>
              <w:rPr>
                <w:rFonts w:ascii="PMingLiU" w:cs="PMingLiU" w:eastAsia="PMingLiU" w:hAnsi="PMingLiU"/>
                <w:sz w:val="20"/>
                <w:szCs w:val="20"/>
                <w:color w:val="auto"/>
                <w:w w:val="97"/>
              </w:rPr>
              <w:t/>
            </w:r>
            <w:r>
              <w:rPr>
                <w:rFonts w:ascii="Arial" w:cs="Arial" w:eastAsia="Arial" w:hAnsi="Arial"/>
                <w:sz w:val="20"/>
                <w:szCs w:val="20"/>
                <w:color w:val="auto"/>
                <w:w w:val="97"/>
              </w:rPr>
              <w:t>ŽĨ</w:t>
            </w:r>
            <w:r>
              <w:rPr>
                <w:rFonts w:ascii="PMingLiU" w:cs="PMingLiU" w:eastAsia="PMingLiU" w:hAnsi="PMingLiU"/>
                <w:sz w:val="20"/>
                <w:szCs w:val="20"/>
                <w:color w:val="auto"/>
                <w:w w:val="97"/>
              </w:rPr>
              <w:t/>
            </w:r>
            <w:r>
              <w:rPr>
                <w:rFonts w:ascii="Arial" w:cs="Arial" w:eastAsia="Arial" w:hAnsi="Arial"/>
                <w:sz w:val="20"/>
                <w:szCs w:val="20"/>
                <w:color w:val="auto"/>
                <w:w w:val="97"/>
              </w:rPr>
              <w:t>^ĂƌƚŽƌŝƵƐ</w:t>
            </w:r>
            <w:r>
              <w:rPr>
                <w:rFonts w:ascii="PMingLiU" w:cs="PMingLiU" w:eastAsia="PMingLiU" w:hAnsi="PMingLiU"/>
                <w:sz w:val="20"/>
                <w:szCs w:val="20"/>
                <w:color w:val="auto"/>
                <w:w w:val="97"/>
              </w:rPr>
              <w:t/>
            </w:r>
            <w:r>
              <w:rPr>
                <w:rFonts w:ascii="Arial" w:cs="Arial" w:eastAsia="Arial" w:hAnsi="Arial"/>
                <w:sz w:val="20"/>
                <w:szCs w:val="20"/>
                <w:color w:val="auto"/>
                <w:w w:val="97"/>
              </w:rPr>
              <w:t>'</w:t>
            </w:r>
            <w:r>
              <w:rPr>
                <w:rFonts w:ascii="PMingLiU" w:cs="PMingLiU" w:eastAsia="PMingLiU" w:hAnsi="PMingLiU"/>
                <w:sz w:val="20"/>
                <w:szCs w:val="20"/>
                <w:color w:val="auto"/>
                <w:w w:val="97"/>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3600" w:type="dxa"/>
            <w:vAlign w:val="bottom"/>
            <w:gridSpan w:val="6"/>
          </w:tcPr>
          <w:p>
            <w:pPr>
              <w:ind w:left="220"/>
              <w:spacing w:after="0" w:line="243" w:lineRule="exact"/>
              <w:rPr>
                <w:sz w:val="20"/>
                <w:szCs w:val="20"/>
                <w:color w:val="auto"/>
              </w:rPr>
            </w:pPr>
            <w:r>
              <w:rPr>
                <w:rFonts w:ascii="Arial" w:cs="Arial" w:eastAsia="Arial" w:hAnsi="Arial"/>
                <w:sz w:val="20"/>
                <w:szCs w:val="20"/>
                <w:color w:val="auto"/>
              </w:rPr>
              <w:t>ĂŶĚ</w:t>
            </w:r>
            <w:r>
              <w:rPr>
                <w:rFonts w:ascii="PMingLiU" w:cs="PMingLiU" w:eastAsia="PMingLiU" w:hAnsi="PMingLiU"/>
                <w:sz w:val="20"/>
                <w:szCs w:val="20"/>
                <w:color w:val="auto"/>
              </w:rPr>
              <w:t/>
            </w:r>
            <w:r>
              <w:rPr>
                <w:rFonts w:ascii="Arial" w:cs="Arial" w:eastAsia="Arial" w:hAnsi="Arial"/>
                <w:sz w:val="20"/>
                <w:szCs w:val="20"/>
                <w:color w:val="auto"/>
              </w:rPr>
              <w:t>Ă</w:t>
            </w:r>
            <w:r>
              <w:rPr>
                <w:rFonts w:ascii="PMingLiU" w:cs="PMingLiU" w:eastAsia="PMingLiU" w:hAnsi="PMingLiU"/>
                <w:sz w:val="20"/>
                <w:szCs w:val="20"/>
                <w:color w:val="auto"/>
              </w:rPr>
              <w:t/>
            </w:r>
            <w:r>
              <w:rPr>
                <w:rFonts w:ascii="Arial" w:cs="Arial" w:eastAsia="Arial" w:hAnsi="Arial"/>
                <w:sz w:val="20"/>
                <w:szCs w:val="20"/>
                <w:color w:val="auto"/>
              </w:rPr>
              <w:t>ĨŽƌŵ</w:t>
            </w:r>
            <w:r>
              <w:rPr>
                <w:rFonts w:ascii="PMingLiU" w:cs="PMingLiU" w:eastAsia="PMingLiU" w:hAnsi="PMingLiU"/>
                <w:sz w:val="20"/>
                <w:szCs w:val="20"/>
                <w:color w:val="auto"/>
              </w:rPr>
              <w:t/>
            </w:r>
            <w:r>
              <w:rPr>
                <w:rFonts w:ascii="Arial" w:cs="Arial" w:eastAsia="Arial" w:hAnsi="Arial"/>
                <w:sz w:val="20"/>
                <w:szCs w:val="20"/>
                <w:color w:val="auto"/>
              </w:rPr>
              <w:t>ŽĨ</w:t>
            </w:r>
            <w:r>
              <w:rPr>
                <w:rFonts w:ascii="PMingLiU" w:cs="PMingLiU" w:eastAsia="PMingLiU" w:hAnsi="PMingLiU"/>
                <w:sz w:val="20"/>
                <w:szCs w:val="20"/>
                <w:color w:val="auto"/>
              </w:rPr>
              <w:t/>
            </w:r>
            <w:r>
              <w:rPr>
                <w:rFonts w:ascii="Arial" w:cs="Arial" w:eastAsia="Arial" w:hAnsi="Arial"/>
                <w:sz w:val="20"/>
                <w:szCs w:val="20"/>
                <w:color w:val="auto"/>
              </w:rPr>
              <w:t>WƌŽǆǇ</w:t>
            </w:r>
            <w:r>
              <w:rPr>
                <w:rFonts w:ascii="PMingLiU" w:cs="PMingLiU" w:eastAsia="PMingLiU" w:hAnsi="PMingLiU"/>
                <w:sz w:val="20"/>
                <w:szCs w:val="20"/>
                <w:color w:val="auto"/>
              </w:rPr>
              <w:t/>
            </w:r>
            <w:r>
              <w:rPr>
                <w:rFonts w:ascii="Arial" w:cs="Arial" w:eastAsia="Arial" w:hAnsi="Arial"/>
                <w:sz w:val="20"/>
                <w:szCs w:val="20"/>
                <w:color w:val="auto"/>
              </w:rPr>
              <w:t>;Žƌ</w:t>
            </w:r>
            <w:r>
              <w:rPr>
                <w:rFonts w:ascii="PMingLiU" w:cs="PMingLiU" w:eastAsia="PMingLiU" w:hAnsi="PMingLiU"/>
                <w:sz w:val="20"/>
                <w:szCs w:val="20"/>
                <w:color w:val="auto"/>
              </w:rPr>
              <w:t/>
            </w:r>
            <w:r>
              <w:rPr>
                <w:rFonts w:ascii="Arial" w:cs="Arial" w:eastAsia="Arial" w:hAnsi="Arial"/>
                <w:sz w:val="20"/>
                <w:szCs w:val="20"/>
                <w:color w:val="auto"/>
              </w:rPr>
              <w:t>^</w:t>
            </w:r>
            <w:r>
              <w:rPr>
                <w:rFonts w:ascii="PMingLiU" w:cs="PMingLiU" w:eastAsia="PMingLiU" w:hAnsi="PMingLiU"/>
                <w:sz w:val="20"/>
                <w:szCs w:val="20"/>
                <w:color w:val="auto"/>
              </w:rPr>
              <w:t/>
            </w:r>
            <w:r>
              <w:rPr>
                <w:rFonts w:ascii="Arial" w:cs="Arial" w:eastAsia="Arial" w:hAnsi="Arial"/>
                <w:sz w:val="20"/>
                <w:szCs w:val="20"/>
                <w:color w:val="auto"/>
              </w:rPr>
              <w:t>ǀŽƚŝŶŐ</w:t>
            </w:r>
            <w:r>
              <w:rPr>
                <w:rFonts w:ascii="PMingLiU" w:cs="PMingLiU" w:eastAsia="PMingLiU" w:hAnsi="PMingLiU"/>
                <w:sz w:val="20"/>
                <w:szCs w:val="20"/>
                <w:color w:val="auto"/>
              </w:rPr>
              <w:t/>
            </w:r>
          </w:p>
        </w:tc>
      </w:tr>
      <w:tr>
        <w:trPr>
          <w:trHeight w:val="242"/>
        </w:trPr>
        <w:tc>
          <w:tcPr>
            <w:tcW w:w="40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3600" w:type="dxa"/>
            <w:vAlign w:val="bottom"/>
            <w:gridSpan w:val="6"/>
          </w:tcPr>
          <w:p>
            <w:pPr>
              <w:ind w:left="220"/>
              <w:spacing w:after="0" w:line="243" w:lineRule="exact"/>
              <w:rPr>
                <w:sz w:val="20"/>
                <w:szCs w:val="20"/>
                <w:color w:val="auto"/>
              </w:rPr>
            </w:pPr>
            <w:r>
              <w:rPr>
                <w:rFonts w:ascii="Arial" w:cs="Arial" w:eastAsia="Arial" w:hAnsi="Arial"/>
                <w:sz w:val="20"/>
                <w:szCs w:val="20"/>
                <w:color w:val="auto"/>
                <w:w w:val="98"/>
              </w:rPr>
              <w:t>ŝŶƐƚƌƵĐƚŝŽŶƐͿ</w:t>
            </w:r>
            <w:r>
              <w:rPr>
                <w:rFonts w:ascii="PMingLiU" w:cs="PMingLiU" w:eastAsia="PMingLiU" w:hAnsi="PMingLiU"/>
                <w:sz w:val="20"/>
                <w:szCs w:val="20"/>
                <w:color w:val="auto"/>
                <w:w w:val="98"/>
              </w:rPr>
              <w:t/>
            </w:r>
            <w:r>
              <w:rPr>
                <w:rFonts w:ascii="Arial" w:cs="Arial" w:eastAsia="Arial" w:hAnsi="Arial"/>
                <w:sz w:val="20"/>
                <w:szCs w:val="20"/>
                <w:color w:val="auto"/>
                <w:w w:val="98"/>
              </w:rPr>
              <w:t>ǁŝůů</w:t>
            </w:r>
            <w:r>
              <w:rPr>
                <w:rFonts w:ascii="PMingLiU" w:cs="PMingLiU" w:eastAsia="PMingLiU" w:hAnsi="PMingLiU"/>
                <w:sz w:val="20"/>
                <w:szCs w:val="20"/>
                <w:color w:val="auto"/>
                <w:w w:val="98"/>
              </w:rPr>
              <w:t/>
            </w:r>
            <w:r>
              <w:rPr>
                <w:rFonts w:ascii="Arial" w:cs="Arial" w:eastAsia="Arial" w:hAnsi="Arial"/>
                <w:sz w:val="20"/>
                <w:szCs w:val="20"/>
                <w:color w:val="auto"/>
                <w:w w:val="98"/>
              </w:rPr>
              <w:t>ďĞ</w:t>
            </w:r>
            <w:r>
              <w:rPr>
                <w:rFonts w:ascii="PMingLiU" w:cs="PMingLiU" w:eastAsia="PMingLiU" w:hAnsi="PMingLiU"/>
                <w:sz w:val="20"/>
                <w:szCs w:val="20"/>
                <w:color w:val="auto"/>
                <w:w w:val="98"/>
              </w:rPr>
              <w:t/>
            </w:r>
            <w:r>
              <w:rPr>
                <w:rFonts w:ascii="Arial" w:cs="Arial" w:eastAsia="Arial" w:hAnsi="Arial"/>
                <w:sz w:val="20"/>
                <w:szCs w:val="20"/>
                <w:color w:val="auto"/>
                <w:w w:val="98"/>
              </w:rPr>
              <w:t>ĨƵƌŶŝƐŚĞĚ</w:t>
            </w:r>
            <w:r>
              <w:rPr>
                <w:rFonts w:ascii="PMingLiU" w:cs="PMingLiU" w:eastAsia="PMingLiU" w:hAnsi="PMingLiU"/>
                <w:sz w:val="20"/>
                <w:szCs w:val="20"/>
                <w:color w:val="auto"/>
                <w:w w:val="98"/>
              </w:rPr>
              <w:t/>
            </w:r>
            <w:r>
              <w:rPr>
                <w:rFonts w:ascii="Arial" w:cs="Arial" w:eastAsia="Arial" w:hAnsi="Arial"/>
                <w:sz w:val="20"/>
                <w:szCs w:val="20"/>
                <w:color w:val="auto"/>
                <w:w w:val="98"/>
              </w:rPr>
              <w:t>ƚŽ</w:t>
            </w:r>
            <w:r>
              <w:rPr>
                <w:rFonts w:ascii="PMingLiU" w:cs="PMingLiU" w:eastAsia="PMingLiU" w:hAnsi="PMingLiU"/>
                <w:sz w:val="20"/>
                <w:szCs w:val="20"/>
                <w:color w:val="auto"/>
                <w:w w:val="98"/>
              </w:rPr>
              <w:t>  </w:t>
            </w:r>
          </w:p>
        </w:tc>
      </w:tr>
      <w:tr>
        <w:trPr>
          <w:trHeight w:val="245"/>
        </w:trPr>
        <w:tc>
          <w:tcPr>
            <w:tcW w:w="2800" w:type="dxa"/>
            <w:vAlign w:val="bottom"/>
            <w:gridSpan w:val="5"/>
          </w:tcPr>
          <w:p>
            <w:pPr>
              <w:ind w:left="20"/>
              <w:spacing w:after="0" w:line="243" w:lineRule="exact"/>
              <w:rPr>
                <w:sz w:val="20"/>
                <w:szCs w:val="20"/>
                <w:color w:val="auto"/>
              </w:rPr>
            </w:pPr>
            <w:r>
              <w:rPr>
                <w:rFonts w:ascii="PMingLiU" w:cs="PMingLiU" w:eastAsia="PMingLiU" w:hAnsi="PMingLiU"/>
                <w:sz w:val="20"/>
                <w:szCs w:val="20"/>
                <w:color w:val="auto"/>
              </w:rPr>
              <w:t/>
            </w:r>
            <w:r>
              <w:rPr>
                <w:rFonts w:ascii="Arial" w:cs="Arial" w:eastAsia="Arial" w:hAnsi="Arial"/>
                <w:sz w:val="20"/>
                <w:szCs w:val="20"/>
                <w:color w:val="auto"/>
              </w:rPr>
              <w:t>ĂǀŝĚ</w:t>
            </w:r>
            <w:r>
              <w:rPr>
                <w:rFonts w:ascii="PMingLiU" w:cs="PMingLiU" w:eastAsia="PMingLiU" w:hAnsi="PMingLiU"/>
                <w:sz w:val="20"/>
                <w:szCs w:val="20"/>
                <w:color w:val="auto"/>
              </w:rPr>
              <w:t></w:t>
            </w:r>
            <w:r>
              <w:rPr>
                <w:rFonts w:ascii="Arial" w:cs="Arial" w:eastAsia="Arial" w:hAnsi="Arial"/>
                <w:sz w:val="20"/>
                <w:szCs w:val="20"/>
                <w:color w:val="auto"/>
              </w:rPr>
              <w:t>ĂĐĐĂƌĚĞůůŝ͕</w:t>
            </w:r>
            <w:r>
              <w:rPr>
                <w:rFonts w:ascii="PMingLiU" w:cs="PMingLiU" w:eastAsia="PMingLiU" w:hAnsi="PMingLiU"/>
                <w:sz w:val="20"/>
                <w:szCs w:val="20"/>
                <w:color w:val="auto"/>
              </w:rPr>
              <w:t/>
            </w:r>
            <w:r>
              <w:rPr>
                <w:rFonts w:ascii="Arial" w:cs="Arial" w:eastAsia="Arial" w:hAnsi="Arial"/>
                <w:sz w:val="20"/>
                <w:szCs w:val="20"/>
                <w:color w:val="auto"/>
              </w:rPr>
              <w:t>WŚĂƌŵ͘</w:t>
            </w:r>
            <w:r>
              <w:rPr>
                <w:rFonts w:ascii="PMingLiU" w:cs="PMingLiU" w:eastAsia="PMingLiU" w:hAnsi="PMingLiU"/>
                <w:sz w:val="20"/>
                <w:szCs w:val="20"/>
                <w:color w:val="auto"/>
              </w:rPr>
              <w:t/>
            </w:r>
            <w:r>
              <w:rPr>
                <w:rFonts w:ascii="Arial" w:cs="Arial" w:eastAsia="Arial" w:hAnsi="Arial"/>
                <w:sz w:val="20"/>
                <w:szCs w:val="20"/>
                <w:color w:val="auto"/>
              </w:rPr>
              <w:t>͘</w:t>
            </w: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3600" w:type="dxa"/>
            <w:vAlign w:val="bottom"/>
            <w:gridSpan w:val="6"/>
          </w:tcPr>
          <w:p>
            <w:pPr>
              <w:ind w:left="220"/>
              <w:spacing w:after="0" w:line="243" w:lineRule="exact"/>
              <w:rPr>
                <w:sz w:val="20"/>
                <w:szCs w:val="20"/>
                <w:color w:val="auto"/>
              </w:rPr>
            </w:pPr>
            <w:r>
              <w:rPr>
                <w:rFonts w:ascii="Arial" w:cs="Arial" w:eastAsia="Arial" w:hAnsi="Arial"/>
                <w:sz w:val="20"/>
                <w:szCs w:val="20"/>
                <w:color w:val="auto"/>
                <w:w w:val="95"/>
              </w:rPr>
              <w:t>ĞĂĐŚ</w:t>
            </w:r>
            <w:r>
              <w:rPr>
                <w:rFonts w:ascii="PMingLiU" w:cs="PMingLiU" w:eastAsia="PMingLiU" w:hAnsi="PMingLiU"/>
                <w:sz w:val="20"/>
                <w:szCs w:val="20"/>
                <w:color w:val="auto"/>
                <w:w w:val="95"/>
              </w:rPr>
              <w:t/>
            </w:r>
            <w:r>
              <w:rPr>
                <w:rFonts w:ascii="Arial" w:cs="Arial" w:eastAsia="Arial" w:hAnsi="Arial"/>
                <w:sz w:val="20"/>
                <w:szCs w:val="20"/>
                <w:color w:val="auto"/>
                <w:w w:val="95"/>
              </w:rPr>
              <w:t>ƐŚĂƌĞŚŽůĚĞƌ</w:t>
            </w:r>
            <w:r>
              <w:rPr>
                <w:rFonts w:ascii="PMingLiU" w:cs="PMingLiU" w:eastAsia="PMingLiU" w:hAnsi="PMingLiU"/>
                <w:sz w:val="20"/>
                <w:szCs w:val="20"/>
                <w:color w:val="auto"/>
                <w:w w:val="95"/>
              </w:rPr>
              <w:t/>
            </w:r>
            <w:r>
              <w:rPr>
                <w:rFonts w:ascii="Arial" w:cs="Arial" w:eastAsia="Arial" w:hAnsi="Arial"/>
                <w:sz w:val="20"/>
                <w:szCs w:val="20"/>
                <w:color w:val="auto"/>
                <w:w w:val="95"/>
              </w:rPr>
              <w:t>ĂŶĚ</w:t>
            </w:r>
            <w:r>
              <w:rPr>
                <w:rFonts w:ascii="PMingLiU" w:cs="PMingLiU" w:eastAsia="PMingLiU" w:hAnsi="PMingLiU"/>
                <w:sz w:val="20"/>
                <w:szCs w:val="20"/>
                <w:color w:val="auto"/>
                <w:w w:val="95"/>
              </w:rPr>
              <w:t/>
            </w:r>
            <w:r>
              <w:rPr>
                <w:rFonts w:ascii="Arial" w:cs="Arial" w:eastAsia="Arial" w:hAnsi="Arial"/>
                <w:sz w:val="20"/>
                <w:szCs w:val="20"/>
                <w:color w:val="auto"/>
                <w:w w:val="95"/>
              </w:rPr>
              <w:t>^</w:t>
            </w:r>
            <w:r>
              <w:rPr>
                <w:rFonts w:ascii="PMingLiU" w:cs="PMingLiU" w:eastAsia="PMingLiU" w:hAnsi="PMingLiU"/>
                <w:sz w:val="20"/>
                <w:szCs w:val="20"/>
                <w:color w:val="auto"/>
                <w:w w:val="95"/>
              </w:rPr>
              <w:t/>
            </w:r>
            <w:r>
              <w:rPr>
                <w:rFonts w:ascii="Arial" w:cs="Arial" w:eastAsia="Arial" w:hAnsi="Arial"/>
                <w:sz w:val="20"/>
                <w:szCs w:val="20"/>
                <w:color w:val="auto"/>
                <w:w w:val="95"/>
              </w:rPr>
              <w:t>ŚŽůĚĞƌ</w:t>
            </w:r>
            <w:r>
              <w:rPr>
                <w:rFonts w:ascii="PMingLiU" w:cs="PMingLiU" w:eastAsia="PMingLiU" w:hAnsi="PMingLiU"/>
                <w:sz w:val="20"/>
                <w:szCs w:val="20"/>
                <w:color w:val="auto"/>
                <w:w w:val="95"/>
              </w:rPr>
              <w:t/>
            </w:r>
            <w:r>
              <w:rPr>
                <w:rFonts w:ascii="Arial" w:cs="Arial" w:eastAsia="Arial" w:hAnsi="Arial"/>
                <w:sz w:val="20"/>
                <w:szCs w:val="20"/>
                <w:color w:val="auto"/>
                <w:w w:val="95"/>
              </w:rPr>
              <w:t>ĂƐ</w:t>
            </w:r>
            <w:r>
              <w:rPr>
                <w:rFonts w:ascii="PMingLiU" w:cs="PMingLiU" w:eastAsia="PMingLiU" w:hAnsi="PMingLiU"/>
                <w:sz w:val="20"/>
                <w:szCs w:val="20"/>
                <w:color w:val="auto"/>
                <w:w w:val="95"/>
              </w:rPr>
              <w:t/>
            </w:r>
          </w:p>
        </w:tc>
      </w:tr>
      <w:tr>
        <w:trPr>
          <w:trHeight w:val="245"/>
        </w:trPr>
        <w:tc>
          <w:tcPr>
            <w:tcW w:w="2800" w:type="dxa"/>
            <w:vAlign w:val="bottom"/>
            <w:gridSpan w:val="5"/>
          </w:tcPr>
          <w:p>
            <w:pPr>
              <w:ind w:left="20"/>
              <w:spacing w:after="0" w:line="243" w:lineRule="exact"/>
              <w:rPr>
                <w:sz w:val="20"/>
                <w:szCs w:val="20"/>
                <w:color w:val="auto"/>
              </w:rPr>
            </w:pPr>
            <w:r>
              <w:rPr>
                <w:rFonts w:ascii="Arial" w:cs="Arial" w:eastAsia="Arial" w:hAnsi="Arial"/>
                <w:sz w:val="20"/>
                <w:szCs w:val="20"/>
                <w:color w:val="auto"/>
                <w:w w:val="90"/>
              </w:rPr>
              <w:t>WƌĞƐŝĚĞŶƚ</w:t>
            </w:r>
            <w:r>
              <w:rPr>
                <w:rFonts w:ascii="PMingLiU" w:cs="PMingLiU" w:eastAsia="PMingLiU" w:hAnsi="PMingLiU"/>
                <w:sz w:val="20"/>
                <w:szCs w:val="20"/>
                <w:color w:val="auto"/>
                <w:w w:val="90"/>
              </w:rPr>
              <w:t/>
            </w:r>
            <w:r>
              <w:rPr>
                <w:rFonts w:ascii="Arial" w:cs="Arial" w:eastAsia="Arial" w:hAnsi="Arial"/>
                <w:sz w:val="20"/>
                <w:szCs w:val="20"/>
                <w:color w:val="auto"/>
                <w:w w:val="90"/>
              </w:rPr>
              <w:t>Θ</w:t>
            </w:r>
            <w:r>
              <w:rPr>
                <w:rFonts w:ascii="PMingLiU" w:cs="PMingLiU" w:eastAsia="PMingLiU" w:hAnsi="PMingLiU"/>
                <w:sz w:val="20"/>
                <w:szCs w:val="20"/>
                <w:color w:val="auto"/>
                <w:w w:val="90"/>
              </w:rPr>
              <w:t/>
            </w:r>
            <w:r>
              <w:rPr>
                <w:rFonts w:ascii="Arial" w:cs="Arial" w:eastAsia="Arial" w:hAnsi="Arial"/>
                <w:sz w:val="20"/>
                <w:szCs w:val="20"/>
                <w:color w:val="auto"/>
                <w:w w:val="90"/>
              </w:rPr>
              <w:t>K</w:t>
            </w:r>
            <w:r>
              <w:rPr>
                <w:rFonts w:ascii="PMingLiU" w:cs="PMingLiU" w:eastAsia="PMingLiU" w:hAnsi="PMingLiU"/>
                <w:sz w:val="20"/>
                <w:szCs w:val="20"/>
                <w:color w:val="auto"/>
                <w:w w:val="90"/>
              </w:rPr>
              <w:t/>
            </w:r>
            <w:r>
              <w:rPr>
                <w:rFonts w:ascii="Arial" w:cs="Arial" w:eastAsia="Arial" w:hAnsi="Arial"/>
                <w:sz w:val="20"/>
                <w:szCs w:val="20"/>
                <w:color w:val="auto"/>
                <w:w w:val="90"/>
              </w:rPr>
              <w:t>sĞƌŽŶĂ</w:t>
            </w:r>
            <w:r>
              <w:rPr>
                <w:rFonts w:ascii="PMingLiU" w:cs="PMingLiU" w:eastAsia="PMingLiU" w:hAnsi="PMingLiU"/>
                <w:sz w:val="20"/>
                <w:szCs w:val="20"/>
                <w:color w:val="auto"/>
                <w:w w:val="90"/>
              </w:rPr>
              <w:t/>
            </w:r>
            <w:r>
              <w:rPr>
                <w:rFonts w:ascii="Arial" w:cs="Arial" w:eastAsia="Arial" w:hAnsi="Arial"/>
                <w:sz w:val="20"/>
                <w:szCs w:val="20"/>
                <w:color w:val="auto"/>
                <w:w w:val="90"/>
              </w:rPr>
              <w:t>WŚĂƌŵĂ</w:t>
            </w:r>
            <w:r>
              <w:rPr>
                <w:rFonts w:ascii="PMingLiU" w:cs="PMingLiU" w:eastAsia="PMingLiU" w:hAnsi="PMingLiU"/>
                <w:sz w:val="20"/>
                <w:szCs w:val="20"/>
                <w:color w:val="auto"/>
                <w:w w:val="90"/>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3600" w:type="dxa"/>
            <w:vAlign w:val="bottom"/>
            <w:gridSpan w:val="6"/>
          </w:tcPr>
          <w:p>
            <w:pPr>
              <w:ind w:left="220"/>
              <w:spacing w:after="0" w:line="243" w:lineRule="exact"/>
              <w:rPr>
                <w:sz w:val="20"/>
                <w:szCs w:val="20"/>
                <w:color w:val="auto"/>
              </w:rPr>
            </w:pPr>
            <w:r>
              <w:rPr>
                <w:rFonts w:ascii="Arial" w:cs="Arial" w:eastAsia="Arial" w:hAnsi="Arial"/>
                <w:sz w:val="20"/>
                <w:szCs w:val="20"/>
                <w:color w:val="auto"/>
              </w:rPr>
              <w:t>ŽĨ</w:t>
            </w:r>
            <w:r>
              <w:rPr>
                <w:rFonts w:ascii="PMingLiU" w:cs="PMingLiU" w:eastAsia="PMingLiU" w:hAnsi="PMingLiU"/>
                <w:sz w:val="20"/>
                <w:szCs w:val="20"/>
                <w:color w:val="auto"/>
              </w:rPr>
              <w:t/>
            </w:r>
            <w:r>
              <w:rPr>
                <w:rFonts w:ascii="Arial" w:cs="Arial" w:eastAsia="Arial" w:hAnsi="Arial"/>
                <w:sz w:val="20"/>
                <w:szCs w:val="20"/>
                <w:color w:val="auto"/>
              </w:rPr>
              <w:t>ƚŚĞ</w:t>
            </w:r>
            <w:r>
              <w:rPr>
                <w:rFonts w:ascii="PMingLiU" w:cs="PMingLiU" w:eastAsia="PMingLiU" w:hAnsi="PMingLiU"/>
                <w:sz w:val="20"/>
                <w:szCs w:val="20"/>
                <w:color w:val="auto"/>
              </w:rPr>
              <w:t/>
            </w:r>
            <w:r>
              <w:rPr>
                <w:rFonts w:ascii="Arial" w:cs="Arial" w:eastAsia="Arial" w:hAnsi="Arial"/>
                <w:sz w:val="20"/>
                <w:szCs w:val="20"/>
                <w:color w:val="auto"/>
              </w:rPr>
              <w:t>ƌĞĐŽƌĚ</w:t>
            </w:r>
            <w:r>
              <w:rPr>
                <w:rFonts w:ascii="PMingLiU" w:cs="PMingLiU" w:eastAsia="PMingLiU" w:hAnsi="PMingLiU"/>
                <w:sz w:val="20"/>
                <w:szCs w:val="20"/>
                <w:color w:val="auto"/>
              </w:rPr>
              <w:t/>
            </w:r>
            <w:r>
              <w:rPr>
                <w:rFonts w:ascii="Arial" w:cs="Arial" w:eastAsia="Arial" w:hAnsi="Arial"/>
                <w:sz w:val="20"/>
                <w:szCs w:val="20"/>
                <w:color w:val="auto"/>
              </w:rPr>
              <w:t>ĚĂƚĞ</w:t>
            </w:r>
            <w:r>
              <w:rPr>
                <w:rFonts w:ascii="PMingLiU" w:cs="PMingLiU" w:eastAsia="PMingLiU" w:hAnsi="PMingLiU"/>
                <w:sz w:val="20"/>
                <w:szCs w:val="20"/>
                <w:color w:val="auto"/>
              </w:rPr>
              <w:t/>
            </w:r>
            <w:r>
              <w:rPr>
                <w:rFonts w:ascii="Arial" w:cs="Arial" w:eastAsia="Arial" w:hAnsi="Arial"/>
                <w:sz w:val="20"/>
                <w:szCs w:val="20"/>
                <w:color w:val="auto"/>
              </w:rPr>
              <w:t>ŽĨ</w:t>
            </w:r>
            <w:r>
              <w:rPr>
                <w:rFonts w:ascii="PMingLiU" w:cs="PMingLiU" w:eastAsia="PMingLiU" w:hAnsi="PMingLiU"/>
                <w:sz w:val="20"/>
                <w:szCs w:val="20"/>
                <w:color w:val="auto"/>
              </w:rPr>
              <w:t/>
            </w:r>
            <w:r>
              <w:rPr>
                <w:rFonts w:ascii="Arial" w:cs="Arial" w:eastAsia="Arial" w:hAnsi="Arial"/>
                <w:sz w:val="20"/>
                <w:szCs w:val="20"/>
                <w:color w:val="auto"/>
              </w:rPr>
              <w:t>DĂƌĐŚ</w:t>
            </w:r>
            <w:r>
              <w:rPr>
                <w:rFonts w:ascii="PMingLiU" w:cs="PMingLiU" w:eastAsia="PMingLiU" w:hAnsi="PMingLiU"/>
                <w:sz w:val="20"/>
                <w:szCs w:val="20"/>
                <w:color w:val="auto"/>
              </w:rPr>
              <w:t/>
            </w:r>
            <w:r>
              <w:rPr>
                <w:rFonts w:ascii="Arial" w:cs="Arial" w:eastAsia="Arial" w:hAnsi="Arial"/>
                <w:sz w:val="20"/>
                <w:szCs w:val="20"/>
                <w:color w:val="auto"/>
              </w:rPr>
              <w:t>ϭϭ͕</w:t>
            </w:r>
            <w:r>
              <w:rPr>
                <w:rFonts w:ascii="PMingLiU" w:cs="PMingLiU" w:eastAsia="PMingLiU" w:hAnsi="PMingLiU"/>
                <w:sz w:val="20"/>
                <w:szCs w:val="20"/>
                <w:color w:val="auto"/>
              </w:rPr>
              <w:t/>
            </w:r>
            <w:r>
              <w:rPr>
                <w:rFonts w:ascii="Arial" w:cs="Arial" w:eastAsia="Arial" w:hAnsi="Arial"/>
                <w:sz w:val="20"/>
                <w:szCs w:val="20"/>
                <w:color w:val="auto"/>
              </w:rPr>
              <w:t>ϮϬϮϱ</w:t>
            </w:r>
          </w:p>
        </w:tc>
      </w:tr>
      <w:tr>
        <w:trPr>
          <w:trHeight w:val="245"/>
        </w:trPr>
        <w:tc>
          <w:tcPr>
            <w:tcW w:w="40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2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4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ind w:right="4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r>
      <w:tr>
        <w:trPr>
          <w:trHeight w:val="242"/>
        </w:trPr>
        <w:tc>
          <w:tcPr>
            <w:tcW w:w="2060" w:type="dxa"/>
            <w:vAlign w:val="bottom"/>
            <w:gridSpan w:val="4"/>
          </w:tcPr>
          <w:p>
            <w:pPr>
              <w:ind w:left="20"/>
              <w:spacing w:after="0" w:line="243" w:lineRule="exact"/>
              <w:rPr>
                <w:sz w:val="20"/>
                <w:szCs w:val="20"/>
                <w:color w:val="auto"/>
              </w:rPr>
            </w:pPr>
            <w:r>
              <w:rPr>
                <w:rFonts w:ascii="PMingLiU" w:cs="PMingLiU" w:eastAsia="PMingLiU" w:hAnsi="PMingLiU"/>
                <w:sz w:val="20"/>
                <w:szCs w:val="20"/>
                <w:color w:val="auto"/>
              </w:rPr>
              <w:t/>
            </w:r>
            <w:r>
              <w:rPr>
                <w:rFonts w:ascii="Arial" w:cs="Arial" w:eastAsia="Arial" w:hAnsi="Arial"/>
                <w:sz w:val="20"/>
                <w:szCs w:val="20"/>
                <w:color w:val="auto"/>
              </w:rPr>
              <w:t>ŚƌŝƐƚŝŶĂ</w:t>
            </w:r>
            <w:r>
              <w:rPr>
                <w:rFonts w:ascii="PMingLiU" w:cs="PMingLiU" w:eastAsia="PMingLiU" w:hAnsi="PMingLiU"/>
                <w:sz w:val="20"/>
                <w:szCs w:val="20"/>
                <w:color w:val="auto"/>
              </w:rPr>
              <w:t/>
            </w:r>
            <w:r>
              <w:rPr>
                <w:rFonts w:ascii="Arial" w:cs="Arial" w:eastAsia="Arial" w:hAnsi="Arial"/>
                <w:sz w:val="20"/>
                <w:szCs w:val="20"/>
                <w:color w:val="auto"/>
              </w:rPr>
              <w:t>ĐŬĞƌŵĂŶŶ</w:t>
            </w: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1520" w:type="dxa"/>
            <w:vAlign w:val="bottom"/>
            <w:gridSpan w:val="2"/>
          </w:tcPr>
          <w:p>
            <w:pPr>
              <w:ind w:left="220"/>
              <w:spacing w:after="0" w:line="243" w:lineRule="exact"/>
              <w:rPr>
                <w:sz w:val="20"/>
                <w:szCs w:val="20"/>
                <w:color w:val="auto"/>
              </w:rPr>
            </w:pPr>
            <w:r>
              <w:rPr>
                <w:rFonts w:ascii="PMingLiU" w:cs="PMingLiU" w:eastAsia="PMingLiU" w:hAnsi="PMingLiU"/>
                <w:sz w:val="20"/>
                <w:szCs w:val="20"/>
                <w:color w:val="auto"/>
              </w:rPr>
              <w:t/>
            </w:r>
            <w:r>
              <w:rPr>
                <w:rFonts w:ascii="Arial" w:cs="Arial" w:eastAsia="Arial" w:hAnsi="Arial"/>
                <w:sz w:val="20"/>
                <w:szCs w:val="20"/>
                <w:color w:val="auto"/>
              </w:rPr>
              <w:t>h</w:t>
            </w:r>
            <w:r>
              <w:rPr>
                <w:rFonts w:ascii="PMingLiU" w:cs="PMingLiU" w:eastAsia="PMingLiU" w:hAnsi="PMingLiU"/>
                <w:sz w:val="20"/>
                <w:szCs w:val="20"/>
                <w:color w:val="auto"/>
              </w:rPr>
              <w:t/>
            </w:r>
            <w:r>
              <w:rPr>
                <w:rFonts w:ascii="Arial" w:cs="Arial" w:eastAsia="Arial" w:hAnsi="Arial"/>
                <w:sz w:val="20"/>
                <w:szCs w:val="20"/>
                <w:color w:val="auto"/>
              </w:rPr>
              <w:t>/dKZ^</w:t>
            </w:r>
            <w:r>
              <w:rPr>
                <w:rFonts w:ascii="PMingLiU" w:cs="PMingLiU" w:eastAsia="PMingLiU" w:hAnsi="PMingLiU"/>
                <w:sz w:val="20"/>
                <w:szCs w:val="20"/>
                <w:color w:val="auto"/>
              </w:rPr>
              <w:t/>
            </w:r>
          </w:p>
        </w:tc>
        <w:tc>
          <w:tcPr>
            <w:tcW w:w="760" w:type="dxa"/>
            <w:vAlign w:val="bottom"/>
          </w:tcPr>
          <w:p>
            <w:pPr>
              <w:jc w:val="right"/>
              <w:ind w:right="4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5560" w:type="dxa"/>
            <w:vAlign w:val="bottom"/>
            <w:gridSpan w:val="10"/>
          </w:tcPr>
          <w:p>
            <w:pPr>
              <w:ind w:left="20"/>
              <w:spacing w:after="0" w:line="243" w:lineRule="exact"/>
              <w:rPr>
                <w:sz w:val="20"/>
                <w:szCs w:val="20"/>
                <w:color w:val="auto"/>
              </w:rPr>
            </w:pPr>
            <w:r>
              <w:rPr>
                <w:rFonts w:ascii="Arial" w:cs="Arial" w:eastAsia="Arial" w:hAnsi="Arial"/>
                <w:sz w:val="20"/>
                <w:szCs w:val="20"/>
                <w:color w:val="auto"/>
                <w:w w:val="87"/>
              </w:rPr>
              <w:t>&amp;ŽƌŵĞƌůǇ</w:t>
            </w:r>
            <w:r>
              <w:rPr>
                <w:rFonts w:ascii="PMingLiU" w:cs="PMingLiU" w:eastAsia="PMingLiU" w:hAnsi="PMingLiU"/>
                <w:sz w:val="20"/>
                <w:szCs w:val="20"/>
                <w:color w:val="auto"/>
                <w:w w:val="87"/>
              </w:rPr>
              <w:t/>
            </w:r>
            <w:r>
              <w:rPr>
                <w:rFonts w:ascii="Arial" w:cs="Arial" w:eastAsia="Arial" w:hAnsi="Arial"/>
                <w:sz w:val="20"/>
                <w:szCs w:val="20"/>
                <w:color w:val="auto"/>
                <w:w w:val="87"/>
              </w:rPr>
              <w:t>sW͕</w:t>
            </w:r>
            <w:r>
              <w:rPr>
                <w:rFonts w:ascii="PMingLiU" w:cs="PMingLiU" w:eastAsia="PMingLiU" w:hAnsi="PMingLiU"/>
                <w:sz w:val="20"/>
                <w:szCs w:val="20"/>
                <w:color w:val="auto"/>
                <w:w w:val="87"/>
              </w:rPr>
              <w:t/>
            </w:r>
            <w:r>
              <w:rPr>
                <w:rFonts w:ascii="Arial" w:cs="Arial" w:eastAsia="Arial" w:hAnsi="Arial"/>
                <w:sz w:val="20"/>
                <w:szCs w:val="20"/>
                <w:color w:val="auto"/>
                <w:w w:val="87"/>
              </w:rPr>
              <w:t>KƉŚƚŚĂůŵŝĐ</w:t>
            </w:r>
            <w:r>
              <w:rPr>
                <w:rFonts w:ascii="PMingLiU" w:cs="PMingLiU" w:eastAsia="PMingLiU" w:hAnsi="PMingLiU"/>
                <w:sz w:val="20"/>
                <w:szCs w:val="20"/>
                <w:color w:val="auto"/>
                <w:w w:val="87"/>
              </w:rPr>
              <w:t/>
            </w:r>
            <w:r>
              <w:rPr>
                <w:rFonts w:ascii="Arial" w:cs="Arial" w:eastAsia="Arial" w:hAnsi="Arial"/>
                <w:sz w:val="20"/>
                <w:szCs w:val="20"/>
                <w:color w:val="auto"/>
                <w:w w:val="87"/>
              </w:rPr>
              <w:t>WŚĂƌŵĂĐĞƵƚŝĐĂůƐ</w:t>
            </w:r>
            <w:r>
              <w:rPr>
                <w:rFonts w:ascii="PMingLiU" w:cs="PMingLiU" w:eastAsia="PMingLiU" w:hAnsi="PMingLiU"/>
                <w:sz w:val="20"/>
                <w:szCs w:val="20"/>
                <w:color w:val="auto"/>
                <w:w w:val="87"/>
              </w:rPr>
              <w:t/>
            </w:r>
            <w:r>
              <w:rPr>
                <w:rFonts w:ascii="Arial" w:cs="Arial" w:eastAsia="Arial" w:hAnsi="Arial"/>
                <w:sz w:val="20"/>
                <w:szCs w:val="20"/>
                <w:color w:val="auto"/>
                <w:w w:val="87"/>
              </w:rPr>
              <w:t>Ăƚ</w:t>
            </w:r>
            <w:r>
              <w:rPr>
                <w:rFonts w:ascii="PMingLiU" w:cs="PMingLiU" w:eastAsia="PMingLiU" w:hAnsi="PMingLiU"/>
                <w:sz w:val="20"/>
                <w:szCs w:val="20"/>
                <w:color w:val="auto"/>
                <w:w w:val="87"/>
              </w:rPr>
              <w:t/>
            </w:r>
            <w:r>
              <w:rPr>
                <w:rFonts w:ascii="Arial" w:cs="Arial" w:eastAsia="Arial" w:hAnsi="Arial"/>
                <w:sz w:val="20"/>
                <w:szCs w:val="20"/>
                <w:color w:val="auto"/>
                <w:w w:val="87"/>
              </w:rPr>
              <w:t>ĂƵƐĐŚ</w:t>
            </w:r>
            <w:r>
              <w:rPr>
                <w:rFonts w:ascii="PMingLiU" w:cs="PMingLiU" w:eastAsia="PMingLiU" w:hAnsi="PMingLiU"/>
                <w:sz w:val="20"/>
                <w:szCs w:val="20"/>
                <w:color w:val="auto"/>
                <w:w w:val="87"/>
              </w:rPr>
              <w:t/>
            </w:r>
            <w:r>
              <w:rPr>
                <w:rFonts w:ascii="Arial" w:cs="Arial" w:eastAsia="Arial" w:hAnsi="Arial"/>
                <w:sz w:val="20"/>
                <w:szCs w:val="20"/>
                <w:color w:val="auto"/>
                <w:w w:val="87"/>
              </w:rPr>
              <w:t>н</w:t>
            </w:r>
            <w:r>
              <w:rPr>
                <w:rFonts w:ascii="PMingLiU" w:cs="PMingLiU" w:eastAsia="PMingLiU" w:hAnsi="PMingLiU"/>
                <w:sz w:val="20"/>
                <w:szCs w:val="20"/>
                <w:color w:val="auto"/>
                <w:w w:val="87"/>
              </w:rPr>
              <w:t/>
            </w:r>
            <w:r>
              <w:rPr>
                <w:rFonts w:ascii="Arial" w:cs="Arial" w:eastAsia="Arial" w:hAnsi="Arial"/>
                <w:sz w:val="20"/>
                <w:szCs w:val="20"/>
                <w:color w:val="auto"/>
                <w:w w:val="87"/>
              </w:rPr>
              <w:t>&gt;Žŵď</w:t>
            </w:r>
            <w:r>
              <w:rPr>
                <w:rFonts w:ascii="PMingLiU" w:cs="PMingLiU" w:eastAsia="PMingLiU" w:hAnsi="PMingLiU"/>
                <w:sz w:val="20"/>
                <w:szCs w:val="20"/>
                <w:color w:val="auto"/>
                <w:w w:val="87"/>
              </w:rPr>
              <w:t/>
            </w:r>
            <w:r>
              <w:rPr>
                <w:rFonts w:ascii="Arial" w:cs="Arial" w:eastAsia="Arial" w:hAnsi="Arial"/>
                <w:sz w:val="20"/>
                <w:szCs w:val="20"/>
                <w:color w:val="auto"/>
                <w:w w:val="87"/>
              </w:rPr>
              <w:t>/ŶĐ</w:t>
            </w:r>
            <w:r>
              <w:rPr>
                <w:rFonts w:ascii="PMingLiU" w:cs="PMingLiU" w:eastAsia="PMingLiU" w:hAnsi="PMingLiU"/>
                <w:sz w:val="20"/>
                <w:szCs w:val="20"/>
                <w:color w:val="auto"/>
                <w:w w:val="87"/>
              </w:rPr>
              <w:t/>
            </w:r>
          </w:p>
        </w:tc>
        <w:tc>
          <w:tcPr>
            <w:tcW w:w="3600" w:type="dxa"/>
            <w:vAlign w:val="bottom"/>
            <w:gridSpan w:val="6"/>
          </w:tcPr>
          <w:p>
            <w:pPr>
              <w:ind w:left="220"/>
              <w:spacing w:after="0" w:line="243" w:lineRule="exact"/>
              <w:rPr>
                <w:sz w:val="20"/>
                <w:szCs w:val="20"/>
                <w:color w:val="auto"/>
              </w:rPr>
            </w:pPr>
            <w:r>
              <w:rPr>
                <w:rFonts w:ascii="PMingLiU" w:cs="PMingLiU" w:eastAsia="PMingLiU" w:hAnsi="PMingLiU"/>
                <w:sz w:val="20"/>
                <w:szCs w:val="20"/>
                <w:color w:val="auto"/>
              </w:rPr>
              <w:t/>
            </w:r>
            <w:r>
              <w:rPr>
                <w:rFonts w:ascii="Arial" w:cs="Arial" w:eastAsia="Arial" w:hAnsi="Arial"/>
                <w:sz w:val="20"/>
                <w:szCs w:val="20"/>
                <w:color w:val="auto"/>
              </w:rPr>
              <w:t>ƌŶƐƚ</w:t>
            </w:r>
            <w:r>
              <w:rPr>
                <w:rFonts w:ascii="PMingLiU" w:cs="PMingLiU" w:eastAsia="PMingLiU" w:hAnsi="PMingLiU"/>
                <w:sz w:val="20"/>
                <w:szCs w:val="20"/>
                <w:color w:val="auto"/>
              </w:rPr>
              <w:t/>
            </w:r>
            <w:r>
              <w:rPr>
                <w:rFonts w:ascii="Arial" w:cs="Arial" w:eastAsia="Arial" w:hAnsi="Arial"/>
                <w:sz w:val="20"/>
                <w:szCs w:val="20"/>
                <w:color w:val="auto"/>
              </w:rPr>
              <w:t>Θ</w:t>
            </w:r>
            <w:r>
              <w:rPr>
                <w:rFonts w:ascii="PMingLiU" w:cs="PMingLiU" w:eastAsia="PMingLiU" w:hAnsi="PMingLiU"/>
                <w:sz w:val="20"/>
                <w:szCs w:val="20"/>
                <w:color w:val="auto"/>
              </w:rPr>
              <w:t/>
            </w:r>
            <w:r>
              <w:rPr>
                <w:rFonts w:ascii="Arial" w:cs="Arial" w:eastAsia="Arial" w:hAnsi="Arial"/>
                <w:sz w:val="20"/>
                <w:szCs w:val="20"/>
                <w:color w:val="auto"/>
              </w:rPr>
              <w:t>zŽƵŶŐ</w:t>
            </w:r>
            <w:r>
              <w:rPr>
                <w:rFonts w:ascii="PMingLiU" w:cs="PMingLiU" w:eastAsia="PMingLiU" w:hAnsi="PMingLiU"/>
                <w:sz w:val="20"/>
                <w:szCs w:val="20"/>
                <w:color w:val="auto"/>
              </w:rPr>
              <w:t/>
            </w:r>
          </w:p>
        </w:tc>
      </w:tr>
      <w:tr>
        <w:trPr>
          <w:trHeight w:val="245"/>
        </w:trPr>
        <w:tc>
          <w:tcPr>
            <w:tcW w:w="40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3600" w:type="dxa"/>
            <w:vAlign w:val="bottom"/>
            <w:gridSpan w:val="6"/>
          </w:tcPr>
          <w:p>
            <w:pPr>
              <w:ind w:left="220"/>
              <w:spacing w:after="0" w:line="243" w:lineRule="exact"/>
              <w:rPr>
                <w:sz w:val="20"/>
                <w:szCs w:val="20"/>
                <w:color w:val="auto"/>
              </w:rPr>
            </w:pPr>
            <w:r>
              <w:rPr>
                <w:rFonts w:ascii="PMingLiU" w:cs="PMingLiU" w:eastAsia="PMingLiU" w:hAnsi="PMingLiU"/>
                <w:sz w:val="20"/>
                <w:szCs w:val="20"/>
                <w:color w:val="auto"/>
              </w:rPr>
              <w:t/>
            </w:r>
            <w:r>
              <w:rPr>
                <w:rFonts w:ascii="Arial" w:cs="Arial" w:eastAsia="Arial" w:hAnsi="Arial"/>
                <w:sz w:val="20"/>
                <w:szCs w:val="20"/>
                <w:color w:val="auto"/>
              </w:rPr>
              <w:t>ŝƚǇ</w:t>
            </w:r>
            <w:r>
              <w:rPr>
                <w:rFonts w:ascii="PMingLiU" w:cs="PMingLiU" w:eastAsia="PMingLiU" w:hAnsi="PMingLiU"/>
                <w:sz w:val="20"/>
                <w:szCs w:val="20"/>
                <w:color w:val="auto"/>
              </w:rPr>
              <w:t/>
            </w:r>
            <w:r>
              <w:rPr>
                <w:rFonts w:ascii="Arial" w:cs="Arial" w:eastAsia="Arial" w:hAnsi="Arial"/>
                <w:sz w:val="20"/>
                <w:szCs w:val="20"/>
                <w:color w:val="auto"/>
              </w:rPr>
              <w:t>YƵĂƌƚĞƌ͕</w:t>
            </w:r>
            <w:r>
              <w:rPr>
                <w:rFonts w:ascii="PMingLiU" w:cs="PMingLiU" w:eastAsia="PMingLiU" w:hAnsi="PMingLiU"/>
                <w:sz w:val="20"/>
                <w:szCs w:val="20"/>
                <w:color w:val="auto"/>
              </w:rPr>
              <w:t/>
            </w:r>
            <w:r>
              <w:rPr>
                <w:rFonts w:ascii="Arial" w:cs="Arial" w:eastAsia="Arial" w:hAnsi="Arial"/>
                <w:sz w:val="20"/>
                <w:szCs w:val="20"/>
                <w:color w:val="auto"/>
              </w:rPr>
              <w:t>&gt;ĂƉƉƐ</w:t>
            </w:r>
            <w:r>
              <w:rPr>
                <w:rFonts w:ascii="PMingLiU" w:cs="PMingLiU" w:eastAsia="PMingLiU" w:hAnsi="PMingLiU"/>
                <w:sz w:val="20"/>
                <w:szCs w:val="20"/>
                <w:color w:val="auto"/>
              </w:rPr>
              <w:t/>
            </w:r>
            <w:r>
              <w:rPr>
                <w:rFonts w:ascii="Arial" w:cs="Arial" w:eastAsia="Arial" w:hAnsi="Arial"/>
                <w:sz w:val="20"/>
                <w:szCs w:val="20"/>
                <w:color w:val="auto"/>
              </w:rPr>
              <w:t>YƵĂǇ</w:t>
            </w:r>
            <w:r>
              <w:rPr>
                <w:rFonts w:ascii="PMingLiU" w:cs="PMingLiU" w:eastAsia="PMingLiU" w:hAnsi="PMingLiU"/>
                <w:sz w:val="20"/>
                <w:szCs w:val="20"/>
                <w:color w:val="auto"/>
              </w:rPr>
              <w:t> </w:t>
            </w:r>
          </w:p>
        </w:tc>
      </w:tr>
      <w:tr>
        <w:trPr>
          <w:trHeight w:val="245"/>
        </w:trPr>
        <w:tc>
          <w:tcPr>
            <w:tcW w:w="2060" w:type="dxa"/>
            <w:vAlign w:val="bottom"/>
            <w:gridSpan w:val="4"/>
          </w:tcPr>
          <w:p>
            <w:pPr>
              <w:ind w:left="20"/>
              <w:spacing w:after="0" w:line="243" w:lineRule="exact"/>
              <w:rPr>
                <w:sz w:val="20"/>
                <w:szCs w:val="20"/>
                <w:color w:val="auto"/>
              </w:rPr>
            </w:pPr>
            <w:r>
              <w:rPr>
                <w:rFonts w:ascii="Arial" w:cs="Arial" w:eastAsia="Arial" w:hAnsi="Arial"/>
                <w:sz w:val="20"/>
                <w:szCs w:val="20"/>
                <w:color w:val="auto"/>
              </w:rPr>
              <w:t>DŝĐŚĂĞů</w:t>
            </w:r>
            <w:r>
              <w:rPr>
                <w:rFonts w:ascii="PMingLiU" w:cs="PMingLiU" w:eastAsia="PMingLiU" w:hAnsi="PMingLiU"/>
                <w:sz w:val="20"/>
                <w:szCs w:val="20"/>
                <w:color w:val="auto"/>
              </w:rPr>
              <w:t/>
            </w:r>
            <w:r>
              <w:rPr>
                <w:rFonts w:ascii="Arial" w:cs="Arial" w:eastAsia="Arial" w:hAnsi="Arial"/>
                <w:sz w:val="20"/>
                <w:szCs w:val="20"/>
                <w:color w:val="auto"/>
              </w:rPr>
              <w:t>ƵƐƚǁŝĐŬ</w:t>
            </w: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gridSpan w:val="3"/>
          </w:tcPr>
          <w:p>
            <w:pPr>
              <w:ind w:left="220"/>
              <w:spacing w:after="0" w:line="243" w:lineRule="exact"/>
              <w:rPr>
                <w:sz w:val="20"/>
                <w:szCs w:val="20"/>
                <w:color w:val="auto"/>
              </w:rPr>
            </w:pPr>
            <w:r>
              <w:rPr>
                <w:rFonts w:ascii="PMingLiU" w:cs="PMingLiU" w:eastAsia="PMingLiU" w:hAnsi="PMingLiU"/>
                <w:sz w:val="20"/>
                <w:szCs w:val="20"/>
                <w:color w:val="auto"/>
              </w:rPr>
              <w:t/>
            </w:r>
            <w:r>
              <w:rPr>
                <w:rFonts w:ascii="Arial" w:cs="Arial" w:eastAsia="Arial" w:hAnsi="Arial"/>
                <w:sz w:val="20"/>
                <w:szCs w:val="20"/>
                <w:color w:val="auto"/>
              </w:rPr>
              <w:t>ŽƌŬ͕</w:t>
            </w:r>
            <w:r>
              <w:rPr>
                <w:rFonts w:ascii="PMingLiU" w:cs="PMingLiU" w:eastAsia="PMingLiU" w:hAnsi="PMingLiU"/>
                <w:sz w:val="20"/>
                <w:szCs w:val="20"/>
                <w:color w:val="auto"/>
              </w:rPr>
              <w:t/>
            </w:r>
            <w:r>
              <w:rPr>
                <w:rFonts w:ascii="Arial" w:cs="Arial" w:eastAsia="Arial" w:hAnsi="Arial"/>
                <w:sz w:val="20"/>
                <w:szCs w:val="20"/>
                <w:color w:val="auto"/>
              </w:rPr>
              <w:t>/ƌĞůĂŶĚ</w:t>
            </w:r>
            <w:r>
              <w:rPr>
                <w:rFonts w:ascii="PMingLiU" w:cs="PMingLiU" w:eastAsia="PMingLiU" w:hAnsi="PMingLiU"/>
                <w:sz w:val="20"/>
                <w:szCs w:val="20"/>
                <w:color w:val="auto"/>
              </w:rPr>
              <w:t/>
            </w:r>
            <w:r>
              <w:rPr>
                <w:rFonts w:ascii="Arial" w:cs="Arial" w:eastAsia="Arial" w:hAnsi="Arial"/>
                <w:sz w:val="20"/>
                <w:szCs w:val="20"/>
                <w:color w:val="auto"/>
              </w:rPr>
              <w:t>dϭϮ</w:t>
            </w:r>
            <w:r>
              <w:rPr>
                <w:rFonts w:ascii="PMingLiU" w:cs="PMingLiU" w:eastAsia="PMingLiU" w:hAnsi="PMingLiU"/>
                <w:sz w:val="20"/>
                <w:szCs w:val="20"/>
                <w:color w:val="auto"/>
              </w:rPr>
              <w:t/>
            </w:r>
            <w:r>
              <w:rPr>
                <w:rFonts w:ascii="Arial" w:cs="Arial" w:eastAsia="Arial" w:hAnsi="Arial"/>
                <w:sz w:val="20"/>
                <w:szCs w:val="20"/>
                <w:color w:val="auto"/>
              </w:rPr>
              <w:t>&lt;</w:t>
            </w:r>
            <w:r>
              <w:rPr>
                <w:rFonts w:ascii="PMingLiU" w:cs="PMingLiU" w:eastAsia="PMingLiU" w:hAnsi="PMingLiU"/>
                <w:sz w:val="20"/>
                <w:szCs w:val="20"/>
                <w:color w:val="auto"/>
              </w:rPr>
              <w:t/>
            </w:r>
            <w:r>
              <w:rPr>
                <w:rFonts w:ascii="Arial" w:cs="Arial" w:eastAsia="Arial" w:hAnsi="Arial"/>
                <w:sz w:val="20"/>
                <w:szCs w:val="20"/>
                <w:color w:val="auto"/>
              </w:rPr>
              <w:t>ϱW</w:t>
            </w:r>
            <w:r>
              <w:rPr>
                <w:rFonts w:ascii="PMingLiU" w:cs="PMingLiU" w:eastAsia="PMingLiU" w:hAnsi="PMingLiU"/>
                <w:sz w:val="20"/>
                <w:szCs w:val="20"/>
                <w:color w:val="auto"/>
              </w:rPr>
              <w:t/>
            </w:r>
          </w:p>
        </w:tc>
        <w:tc>
          <w:tcPr>
            <w:tcW w:w="1320" w:type="dxa"/>
            <w:vAlign w:val="bottom"/>
            <w:gridSpan w:val="3"/>
          </w:tcPr>
          <w:p>
            <w:pPr>
              <w:ind w:left="100"/>
              <w:spacing w:after="0" w:line="240" w:lineRule="exact"/>
              <w:rPr>
                <w:sz w:val="20"/>
                <w:szCs w:val="20"/>
                <w:color w:val="auto"/>
              </w:rPr>
            </w:pPr>
            <w:r>
              <w:rPr>
                <w:rFonts w:ascii="PMingLiU" w:cs="PMingLiU" w:eastAsia="PMingLiU" w:hAnsi="PMingLiU"/>
                <w:sz w:val="20"/>
                <w:szCs w:val="20"/>
                <w:color w:val="auto"/>
              </w:rPr>
              <w:t/>
            </w:r>
          </w:p>
        </w:tc>
      </w:tr>
      <w:tr>
        <w:trPr>
          <w:trHeight w:val="242"/>
        </w:trPr>
        <w:tc>
          <w:tcPr>
            <w:tcW w:w="2800" w:type="dxa"/>
            <w:vAlign w:val="bottom"/>
            <w:gridSpan w:val="5"/>
          </w:tcPr>
          <w:p>
            <w:pPr>
              <w:ind w:left="20"/>
              <w:spacing w:after="0" w:line="243" w:lineRule="exact"/>
              <w:rPr>
                <w:sz w:val="20"/>
                <w:szCs w:val="20"/>
                <w:color w:val="auto"/>
              </w:rPr>
            </w:pPr>
            <w:r>
              <w:rPr>
                <w:rFonts w:ascii="Arial" w:cs="Arial" w:eastAsia="Arial" w:hAnsi="Arial"/>
                <w:sz w:val="20"/>
                <w:szCs w:val="20"/>
                <w:color w:val="auto"/>
              </w:rPr>
              <w:t>&amp;ŽƌŵĞƌůǇ</w:t>
            </w:r>
            <w:r>
              <w:rPr>
                <w:rFonts w:ascii="PMingLiU" w:cs="PMingLiU" w:eastAsia="PMingLiU" w:hAnsi="PMingLiU"/>
                <w:sz w:val="20"/>
                <w:szCs w:val="20"/>
                <w:color w:val="auto"/>
              </w:rPr>
              <w:t/>
            </w:r>
            <w:r>
              <w:rPr>
                <w:rFonts w:ascii="Arial" w:cs="Arial" w:eastAsia="Arial" w:hAnsi="Arial"/>
                <w:sz w:val="20"/>
                <w:szCs w:val="20"/>
                <w:color w:val="auto"/>
              </w:rPr>
              <w:t>K</w:t>
            </w:r>
            <w:r>
              <w:rPr>
                <w:rFonts w:ascii="PMingLiU" w:cs="PMingLiU" w:eastAsia="PMingLiU" w:hAnsi="PMingLiU"/>
                <w:sz w:val="20"/>
                <w:szCs w:val="20"/>
                <w:color w:val="auto"/>
              </w:rPr>
              <w:t/>
            </w:r>
            <w:r>
              <w:rPr>
                <w:rFonts w:ascii="Arial" w:cs="Arial" w:eastAsia="Arial" w:hAnsi="Arial"/>
                <w:sz w:val="20"/>
                <w:szCs w:val="20"/>
                <w:color w:val="auto"/>
              </w:rPr>
              <w:t>ŽĨ</w:t>
            </w:r>
            <w:r>
              <w:rPr>
                <w:rFonts w:ascii="PMingLiU" w:cs="PMingLiU" w:eastAsia="PMingLiU" w:hAnsi="PMingLiU"/>
                <w:sz w:val="20"/>
                <w:szCs w:val="20"/>
                <w:color w:val="auto"/>
              </w:rPr>
              <w:t/>
            </w:r>
            <w:r>
              <w:rPr>
                <w:rFonts w:ascii="Arial" w:cs="Arial" w:eastAsia="Arial" w:hAnsi="Arial"/>
                <w:sz w:val="20"/>
                <w:szCs w:val="20"/>
                <w:color w:val="auto"/>
              </w:rPr>
              <w:t>sĞĐƚƵƌĂ</w:t>
            </w:r>
            <w:r>
              <w:rPr>
                <w:rFonts w:ascii="PMingLiU" w:cs="PMingLiU" w:eastAsia="PMingLiU" w:hAnsi="PMingLiU"/>
                <w:sz w:val="20"/>
                <w:szCs w:val="20"/>
                <w:color w:val="auto"/>
              </w:rPr>
              <w:t/>
            </w:r>
            <w:r>
              <w:rPr>
                <w:rFonts w:ascii="Arial" w:cs="Arial" w:eastAsia="Arial" w:hAnsi="Arial"/>
                <w:sz w:val="20"/>
                <w:szCs w:val="20"/>
                <w:color w:val="auto"/>
              </w:rPr>
              <w:t>&gt;ƚĚ</w:t>
            </w: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2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4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ind w:right="4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5"/>
        </w:trPr>
        <w:tc>
          <w:tcPr>
            <w:tcW w:w="40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gridSpan w:val="3"/>
          </w:tcPr>
          <w:p>
            <w:pPr>
              <w:ind w:left="220"/>
              <w:spacing w:after="0" w:line="243" w:lineRule="exact"/>
              <w:rPr>
                <w:sz w:val="20"/>
                <w:szCs w:val="20"/>
                <w:color w:val="auto"/>
              </w:rPr>
            </w:pPr>
            <w:r>
              <w:rPr>
                <w:rFonts w:ascii="Arial" w:cs="Arial" w:eastAsia="Arial" w:hAnsi="Arial"/>
                <w:sz w:val="20"/>
                <w:szCs w:val="20"/>
                <w:color w:val="auto"/>
              </w:rPr>
              <w:t>dZ</w:t>
            </w:r>
            <w:r>
              <w:rPr>
                <w:rFonts w:ascii="PMingLiU" w:cs="PMingLiU" w:eastAsia="PMingLiU" w:hAnsi="PMingLiU"/>
                <w:sz w:val="20"/>
                <w:szCs w:val="20"/>
                <w:color w:val="auto"/>
              </w:rPr>
              <w:t/>
            </w:r>
            <w:r>
              <w:rPr>
                <w:rFonts w:ascii="Arial" w:cs="Arial" w:eastAsia="Arial" w:hAnsi="Arial"/>
                <w:sz w:val="20"/>
                <w:szCs w:val="20"/>
                <w:color w:val="auto"/>
              </w:rPr>
              <w:t>E^&amp;</w:t>
            </w:r>
            <w:r>
              <w:rPr>
                <w:rFonts w:ascii="PMingLiU" w:cs="PMingLiU" w:eastAsia="PMingLiU" w:hAnsi="PMingLiU"/>
                <w:sz w:val="20"/>
                <w:szCs w:val="20"/>
                <w:color w:val="auto"/>
              </w:rPr>
              <w:t/>
            </w:r>
            <w:r>
              <w:rPr>
                <w:rFonts w:ascii="Arial" w:cs="Arial" w:eastAsia="Arial" w:hAnsi="Arial"/>
                <w:sz w:val="20"/>
                <w:szCs w:val="20"/>
                <w:color w:val="auto"/>
              </w:rPr>
              <w:t>Z</w:t>
            </w:r>
            <w:r>
              <w:rPr>
                <w:rFonts w:ascii="PMingLiU" w:cs="PMingLiU" w:eastAsia="PMingLiU" w:hAnsi="PMingLiU"/>
                <w:sz w:val="20"/>
                <w:szCs w:val="20"/>
                <w:color w:val="auto"/>
              </w:rPr>
              <w:t/>
            </w:r>
            <w:r>
              <w:rPr>
                <w:rFonts w:ascii="Arial" w:cs="Arial" w:eastAsia="Arial" w:hAnsi="Arial"/>
                <w:sz w:val="20"/>
                <w:szCs w:val="20"/>
                <w:color w:val="auto"/>
              </w:rPr>
              <w:t>'</w:t>
            </w:r>
            <w:r>
              <w:rPr>
                <w:rFonts w:ascii="PMingLiU" w:cs="PMingLiU" w:eastAsia="PMingLiU" w:hAnsi="PMingLiU"/>
                <w:sz w:val="20"/>
                <w:szCs w:val="20"/>
                <w:color w:val="auto"/>
              </w:rPr>
              <w:t/>
            </w:r>
            <w:r>
              <w:rPr>
                <w:rFonts w:ascii="Arial" w:cs="Arial" w:eastAsia="Arial" w:hAnsi="Arial"/>
                <w:sz w:val="20"/>
                <w:szCs w:val="20"/>
                <w:color w:val="auto"/>
              </w:rPr>
              <w:t>Ed</w:t>
            </w: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5"/>
        </w:trPr>
        <w:tc>
          <w:tcPr>
            <w:tcW w:w="1340" w:type="dxa"/>
            <w:vAlign w:val="bottom"/>
            <w:gridSpan w:val="3"/>
          </w:tcPr>
          <w:p>
            <w:pPr>
              <w:ind w:left="20"/>
              <w:spacing w:after="0" w:line="243" w:lineRule="exact"/>
              <w:rPr>
                <w:sz w:val="20"/>
                <w:szCs w:val="20"/>
                <w:color w:val="auto"/>
              </w:rPr>
            </w:pPr>
            <w:r>
              <w:rPr>
                <w:rFonts w:ascii="Arial" w:cs="Arial" w:eastAsia="Arial" w:hAnsi="Arial"/>
                <w:sz w:val="20"/>
                <w:szCs w:val="20"/>
                <w:color w:val="auto"/>
              </w:rPr>
              <w:t>:ĂŵĞƐ</w:t>
            </w:r>
            <w:r>
              <w:rPr>
                <w:rFonts w:ascii="PMingLiU" w:cs="PMingLiU" w:eastAsia="PMingLiU" w:hAnsi="PMingLiU"/>
                <w:sz w:val="20"/>
                <w:szCs w:val="20"/>
                <w:color w:val="auto"/>
              </w:rPr>
              <w:t/>
            </w:r>
            <w:r>
              <w:rPr>
                <w:rFonts w:ascii="Arial" w:cs="Arial" w:eastAsia="Arial" w:hAnsi="Arial"/>
                <w:sz w:val="20"/>
                <w:szCs w:val="20"/>
                <w:color w:val="auto"/>
              </w:rPr>
              <w:t>ƌĂĚǇ</w:t>
            </w:r>
            <w:r>
              <w:rPr>
                <w:rFonts w:ascii="PMingLiU" w:cs="PMingLiU" w:eastAsia="PMingLiU" w:hAnsi="PMingLiU"/>
                <w:sz w:val="20"/>
                <w:szCs w:val="20"/>
                <w:color w:val="auto"/>
              </w:rPr>
              <w:t/>
            </w:r>
          </w:p>
        </w:tc>
        <w:tc>
          <w:tcPr>
            <w:tcW w:w="72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3600" w:type="dxa"/>
            <w:vAlign w:val="bottom"/>
            <w:gridSpan w:val="6"/>
          </w:tcPr>
          <w:p>
            <w:pPr>
              <w:ind w:left="220"/>
              <w:spacing w:after="0" w:line="243" w:lineRule="exact"/>
              <w:rPr>
                <w:sz w:val="20"/>
                <w:szCs w:val="20"/>
                <w:color w:val="auto"/>
              </w:rPr>
            </w:pPr>
            <w:r>
              <w:rPr>
                <w:rFonts w:ascii="PMingLiU" w:cs="PMingLiU" w:eastAsia="PMingLiU" w:hAnsi="PMingLiU"/>
                <w:sz w:val="20"/>
                <w:szCs w:val="20"/>
                <w:color w:val="auto"/>
              </w:rPr>
              <w:t/>
            </w:r>
            <w:r>
              <w:rPr>
                <w:rFonts w:ascii="Arial" w:cs="Arial" w:eastAsia="Arial" w:hAnsi="Arial"/>
                <w:sz w:val="20"/>
                <w:szCs w:val="20"/>
                <w:color w:val="auto"/>
              </w:rPr>
              <w:t>ŝƚŝďĂŶŬ</w:t>
            </w:r>
            <w:r>
              <w:rPr>
                <w:rFonts w:ascii="PMingLiU" w:cs="PMingLiU" w:eastAsia="PMingLiU" w:hAnsi="PMingLiU"/>
                <w:sz w:val="20"/>
                <w:szCs w:val="20"/>
                <w:color w:val="auto"/>
              </w:rPr>
              <w:t/>
            </w:r>
            <w:r>
              <w:rPr>
                <w:rFonts w:ascii="Arial" w:cs="Arial" w:eastAsia="Arial" w:hAnsi="Arial"/>
                <w:sz w:val="20"/>
                <w:szCs w:val="20"/>
                <w:color w:val="auto"/>
              </w:rPr>
              <w:t>E͘</w:t>
            </w:r>
            <w:r>
              <w:rPr>
                <w:rFonts w:ascii="PMingLiU" w:cs="PMingLiU" w:eastAsia="PMingLiU" w:hAnsi="PMingLiU"/>
                <w:sz w:val="20"/>
                <w:szCs w:val="20"/>
                <w:color w:val="auto"/>
              </w:rPr>
              <w:t/>
            </w:r>
            <w:r>
              <w:rPr>
                <w:rFonts w:ascii="Arial" w:cs="Arial" w:eastAsia="Arial" w:hAnsi="Arial"/>
                <w:sz w:val="20"/>
                <w:szCs w:val="20"/>
                <w:color w:val="auto"/>
              </w:rPr>
              <w:t>͘</w:t>
            </w:r>
            <w:r>
              <w:rPr>
                <w:rFonts w:ascii="PMingLiU" w:cs="PMingLiU" w:eastAsia="PMingLiU" w:hAnsi="PMingLiU"/>
                <w:sz w:val="20"/>
                <w:szCs w:val="20"/>
                <w:color w:val="auto"/>
              </w:rPr>
              <w:t/>
            </w:r>
            <w:r>
              <w:rPr>
                <w:rFonts w:ascii="Arial" w:cs="Arial" w:eastAsia="Arial" w:hAnsi="Arial"/>
                <w:sz w:val="20"/>
                <w:szCs w:val="20"/>
                <w:color w:val="auto"/>
              </w:rPr>
              <w:t>;</w:t>
            </w:r>
            <w:r>
              <w:rPr>
                <w:rFonts w:ascii="PMingLiU" w:cs="PMingLiU" w:eastAsia="PMingLiU" w:hAnsi="PMingLiU"/>
                <w:sz w:val="20"/>
                <w:szCs w:val="20"/>
                <w:color w:val="auto"/>
              </w:rPr>
              <w:t/>
            </w:r>
            <w:r>
              <w:rPr>
                <w:rFonts w:ascii="Arial" w:cs="Arial" w:eastAsia="Arial" w:hAnsi="Arial"/>
                <w:sz w:val="20"/>
                <w:szCs w:val="20"/>
                <w:color w:val="auto"/>
              </w:rPr>
              <w:t>ĞƉŽƐŝƚĂƌǇ</w:t>
            </w:r>
            <w:r>
              <w:rPr>
                <w:rFonts w:ascii="PMingLiU" w:cs="PMingLiU" w:eastAsia="PMingLiU" w:hAnsi="PMingLiU"/>
                <w:sz w:val="20"/>
                <w:szCs w:val="20"/>
                <w:color w:val="auto"/>
              </w:rPr>
              <w:t/>
            </w:r>
            <w:r>
              <w:rPr>
                <w:rFonts w:ascii="Arial" w:cs="Arial" w:eastAsia="Arial" w:hAnsi="Arial"/>
                <w:sz w:val="20"/>
                <w:szCs w:val="20"/>
                <w:color w:val="auto"/>
              </w:rPr>
              <w:t>^ĞƌǀŝĐĞƐͿ</w:t>
            </w:r>
            <w:r>
              <w:rPr>
                <w:rFonts w:ascii="PMingLiU" w:cs="PMingLiU" w:eastAsia="PMingLiU" w:hAnsi="PMingLiU"/>
                <w:sz w:val="20"/>
                <w:szCs w:val="20"/>
                <w:color w:val="auto"/>
              </w:rPr>
              <w:t/>
            </w:r>
          </w:p>
        </w:tc>
      </w:tr>
      <w:tr>
        <w:trPr>
          <w:trHeight w:val="242"/>
        </w:trPr>
        <w:tc>
          <w:tcPr>
            <w:tcW w:w="4960" w:type="dxa"/>
            <w:vAlign w:val="bottom"/>
            <w:gridSpan w:val="9"/>
          </w:tcPr>
          <w:p>
            <w:pPr>
              <w:ind w:left="20"/>
              <w:spacing w:after="0" w:line="243" w:lineRule="exact"/>
              <w:rPr>
                <w:sz w:val="20"/>
                <w:szCs w:val="20"/>
                <w:color w:val="auto"/>
              </w:rPr>
            </w:pPr>
            <w:r>
              <w:rPr>
                <w:rFonts w:ascii="Arial" w:cs="Arial" w:eastAsia="Arial" w:hAnsi="Arial"/>
                <w:sz w:val="20"/>
                <w:szCs w:val="20"/>
                <w:color w:val="auto"/>
                <w:w w:val="97"/>
              </w:rPr>
              <w:t>&amp;ŽƌŵĞƌůǇ</w:t>
            </w:r>
            <w:r>
              <w:rPr>
                <w:rFonts w:ascii="PMingLiU" w:cs="PMingLiU" w:eastAsia="PMingLiU" w:hAnsi="PMingLiU"/>
                <w:sz w:val="20"/>
                <w:szCs w:val="20"/>
                <w:color w:val="auto"/>
                <w:w w:val="97"/>
              </w:rPr>
              <w:t/>
            </w:r>
            <w:r>
              <w:rPr>
                <w:rFonts w:ascii="Arial" w:cs="Arial" w:eastAsia="Arial" w:hAnsi="Arial"/>
                <w:sz w:val="20"/>
                <w:szCs w:val="20"/>
                <w:color w:val="auto"/>
                <w:w w:val="97"/>
              </w:rPr>
              <w:t>&amp;K</w:t>
            </w:r>
            <w:r>
              <w:rPr>
                <w:rFonts w:ascii="PMingLiU" w:cs="PMingLiU" w:eastAsia="PMingLiU" w:hAnsi="PMingLiU"/>
                <w:sz w:val="20"/>
                <w:szCs w:val="20"/>
                <w:color w:val="auto"/>
                <w:w w:val="97"/>
              </w:rPr>
              <w:t/>
            </w:r>
            <w:r>
              <w:rPr>
                <w:rFonts w:ascii="Arial" w:cs="Arial" w:eastAsia="Arial" w:hAnsi="Arial"/>
                <w:sz w:val="20"/>
                <w:szCs w:val="20"/>
                <w:color w:val="auto"/>
                <w:w w:val="97"/>
              </w:rPr>
              <w:t>ŽĨ</w:t>
            </w:r>
            <w:r>
              <w:rPr>
                <w:rFonts w:ascii="PMingLiU" w:cs="PMingLiU" w:eastAsia="PMingLiU" w:hAnsi="PMingLiU"/>
                <w:sz w:val="20"/>
                <w:szCs w:val="20"/>
                <w:color w:val="auto"/>
                <w:w w:val="97"/>
              </w:rPr>
              <w:t/>
            </w:r>
            <w:r>
              <w:rPr>
                <w:rFonts w:ascii="Arial" w:cs="Arial" w:eastAsia="Arial" w:hAnsi="Arial"/>
                <w:sz w:val="20"/>
                <w:szCs w:val="20"/>
                <w:color w:val="auto"/>
                <w:w w:val="97"/>
              </w:rPr>
              <w:t>DĞĚ/ŵŵƵŶĞ͕</w:t>
            </w:r>
            <w:r>
              <w:rPr>
                <w:rFonts w:ascii="PMingLiU" w:cs="PMingLiU" w:eastAsia="PMingLiU" w:hAnsi="PMingLiU"/>
                <w:sz w:val="20"/>
                <w:szCs w:val="20"/>
                <w:color w:val="auto"/>
                <w:w w:val="97"/>
              </w:rPr>
              <w:t/>
            </w:r>
            <w:r>
              <w:rPr>
                <w:rFonts w:ascii="Arial" w:cs="Arial" w:eastAsia="Arial" w:hAnsi="Arial"/>
                <w:sz w:val="20"/>
                <w:szCs w:val="20"/>
                <w:color w:val="auto"/>
                <w:w w:val="97"/>
              </w:rPr>
              <w:t>Ă</w:t>
            </w:r>
            <w:r>
              <w:rPr>
                <w:rFonts w:ascii="PMingLiU" w:cs="PMingLiU" w:eastAsia="PMingLiU" w:hAnsi="PMingLiU"/>
                <w:sz w:val="20"/>
                <w:szCs w:val="20"/>
                <w:color w:val="auto"/>
                <w:w w:val="97"/>
              </w:rPr>
              <w:t/>
            </w:r>
            <w:r>
              <w:rPr>
                <w:rFonts w:ascii="Arial" w:cs="Arial" w:eastAsia="Arial" w:hAnsi="Arial"/>
                <w:sz w:val="20"/>
                <w:szCs w:val="20"/>
                <w:color w:val="auto"/>
                <w:w w:val="97"/>
              </w:rPr>
              <w:t>ĚŝǀŝƐŝŽŶ</w:t>
            </w:r>
            <w:r>
              <w:rPr>
                <w:rFonts w:ascii="PMingLiU" w:cs="PMingLiU" w:eastAsia="PMingLiU" w:hAnsi="PMingLiU"/>
                <w:sz w:val="20"/>
                <w:szCs w:val="20"/>
                <w:color w:val="auto"/>
                <w:w w:val="97"/>
              </w:rPr>
              <w:t/>
            </w:r>
            <w:r>
              <w:rPr>
                <w:rFonts w:ascii="Arial" w:cs="Arial" w:eastAsia="Arial" w:hAnsi="Arial"/>
                <w:sz w:val="20"/>
                <w:szCs w:val="20"/>
                <w:color w:val="auto"/>
                <w:w w:val="97"/>
              </w:rPr>
              <w:t>ŽĨ</w:t>
            </w:r>
            <w:r>
              <w:rPr>
                <w:rFonts w:ascii="PMingLiU" w:cs="PMingLiU" w:eastAsia="PMingLiU" w:hAnsi="PMingLiU"/>
                <w:sz w:val="20"/>
                <w:szCs w:val="20"/>
                <w:color w:val="auto"/>
                <w:w w:val="97"/>
              </w:rPr>
              <w:t/>
            </w:r>
            <w:r>
              <w:rPr>
                <w:rFonts w:ascii="Arial" w:cs="Arial" w:eastAsia="Arial" w:hAnsi="Arial"/>
                <w:sz w:val="20"/>
                <w:szCs w:val="20"/>
                <w:color w:val="auto"/>
                <w:w w:val="97"/>
              </w:rPr>
              <w:t>ƐƚƌĂ</w:t>
            </w:r>
            <w:r>
              <w:rPr>
                <w:rFonts w:ascii="PMingLiU" w:cs="PMingLiU" w:eastAsia="PMingLiU" w:hAnsi="PMingLiU"/>
                <w:sz w:val="20"/>
                <w:szCs w:val="20"/>
                <w:color w:val="auto"/>
                <w:w w:val="97"/>
              </w:rPr>
              <w:t></w:t>
            </w:r>
            <w:r>
              <w:rPr>
                <w:rFonts w:ascii="Arial" w:cs="Arial" w:eastAsia="Arial" w:hAnsi="Arial"/>
                <w:sz w:val="20"/>
                <w:szCs w:val="20"/>
                <w:color w:val="auto"/>
                <w:w w:val="97"/>
              </w:rPr>
              <w:t>ĞŶĞĐĂ</w:t>
            </w:r>
            <w:r>
              <w:rPr>
                <w:rFonts w:ascii="PMingLiU" w:cs="PMingLiU" w:eastAsia="PMingLiU" w:hAnsi="PMingLiU"/>
                <w:sz w:val="20"/>
                <w:szCs w:val="20"/>
                <w:color w:val="auto"/>
                <w:w w:val="97"/>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gridSpan w:val="3"/>
          </w:tcPr>
          <w:p>
            <w:pPr>
              <w:ind w:left="220"/>
              <w:spacing w:after="0" w:line="243" w:lineRule="exact"/>
              <w:rPr>
                <w:sz w:val="20"/>
                <w:szCs w:val="20"/>
                <w:color w:val="auto"/>
              </w:rPr>
            </w:pPr>
            <w:r>
              <w:rPr>
                <w:rFonts w:ascii="Arial" w:cs="Arial" w:eastAsia="Arial" w:hAnsi="Arial"/>
                <w:sz w:val="20"/>
                <w:szCs w:val="20"/>
                <w:color w:val="auto"/>
              </w:rPr>
              <w:t>ϯϴϴ</w:t>
            </w:r>
            <w:r>
              <w:rPr>
                <w:rFonts w:ascii="PMingLiU" w:cs="PMingLiU" w:eastAsia="PMingLiU" w:hAnsi="PMingLiU"/>
                <w:sz w:val="20"/>
                <w:szCs w:val="20"/>
                <w:color w:val="auto"/>
              </w:rPr>
              <w:t/>
            </w:r>
            <w:r>
              <w:rPr>
                <w:rFonts w:ascii="Arial" w:cs="Arial" w:eastAsia="Arial" w:hAnsi="Arial"/>
                <w:sz w:val="20"/>
                <w:szCs w:val="20"/>
                <w:color w:val="auto"/>
              </w:rPr>
              <w:t>'ƌĞĞŶǁŝĐŚ</w:t>
            </w:r>
            <w:r>
              <w:rPr>
                <w:rFonts w:ascii="PMingLiU" w:cs="PMingLiU" w:eastAsia="PMingLiU" w:hAnsi="PMingLiU"/>
                <w:sz w:val="20"/>
                <w:szCs w:val="20"/>
                <w:color w:val="auto"/>
              </w:rPr>
              <w:t/>
            </w:r>
            <w:r>
              <w:rPr>
                <w:rFonts w:ascii="Arial" w:cs="Arial" w:eastAsia="Arial" w:hAnsi="Arial"/>
                <w:sz w:val="20"/>
                <w:szCs w:val="20"/>
                <w:color w:val="auto"/>
              </w:rPr>
              <w:t>^ƚ</w:t>
            </w:r>
            <w:r>
              <w:rPr>
                <w:rFonts w:ascii="PMingLiU" w:cs="PMingLiU" w:eastAsia="PMingLiU" w:hAnsi="PMingLiU"/>
                <w:sz w:val="20"/>
                <w:szCs w:val="20"/>
                <w:b w:val="1"/>
                <w:bCs w:val="1"/>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5"/>
        </w:trPr>
        <w:tc>
          <w:tcPr>
            <w:tcW w:w="40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gridSpan w:val="3"/>
          </w:tcPr>
          <w:p>
            <w:pPr>
              <w:ind w:left="220"/>
              <w:spacing w:after="0" w:line="243" w:lineRule="exact"/>
              <w:rPr>
                <w:sz w:val="20"/>
                <w:szCs w:val="20"/>
                <w:color w:val="auto"/>
              </w:rPr>
            </w:pPr>
            <w:r>
              <w:rPr>
                <w:rFonts w:ascii="Arial" w:cs="Arial" w:eastAsia="Arial" w:hAnsi="Arial"/>
                <w:sz w:val="20"/>
                <w:szCs w:val="20"/>
                <w:color w:val="auto"/>
              </w:rPr>
              <w:t>EĞǁ</w:t>
            </w:r>
            <w:r>
              <w:rPr>
                <w:rFonts w:ascii="PMingLiU" w:cs="PMingLiU" w:eastAsia="PMingLiU" w:hAnsi="PMingLiU"/>
                <w:sz w:val="20"/>
                <w:szCs w:val="20"/>
                <w:color w:val="auto"/>
              </w:rPr>
              <w:t/>
            </w:r>
            <w:r>
              <w:rPr>
                <w:rFonts w:ascii="Arial" w:cs="Arial" w:eastAsia="Arial" w:hAnsi="Arial"/>
                <w:sz w:val="20"/>
                <w:szCs w:val="20"/>
                <w:color w:val="auto"/>
              </w:rPr>
              <w:t>zŽƌŬ͕</w:t>
            </w:r>
            <w:r>
              <w:rPr>
                <w:rFonts w:ascii="PMingLiU" w:cs="PMingLiU" w:eastAsia="PMingLiU" w:hAnsi="PMingLiU"/>
                <w:sz w:val="20"/>
                <w:szCs w:val="20"/>
                <w:color w:val="auto"/>
              </w:rPr>
              <w:t/>
            </w:r>
            <w:r>
              <w:rPr>
                <w:rFonts w:ascii="Arial" w:cs="Arial" w:eastAsia="Arial" w:hAnsi="Arial"/>
                <w:sz w:val="20"/>
                <w:szCs w:val="20"/>
                <w:color w:val="auto"/>
              </w:rPr>
              <w:t>Ez</w:t>
            </w:r>
            <w:r>
              <w:rPr>
                <w:rFonts w:ascii="PMingLiU" w:cs="PMingLiU" w:eastAsia="PMingLiU" w:hAnsi="PMingLiU"/>
                <w:sz w:val="20"/>
                <w:szCs w:val="20"/>
                <w:color w:val="auto"/>
              </w:rPr>
              <w:t/>
            </w:r>
            <w:r>
              <w:rPr>
                <w:rFonts w:ascii="Arial" w:cs="Arial" w:eastAsia="Arial" w:hAnsi="Arial"/>
                <w:sz w:val="20"/>
                <w:szCs w:val="20"/>
                <w:color w:val="auto"/>
              </w:rPr>
              <w:t>ϭϬϬϭϯ</w:t>
            </w: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2800" w:type="dxa"/>
            <w:vAlign w:val="bottom"/>
            <w:gridSpan w:val="5"/>
          </w:tcPr>
          <w:p>
            <w:pPr>
              <w:ind w:left="20"/>
              <w:spacing w:after="0" w:line="243" w:lineRule="exact"/>
              <w:rPr>
                <w:sz w:val="20"/>
                <w:szCs w:val="20"/>
                <w:color w:val="auto"/>
              </w:rPr>
            </w:pPr>
            <w:r>
              <w:rPr>
                <w:rFonts w:ascii="Arial" w:cs="Arial" w:eastAsia="Arial" w:hAnsi="Arial"/>
                <w:sz w:val="20"/>
                <w:szCs w:val="20"/>
                <w:color w:val="auto"/>
              </w:rPr>
              <w:t>&lt;ĞŶ</w:t>
            </w:r>
            <w:r>
              <w:rPr>
                <w:rFonts w:ascii="PMingLiU" w:cs="PMingLiU" w:eastAsia="PMingLiU" w:hAnsi="PMingLiU"/>
                <w:sz w:val="20"/>
                <w:szCs w:val="20"/>
                <w:color w:val="auto"/>
              </w:rPr>
              <w:t/>
            </w:r>
            <w:r>
              <w:rPr>
                <w:rFonts w:ascii="Arial" w:cs="Arial" w:eastAsia="Arial" w:hAnsi="Arial"/>
                <w:sz w:val="20"/>
                <w:szCs w:val="20"/>
                <w:color w:val="auto"/>
              </w:rPr>
              <w:t>ƵŶŶŝŶŐŚĂŵ͕</w:t>
            </w:r>
            <w:r>
              <w:rPr>
                <w:rFonts w:ascii="PMingLiU" w:cs="PMingLiU" w:eastAsia="PMingLiU" w:hAnsi="PMingLiU"/>
                <w:sz w:val="20"/>
                <w:szCs w:val="20"/>
                <w:color w:val="auto"/>
              </w:rPr>
              <w:t/>
            </w:r>
            <w:r>
              <w:rPr>
                <w:rFonts w:ascii="Arial" w:cs="Arial" w:eastAsia="Arial" w:hAnsi="Arial"/>
                <w:sz w:val="20"/>
                <w:szCs w:val="20"/>
                <w:color w:val="auto"/>
              </w:rPr>
              <w:t>D͘</w:t>
            </w:r>
            <w:r>
              <w:rPr>
                <w:rFonts w:ascii="PMingLiU" w:cs="PMingLiU" w:eastAsia="PMingLiU" w:hAnsi="PMingLiU"/>
                <w:sz w:val="20"/>
                <w:szCs w:val="20"/>
                <w:color w:val="auto"/>
              </w:rPr>
              <w:t/>
            </w:r>
            <w:r>
              <w:rPr>
                <w:rFonts w:ascii="Arial" w:cs="Arial" w:eastAsia="Arial" w:hAnsi="Arial"/>
                <w:sz w:val="20"/>
                <w:szCs w:val="20"/>
                <w:color w:val="auto"/>
              </w:rPr>
              <w:t>͘</w:t>
            </w:r>
            <w:r>
              <w:rPr>
                <w:rFonts w:ascii="PMingLiU" w:cs="PMingLiU" w:eastAsia="PMingLiU" w:hAnsi="PMingLiU"/>
                <w:sz w:val="20"/>
                <w:szCs w:val="20"/>
                <w:color w:val="auto"/>
              </w:rPr>
              <w:t>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gridSpan w:val="3"/>
          </w:tcPr>
          <w:p>
            <w:pPr>
              <w:ind w:left="220"/>
              <w:spacing w:after="0" w:line="243" w:lineRule="exact"/>
              <w:rPr>
                <w:sz w:val="20"/>
                <w:szCs w:val="20"/>
                <w:color w:val="auto"/>
              </w:rPr>
            </w:pPr>
            <w:r>
              <w:rPr>
                <w:rFonts w:ascii="PMingLiU" w:cs="PMingLiU" w:eastAsia="PMingLiU" w:hAnsi="PMingLiU"/>
                <w:sz w:val="20"/>
                <w:szCs w:val="20"/>
                <w:color w:val="auto"/>
                <w:w w:val="93"/>
              </w:rPr>
              <w:t/>
            </w:r>
            <w:r>
              <w:rPr>
                <w:rFonts w:ascii="Arial" w:cs="Arial" w:eastAsia="Arial" w:hAnsi="Arial"/>
                <w:sz w:val="20"/>
                <w:szCs w:val="20"/>
                <w:color w:val="auto"/>
                <w:w w:val="93"/>
              </w:rPr>
              <w:t>ŵĂŝů͗</w:t>
            </w:r>
            <w:r>
              <w:rPr>
                <w:rFonts w:ascii="PMingLiU" w:cs="PMingLiU" w:eastAsia="PMingLiU" w:hAnsi="PMingLiU"/>
                <w:sz w:val="20"/>
                <w:szCs w:val="20"/>
                <w:color w:val="auto"/>
                <w:w w:val="93"/>
              </w:rPr>
              <w:t/>
            </w:r>
            <w:r>
              <w:rPr>
                <w:rFonts w:ascii="Arial" w:cs="Arial" w:eastAsia="Arial" w:hAnsi="Arial"/>
                <w:sz w:val="20"/>
                <w:szCs w:val="20"/>
                <w:color w:val="auto"/>
                <w:w w:val="93"/>
              </w:rPr>
              <w:t>ĐŝƚŝĂĚƌΛĐŝƚŝ͘ĐŽŵ</w:t>
            </w:r>
            <w:r>
              <w:rPr>
                <w:rFonts w:ascii="PMingLiU" w:cs="PMingLiU" w:eastAsia="PMingLiU" w:hAnsi="PMingLiU"/>
                <w:sz w:val="20"/>
                <w:szCs w:val="20"/>
                <w:color w:val="auto"/>
                <w:w w:val="93"/>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3420" w:type="dxa"/>
            <w:vAlign w:val="bottom"/>
            <w:gridSpan w:val="7"/>
          </w:tcPr>
          <w:p>
            <w:pPr>
              <w:spacing w:after="0" w:line="243" w:lineRule="exact"/>
              <w:rPr>
                <w:sz w:val="20"/>
                <w:szCs w:val="20"/>
                <w:color w:val="auto"/>
              </w:rPr>
            </w:pPr>
            <w:r>
              <w:rPr>
                <w:rFonts w:ascii="Arial" w:cs="Arial" w:eastAsia="Arial" w:hAnsi="Arial"/>
                <w:sz w:val="20"/>
                <w:szCs w:val="20"/>
                <w:color w:val="auto"/>
                <w:w w:val="94"/>
              </w:rPr>
              <w:t>EŽŶͲ</w:t>
            </w:r>
            <w:r>
              <w:rPr>
                <w:rFonts w:ascii="PMingLiU" w:cs="PMingLiU" w:eastAsia="PMingLiU" w:hAnsi="PMingLiU"/>
                <w:sz w:val="20"/>
                <w:szCs w:val="20"/>
                <w:color w:val="auto"/>
                <w:w w:val="94"/>
              </w:rPr>
              <w:t/>
            </w:r>
            <w:r>
              <w:rPr>
                <w:rFonts w:ascii="Arial" w:cs="Arial" w:eastAsia="Arial" w:hAnsi="Arial"/>
                <w:sz w:val="20"/>
                <w:szCs w:val="20"/>
                <w:color w:val="auto"/>
                <w:w w:val="94"/>
              </w:rPr>
              <w:t>ǆĞĐƵƚŝǀĞ</w:t>
            </w:r>
            <w:r>
              <w:rPr>
                <w:rFonts w:ascii="PMingLiU" w:cs="PMingLiU" w:eastAsia="PMingLiU" w:hAnsi="PMingLiU"/>
                <w:sz w:val="20"/>
                <w:szCs w:val="20"/>
                <w:color w:val="auto"/>
                <w:w w:val="94"/>
              </w:rPr>
              <w:t/>
            </w:r>
            <w:r>
              <w:rPr>
                <w:rFonts w:ascii="Arial" w:cs="Arial" w:eastAsia="Arial" w:hAnsi="Arial"/>
                <w:sz w:val="20"/>
                <w:szCs w:val="20"/>
                <w:color w:val="auto"/>
                <w:w w:val="94"/>
              </w:rPr>
              <w:t>ŚĂŝƌ</w:t>
            </w:r>
            <w:r>
              <w:rPr>
                <w:rFonts w:ascii="PMingLiU" w:cs="PMingLiU" w:eastAsia="PMingLiU" w:hAnsi="PMingLiU"/>
                <w:sz w:val="20"/>
                <w:szCs w:val="20"/>
                <w:color w:val="auto"/>
                <w:w w:val="94"/>
              </w:rPr>
              <w:t/>
            </w:r>
            <w:r>
              <w:rPr>
                <w:rFonts w:ascii="Arial" w:cs="Arial" w:eastAsia="Arial" w:hAnsi="Arial"/>
                <w:sz w:val="20"/>
                <w:szCs w:val="20"/>
                <w:color w:val="auto"/>
                <w:w w:val="94"/>
              </w:rPr>
              <w:t>ŽĨ</w:t>
            </w:r>
            <w:r>
              <w:rPr>
                <w:rFonts w:ascii="PMingLiU" w:cs="PMingLiU" w:eastAsia="PMingLiU" w:hAnsi="PMingLiU"/>
                <w:sz w:val="20"/>
                <w:szCs w:val="20"/>
                <w:color w:val="auto"/>
                <w:w w:val="94"/>
              </w:rPr>
              <w:t/>
            </w:r>
            <w:r>
              <w:rPr>
                <w:rFonts w:ascii="Arial" w:cs="Arial" w:eastAsia="Arial" w:hAnsi="Arial"/>
                <w:sz w:val="20"/>
                <w:szCs w:val="20"/>
                <w:color w:val="auto"/>
                <w:w w:val="94"/>
              </w:rPr>
              <w:t>DĞĚŚĞƌĂŶƚ</w:t>
            </w:r>
            <w:r>
              <w:rPr>
                <w:rFonts w:ascii="PMingLiU" w:cs="PMingLiU" w:eastAsia="PMingLiU" w:hAnsi="PMingLiU"/>
                <w:sz w:val="20"/>
                <w:szCs w:val="20"/>
                <w:color w:val="auto"/>
                <w:w w:val="94"/>
              </w:rPr>
              <w:t/>
            </w:r>
            <w:r>
              <w:rPr>
                <w:rFonts w:ascii="Arial" w:cs="Arial" w:eastAsia="Arial" w:hAnsi="Arial"/>
                <w:sz w:val="20"/>
                <w:szCs w:val="20"/>
                <w:color w:val="auto"/>
                <w:w w:val="94"/>
              </w:rPr>
              <w:t>&gt;ƚĚ</w:t>
            </w:r>
            <w:r>
              <w:rPr>
                <w:rFonts w:ascii="PMingLiU" w:cs="PMingLiU" w:eastAsia="PMingLiU" w:hAnsi="PMingLiU"/>
                <w:sz w:val="20"/>
                <w:szCs w:val="20"/>
                <w:color w:val="auto"/>
                <w:w w:val="94"/>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2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4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ind w:right="4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2"/>
        </w:trPr>
        <w:tc>
          <w:tcPr>
            <w:tcW w:w="4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2280" w:type="dxa"/>
            <w:vAlign w:val="bottom"/>
            <w:gridSpan w:val="3"/>
          </w:tcPr>
          <w:p>
            <w:pPr>
              <w:ind w:left="200"/>
              <w:spacing w:after="0" w:line="243" w:lineRule="exact"/>
              <w:rPr>
                <w:sz w:val="20"/>
                <w:szCs w:val="20"/>
                <w:color w:val="auto"/>
              </w:rPr>
            </w:pPr>
            <w:r>
              <w:rPr>
                <w:rFonts w:ascii="Arial" w:cs="Arial" w:eastAsia="Arial" w:hAnsi="Arial"/>
                <w:sz w:val="20"/>
                <w:szCs w:val="20"/>
                <w:color w:val="auto"/>
              </w:rPr>
              <w:t>^dK</w:t>
            </w:r>
            <w:r>
              <w:rPr>
                <w:rFonts w:ascii="PMingLiU" w:cs="PMingLiU" w:eastAsia="PMingLiU" w:hAnsi="PMingLiU"/>
                <w:sz w:val="20"/>
                <w:szCs w:val="20"/>
                <w:color w:val="auto"/>
              </w:rPr>
              <w:t/>
            </w:r>
            <w:r>
              <w:rPr>
                <w:rFonts w:ascii="Arial" w:cs="Arial" w:eastAsia="Arial" w:hAnsi="Arial"/>
                <w:sz w:val="20"/>
                <w:szCs w:val="20"/>
                <w:color w:val="auto"/>
              </w:rPr>
              <w:t>&lt;</w:t>
            </w:r>
            <w:r>
              <w:rPr>
                <w:rFonts w:ascii="PMingLiU" w:cs="PMingLiU" w:eastAsia="PMingLiU" w:hAnsi="PMingLiU"/>
                <w:sz w:val="20"/>
                <w:szCs w:val="20"/>
                <w:color w:val="auto"/>
              </w:rPr>
              <w:t/>
            </w:r>
            <w:r>
              <w:rPr>
                <w:rFonts w:ascii="Arial" w:cs="Arial" w:eastAsia="Arial" w:hAnsi="Arial"/>
                <w:sz w:val="20"/>
                <w:szCs w:val="20"/>
                <w:color w:val="auto"/>
              </w:rPr>
              <w:t>y</w:t>
            </w:r>
            <w:r>
              <w:rPr>
                <w:rFonts w:ascii="PMingLiU" w:cs="PMingLiU" w:eastAsia="PMingLiU" w:hAnsi="PMingLiU"/>
                <w:sz w:val="20"/>
                <w:szCs w:val="20"/>
                <w:color w:val="auto"/>
              </w:rPr>
              <w:t/>
            </w:r>
            <w:r>
              <w:rPr>
                <w:rFonts w:ascii="Arial" w:cs="Arial" w:eastAsia="Arial" w:hAnsi="Arial"/>
                <w:sz w:val="20"/>
                <w:szCs w:val="20"/>
                <w:color w:val="auto"/>
              </w:rPr>
              <w:t>,</w:t>
            </w:r>
            <w:r>
              <w:rPr>
                <w:rFonts w:ascii="PMingLiU" w:cs="PMingLiU" w:eastAsia="PMingLiU" w:hAnsi="PMingLiU"/>
                <w:sz w:val="20"/>
                <w:szCs w:val="20"/>
                <w:color w:val="auto"/>
              </w:rPr>
              <w:t/>
            </w:r>
            <w:r>
              <w:rPr>
                <w:rFonts w:ascii="Arial" w:cs="Arial" w:eastAsia="Arial" w:hAnsi="Arial"/>
                <w:sz w:val="20"/>
                <w:szCs w:val="20"/>
                <w:color w:val="auto"/>
              </w:rPr>
              <w:t>E'</w:t>
            </w: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2060" w:type="dxa"/>
            <w:vAlign w:val="bottom"/>
            <w:gridSpan w:val="4"/>
          </w:tcPr>
          <w:p>
            <w:pPr>
              <w:jc w:val="right"/>
              <w:ind w:right="460"/>
              <w:spacing w:after="0" w:line="243" w:lineRule="exact"/>
              <w:rPr>
                <w:sz w:val="20"/>
                <w:szCs w:val="20"/>
                <w:color w:val="auto"/>
              </w:rPr>
            </w:pPr>
            <w:r>
              <w:rPr>
                <w:rFonts w:ascii="Arial" w:cs="Arial" w:eastAsia="Arial" w:hAnsi="Arial"/>
                <w:sz w:val="20"/>
                <w:szCs w:val="20"/>
                <w:color w:val="auto"/>
                <w:w w:val="91"/>
              </w:rPr>
              <w:t>&gt;ŝƐĂ</w:t>
            </w:r>
            <w:r>
              <w:rPr>
                <w:rFonts w:ascii="PMingLiU" w:cs="PMingLiU" w:eastAsia="PMingLiU" w:hAnsi="PMingLiU"/>
                <w:sz w:val="20"/>
                <w:szCs w:val="20"/>
                <w:color w:val="auto"/>
                <w:w w:val="91"/>
              </w:rPr>
              <w:t/>
            </w:r>
            <w:r>
              <w:rPr>
                <w:rFonts w:ascii="Arial" w:cs="Arial" w:eastAsia="Arial" w:hAnsi="Arial"/>
                <w:sz w:val="20"/>
                <w:szCs w:val="20"/>
                <w:color w:val="auto"/>
                <w:w w:val="91"/>
              </w:rPr>
              <w:t>ĞƐĐŚĂŵƉƐ</w:t>
            </w:r>
            <w:r>
              <w:rPr>
                <w:rFonts w:ascii="PMingLiU" w:cs="PMingLiU" w:eastAsia="PMingLiU" w:hAnsi="PMingLiU"/>
                <w:sz w:val="20"/>
                <w:szCs w:val="20"/>
                <w:color w:val="auto"/>
                <w:w w:val="91"/>
              </w:rPr>
              <w:t> </w:t>
            </w:r>
          </w:p>
        </w:tc>
        <w:tc>
          <w:tcPr>
            <w:tcW w:w="74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3040" w:type="dxa"/>
            <w:vAlign w:val="bottom"/>
            <w:gridSpan w:val="4"/>
          </w:tcPr>
          <w:p>
            <w:pPr>
              <w:ind w:left="200"/>
              <w:spacing w:after="0" w:line="243" w:lineRule="exact"/>
              <w:rPr>
                <w:sz w:val="20"/>
                <w:szCs w:val="20"/>
                <w:color w:val="auto"/>
              </w:rPr>
            </w:pPr>
            <w:r>
              <w:rPr>
                <w:rFonts w:ascii="Arial" w:cs="Arial" w:eastAsia="Arial" w:hAnsi="Arial"/>
                <w:sz w:val="20"/>
                <w:szCs w:val="20"/>
                <w:color w:val="auto"/>
                <w:w w:val="97"/>
              </w:rPr>
              <w:t>sĞƌŽŶĂ</w:t>
            </w:r>
            <w:r>
              <w:rPr>
                <w:rFonts w:ascii="PMingLiU" w:cs="PMingLiU" w:eastAsia="PMingLiU" w:hAnsi="PMingLiU"/>
                <w:sz w:val="20"/>
                <w:szCs w:val="20"/>
                <w:color w:val="auto"/>
                <w:w w:val="97"/>
              </w:rPr>
              <w:t/>
            </w:r>
            <w:r>
              <w:rPr>
                <w:rFonts w:ascii="Arial" w:cs="Arial" w:eastAsia="Arial" w:hAnsi="Arial"/>
                <w:sz w:val="20"/>
                <w:szCs w:val="20"/>
                <w:color w:val="auto"/>
                <w:w w:val="97"/>
              </w:rPr>
              <w:t>WŚĂƌŵĂ</w:t>
            </w:r>
            <w:r>
              <w:rPr>
                <w:rFonts w:ascii="PMingLiU" w:cs="PMingLiU" w:eastAsia="PMingLiU" w:hAnsi="PMingLiU"/>
                <w:sz w:val="20"/>
                <w:szCs w:val="20"/>
                <w:color w:val="auto"/>
                <w:w w:val="97"/>
              </w:rPr>
              <w:t/>
            </w:r>
            <w:r>
              <w:rPr>
                <w:rFonts w:ascii="Arial" w:cs="Arial" w:eastAsia="Arial" w:hAnsi="Arial"/>
                <w:sz w:val="20"/>
                <w:szCs w:val="20"/>
                <w:color w:val="auto"/>
                <w:w w:val="97"/>
              </w:rPr>
              <w:t>plc’s American</w:t>
            </w:r>
            <w:r>
              <w:rPr>
                <w:rFonts w:ascii="PMingLiU" w:cs="PMingLiU" w:eastAsia="PMingLiU" w:hAnsi="PMingLiU"/>
                <w:sz w:val="20"/>
                <w:szCs w:val="20"/>
                <w:color w:val="auto"/>
                <w:w w:val="97"/>
              </w:rPr>
              <w:t/>
            </w:r>
          </w:p>
        </w:tc>
        <w:tc>
          <w:tcPr>
            <w:tcW w:w="5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2060" w:type="dxa"/>
            <w:vAlign w:val="bottom"/>
            <w:gridSpan w:val="4"/>
          </w:tcPr>
          <w:p>
            <w:pPr>
              <w:spacing w:after="0" w:line="243" w:lineRule="exact"/>
              <w:rPr>
                <w:sz w:val="20"/>
                <w:szCs w:val="20"/>
                <w:color w:val="auto"/>
              </w:rPr>
            </w:pPr>
            <w:r>
              <w:rPr>
                <w:rFonts w:ascii="PMingLiU" w:cs="PMingLiU" w:eastAsia="PMingLiU" w:hAnsi="PMingLiU"/>
                <w:sz w:val="20"/>
                <w:szCs w:val="20"/>
                <w:color w:val="auto"/>
              </w:rPr>
              <w:t/>
            </w:r>
            <w:r>
              <w:rPr>
                <w:rFonts w:ascii="Arial" w:cs="Arial" w:eastAsia="Arial" w:hAnsi="Arial"/>
                <w:sz w:val="20"/>
                <w:szCs w:val="20"/>
                <w:color w:val="auto"/>
              </w:rPr>
              <w:t>K</w:t>
            </w:r>
            <w:r>
              <w:rPr>
                <w:rFonts w:ascii="PMingLiU" w:cs="PMingLiU" w:eastAsia="PMingLiU" w:hAnsi="PMingLiU"/>
                <w:sz w:val="20"/>
                <w:szCs w:val="20"/>
                <w:color w:val="auto"/>
              </w:rPr>
              <w:t/>
            </w:r>
            <w:r>
              <w:rPr>
                <w:rFonts w:ascii="Arial" w:cs="Arial" w:eastAsia="Arial" w:hAnsi="Arial"/>
                <w:sz w:val="20"/>
                <w:szCs w:val="20"/>
                <w:color w:val="auto"/>
              </w:rPr>
              <w:t>ŽĨ</w:t>
            </w:r>
            <w:r>
              <w:rPr>
                <w:rFonts w:ascii="PMingLiU" w:cs="PMingLiU" w:eastAsia="PMingLiU" w:hAnsi="PMingLiU"/>
                <w:sz w:val="20"/>
                <w:szCs w:val="20"/>
                <w:color w:val="auto"/>
              </w:rPr>
              <w:t/>
            </w:r>
            <w:r>
              <w:rPr>
                <w:rFonts w:ascii="Arial" w:cs="Arial" w:eastAsia="Arial" w:hAnsi="Arial"/>
                <w:sz w:val="20"/>
                <w:szCs w:val="20"/>
                <w:color w:val="auto"/>
              </w:rPr>
              <w:t>ǀŝĂĚŽ</w:t>
            </w:r>
            <w:r>
              <w:rPr>
                <w:rFonts w:ascii="PMingLiU" w:cs="PMingLiU" w:eastAsia="PMingLiU" w:hAnsi="PMingLiU"/>
                <w:sz w:val="20"/>
                <w:szCs w:val="20"/>
                <w:color w:val="auto"/>
              </w:rPr>
              <w:t/>
            </w:r>
            <w:r>
              <w:rPr>
                <w:rFonts w:ascii="Arial" w:cs="Arial" w:eastAsia="Arial" w:hAnsi="Arial"/>
                <w:sz w:val="20"/>
                <w:szCs w:val="20"/>
                <w:color w:val="auto"/>
              </w:rPr>
              <w:t>/K</w:t>
            </w:r>
            <w:r>
              <w:rPr>
                <w:rFonts w:ascii="PMingLiU" w:cs="PMingLiU" w:eastAsia="PMingLiU" w:hAnsi="PMingLiU"/>
                <w:sz w:val="20"/>
                <w:szCs w:val="20"/>
                <w:color w:val="auto"/>
              </w:rPr>
              <w:t/>
            </w:r>
            <w:r>
              <w:rPr>
                <w:rFonts w:ascii="Arial" w:cs="Arial" w:eastAsia="Arial" w:hAnsi="Arial"/>
                <w:sz w:val="20"/>
                <w:szCs w:val="20"/>
                <w:color w:val="auto"/>
              </w:rPr>
              <w:t>&gt;ƚĚ</w:t>
            </w:r>
            <w:r>
              <w:rPr>
                <w:rFonts w:ascii="PMingLiU" w:cs="PMingLiU" w:eastAsia="PMingLiU" w:hAnsi="PMingLiU"/>
                <w:sz w:val="20"/>
                <w:szCs w:val="20"/>
                <w:color w:val="auto"/>
              </w:rPr>
              <w:t/>
            </w:r>
          </w:p>
        </w:tc>
        <w:tc>
          <w:tcPr>
            <w:tcW w:w="74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3040" w:type="dxa"/>
            <w:vAlign w:val="bottom"/>
            <w:gridSpan w:val="4"/>
          </w:tcPr>
          <w:p>
            <w:pPr>
              <w:ind w:left="200"/>
              <w:spacing w:after="0" w:line="243" w:lineRule="exact"/>
              <w:rPr>
                <w:sz w:val="20"/>
                <w:szCs w:val="20"/>
                <w:color w:val="auto"/>
              </w:rPr>
            </w:pPr>
            <w:r>
              <w:rPr>
                <w:rFonts w:ascii="PMingLiU" w:cs="PMingLiU" w:eastAsia="PMingLiU" w:hAnsi="PMingLiU"/>
                <w:sz w:val="20"/>
                <w:szCs w:val="20"/>
                <w:color w:val="auto"/>
                <w:w w:val="79"/>
              </w:rPr>
              <w:t/>
            </w:r>
            <w:r>
              <w:rPr>
                <w:rFonts w:ascii="Arial" w:cs="Arial" w:eastAsia="Arial" w:hAnsi="Arial"/>
                <w:sz w:val="20"/>
                <w:szCs w:val="20"/>
                <w:color w:val="auto"/>
                <w:w w:val="79"/>
              </w:rPr>
              <w:t>ĞƉŽƐŝƚĂƌǇ</w:t>
            </w:r>
            <w:r>
              <w:rPr>
                <w:rFonts w:ascii="PMingLiU" w:cs="PMingLiU" w:eastAsia="PMingLiU" w:hAnsi="PMingLiU"/>
                <w:sz w:val="20"/>
                <w:szCs w:val="20"/>
                <w:color w:val="auto"/>
                <w:w w:val="79"/>
              </w:rPr>
              <w:t/>
            </w:r>
            <w:r>
              <w:rPr>
                <w:rFonts w:ascii="Arial" w:cs="Arial" w:eastAsia="Arial" w:hAnsi="Arial"/>
                <w:sz w:val="20"/>
                <w:szCs w:val="20"/>
                <w:color w:val="auto"/>
                <w:w w:val="79"/>
              </w:rPr>
              <w:t>^ŚĂƌĞƐΎ</w:t>
            </w:r>
            <w:r>
              <w:rPr>
                <w:rFonts w:ascii="PMingLiU" w:cs="PMingLiU" w:eastAsia="PMingLiU" w:hAnsi="PMingLiU"/>
                <w:sz w:val="20"/>
                <w:szCs w:val="20"/>
                <w:color w:val="auto"/>
                <w:w w:val="79"/>
              </w:rPr>
              <w:t/>
            </w:r>
            <w:r>
              <w:rPr>
                <w:rFonts w:ascii="Arial" w:cs="Arial" w:eastAsia="Arial" w:hAnsi="Arial"/>
                <w:sz w:val="20"/>
                <w:szCs w:val="20"/>
                <w:color w:val="auto"/>
                <w:w w:val="79"/>
              </w:rPr>
              <w:t>ĂƌĞ</w:t>
            </w:r>
            <w:r>
              <w:rPr>
                <w:rFonts w:ascii="PMingLiU" w:cs="PMingLiU" w:eastAsia="PMingLiU" w:hAnsi="PMingLiU"/>
                <w:sz w:val="20"/>
                <w:szCs w:val="20"/>
                <w:color w:val="auto"/>
                <w:w w:val="79"/>
              </w:rPr>
              <w:t/>
            </w:r>
            <w:r>
              <w:rPr>
                <w:rFonts w:ascii="Arial" w:cs="Arial" w:eastAsia="Arial" w:hAnsi="Arial"/>
                <w:sz w:val="20"/>
                <w:szCs w:val="20"/>
                <w:color w:val="auto"/>
                <w:w w:val="79"/>
              </w:rPr>
              <w:t>ůŝƐƚĞĚ</w:t>
            </w:r>
            <w:r>
              <w:rPr>
                <w:rFonts w:ascii="PMingLiU" w:cs="PMingLiU" w:eastAsia="PMingLiU" w:hAnsi="PMingLiU"/>
                <w:sz w:val="20"/>
                <w:szCs w:val="20"/>
                <w:color w:val="auto"/>
                <w:w w:val="79"/>
              </w:rPr>
              <w:t/>
            </w:r>
            <w:r>
              <w:rPr>
                <w:rFonts w:ascii="Arial" w:cs="Arial" w:eastAsia="Arial" w:hAnsi="Arial"/>
                <w:sz w:val="20"/>
                <w:szCs w:val="20"/>
                <w:color w:val="auto"/>
                <w:w w:val="79"/>
              </w:rPr>
              <w:t>ĂŶĚ</w:t>
            </w:r>
            <w:r>
              <w:rPr>
                <w:rFonts w:ascii="PMingLiU" w:cs="PMingLiU" w:eastAsia="PMingLiU" w:hAnsi="PMingLiU"/>
                <w:sz w:val="20"/>
                <w:szCs w:val="20"/>
                <w:color w:val="auto"/>
                <w:w w:val="79"/>
              </w:rPr>
              <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5"/>
        </w:trPr>
        <w:tc>
          <w:tcPr>
            <w:tcW w:w="4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3600" w:type="dxa"/>
            <w:vAlign w:val="bottom"/>
            <w:gridSpan w:val="6"/>
          </w:tcPr>
          <w:p>
            <w:pPr>
              <w:ind w:left="200"/>
              <w:spacing w:after="0" w:line="243" w:lineRule="exact"/>
              <w:rPr>
                <w:sz w:val="20"/>
                <w:szCs w:val="20"/>
                <w:color w:val="auto"/>
              </w:rPr>
            </w:pPr>
            <w:r>
              <w:rPr>
                <w:rFonts w:ascii="Arial" w:cs="Arial" w:eastAsia="Arial" w:hAnsi="Arial"/>
                <w:sz w:val="20"/>
                <w:szCs w:val="20"/>
                <w:color w:val="auto"/>
                <w:w w:val="97"/>
              </w:rPr>
              <w:t>ƚƌĂĚĞĚ</w:t>
            </w:r>
            <w:r>
              <w:rPr>
                <w:rFonts w:ascii="PMingLiU" w:cs="PMingLiU" w:eastAsia="PMingLiU" w:hAnsi="PMingLiU"/>
                <w:sz w:val="20"/>
                <w:szCs w:val="20"/>
                <w:color w:val="auto"/>
                <w:w w:val="97"/>
              </w:rPr>
              <w:t/>
            </w:r>
            <w:r>
              <w:rPr>
                <w:rFonts w:ascii="Arial" w:cs="Arial" w:eastAsia="Arial" w:hAnsi="Arial"/>
                <w:sz w:val="20"/>
                <w:szCs w:val="20"/>
                <w:color w:val="auto"/>
                <w:w w:val="97"/>
              </w:rPr>
              <w:t>ŽŶ</w:t>
            </w:r>
            <w:r>
              <w:rPr>
                <w:rFonts w:ascii="PMingLiU" w:cs="PMingLiU" w:eastAsia="PMingLiU" w:hAnsi="PMingLiU"/>
                <w:sz w:val="20"/>
                <w:szCs w:val="20"/>
                <w:color w:val="auto"/>
                <w:w w:val="97"/>
              </w:rPr>
              <w:t/>
            </w:r>
            <w:r>
              <w:rPr>
                <w:rFonts w:ascii="Arial" w:cs="Arial" w:eastAsia="Arial" w:hAnsi="Arial"/>
                <w:sz w:val="20"/>
                <w:szCs w:val="20"/>
                <w:color w:val="auto"/>
                <w:w w:val="97"/>
              </w:rPr>
              <w:t>ƚŚĞ</w:t>
            </w:r>
            <w:r>
              <w:rPr>
                <w:rFonts w:ascii="PMingLiU" w:cs="PMingLiU" w:eastAsia="PMingLiU" w:hAnsi="PMingLiU"/>
                <w:sz w:val="20"/>
                <w:szCs w:val="20"/>
                <w:color w:val="auto"/>
                <w:w w:val="97"/>
              </w:rPr>
              <w:t/>
            </w:r>
            <w:r>
              <w:rPr>
                <w:rFonts w:ascii="Arial" w:cs="Arial" w:eastAsia="Arial" w:hAnsi="Arial"/>
                <w:sz w:val="20"/>
                <w:szCs w:val="20"/>
                <w:color w:val="auto"/>
                <w:w w:val="97"/>
              </w:rPr>
              <w:t>EĂƐĚĂƋ</w:t>
            </w:r>
            <w:r>
              <w:rPr>
                <w:rFonts w:ascii="PMingLiU" w:cs="PMingLiU" w:eastAsia="PMingLiU" w:hAnsi="PMingLiU"/>
                <w:sz w:val="20"/>
                <w:szCs w:val="20"/>
                <w:color w:val="auto"/>
                <w:w w:val="97"/>
              </w:rPr>
              <w:t/>
            </w:r>
            <w:r>
              <w:rPr>
                <w:rFonts w:ascii="Arial" w:cs="Arial" w:eastAsia="Arial" w:hAnsi="Arial"/>
                <w:sz w:val="20"/>
                <w:szCs w:val="20"/>
                <w:color w:val="auto"/>
                <w:w w:val="97"/>
              </w:rPr>
              <w:t>'ůŽďĂů</w:t>
            </w:r>
            <w:r>
              <w:rPr>
                <w:rFonts w:ascii="PMingLiU" w:cs="PMingLiU" w:eastAsia="PMingLiU" w:hAnsi="PMingLiU"/>
                <w:sz w:val="20"/>
                <w:szCs w:val="20"/>
                <w:color w:val="auto"/>
                <w:w w:val="97"/>
              </w:rPr>
              <w:t/>
            </w:r>
            <w:r>
              <w:rPr>
                <w:rFonts w:ascii="Arial" w:cs="Arial" w:eastAsia="Arial" w:hAnsi="Arial"/>
                <w:sz w:val="20"/>
                <w:szCs w:val="20"/>
                <w:color w:val="auto"/>
                <w:w w:val="97"/>
              </w:rPr>
              <w:t>DĂƌŬĞƚ</w:t>
            </w:r>
            <w:r>
              <w:rPr>
                <w:rFonts w:ascii="PMingLiU" w:cs="PMingLiU" w:eastAsia="PMingLiU" w:hAnsi="PMingLiU"/>
                <w:sz w:val="20"/>
                <w:szCs w:val="20"/>
                <w:color w:val="auto"/>
                <w:w w:val="97"/>
              </w:rPr>
              <w:t/>
            </w:r>
          </w:p>
        </w:tc>
      </w:tr>
      <w:tr>
        <w:trPr>
          <w:trHeight w:val="242"/>
        </w:trPr>
        <w:tc>
          <w:tcPr>
            <w:tcW w:w="2060" w:type="dxa"/>
            <w:vAlign w:val="bottom"/>
            <w:gridSpan w:val="4"/>
          </w:tcPr>
          <w:p>
            <w:pPr>
              <w:spacing w:after="0" w:line="243" w:lineRule="exact"/>
              <w:rPr>
                <w:sz w:val="20"/>
                <w:szCs w:val="20"/>
                <w:color w:val="auto"/>
              </w:rPr>
            </w:pPr>
            <w:r>
              <w:rPr>
                <w:rFonts w:ascii="Arial" w:cs="Arial" w:eastAsia="Arial" w:hAnsi="Arial"/>
                <w:sz w:val="20"/>
                <w:szCs w:val="20"/>
                <w:color w:val="auto"/>
              </w:rPr>
              <w:t>DĂƌƚŝŶ</w:t>
            </w:r>
            <w:r>
              <w:rPr>
                <w:rFonts w:ascii="PMingLiU" w:cs="PMingLiU" w:eastAsia="PMingLiU" w:hAnsi="PMingLiU"/>
                <w:sz w:val="20"/>
                <w:szCs w:val="20"/>
                <w:color w:val="auto"/>
              </w:rPr>
              <w:t/>
            </w:r>
            <w:r>
              <w:rPr>
                <w:rFonts w:ascii="Arial" w:cs="Arial" w:eastAsia="Arial" w:hAnsi="Arial"/>
                <w:sz w:val="20"/>
                <w:szCs w:val="20"/>
                <w:color w:val="auto"/>
              </w:rPr>
              <w:t>ĚǁĂƌĚƐ͕</w:t>
            </w:r>
            <w:r>
              <w:rPr>
                <w:rFonts w:ascii="PMingLiU" w:cs="PMingLiU" w:eastAsia="PMingLiU" w:hAnsi="PMingLiU"/>
                <w:sz w:val="20"/>
                <w:szCs w:val="20"/>
                <w:color w:val="auto"/>
              </w:rPr>
              <w:t/>
            </w:r>
            <w:r>
              <w:rPr>
                <w:rFonts w:ascii="Arial" w:cs="Arial" w:eastAsia="Arial" w:hAnsi="Arial"/>
                <w:sz w:val="20"/>
                <w:szCs w:val="20"/>
                <w:color w:val="auto"/>
              </w:rPr>
              <w:t>D͘</w:t>
            </w:r>
            <w:r>
              <w:rPr>
                <w:rFonts w:ascii="PMingLiU" w:cs="PMingLiU" w:eastAsia="PMingLiU" w:hAnsi="PMingLiU"/>
                <w:sz w:val="20"/>
                <w:szCs w:val="20"/>
                <w:color w:val="auto"/>
              </w:rPr>
              <w:t/>
            </w:r>
          </w:p>
        </w:tc>
        <w:tc>
          <w:tcPr>
            <w:tcW w:w="74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3040" w:type="dxa"/>
            <w:vAlign w:val="bottom"/>
            <w:gridSpan w:val="4"/>
          </w:tcPr>
          <w:p>
            <w:pPr>
              <w:ind w:left="200"/>
              <w:spacing w:after="0"/>
              <w:rPr>
                <w:sz w:val="20"/>
                <w:szCs w:val="20"/>
                <w:color w:val="auto"/>
              </w:rPr>
            </w:pPr>
            <w:r>
              <w:rPr>
                <w:rFonts w:ascii="Arial" w:cs="Arial" w:eastAsia="Arial" w:hAnsi="Arial"/>
                <w:sz w:val="20"/>
                <w:szCs w:val="20"/>
                <w:color w:val="auto"/>
              </w:rPr>
              <w:t>under the ticker symbol “VRNA”</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4"/>
        </w:trPr>
        <w:tc>
          <w:tcPr>
            <w:tcW w:w="4080" w:type="dxa"/>
            <w:vAlign w:val="bottom"/>
            <w:gridSpan w:val="8"/>
          </w:tcPr>
          <w:p>
            <w:pPr>
              <w:spacing w:after="0" w:line="243" w:lineRule="exact"/>
              <w:rPr>
                <w:sz w:val="20"/>
                <w:szCs w:val="20"/>
                <w:color w:val="auto"/>
              </w:rPr>
            </w:pPr>
            <w:r>
              <w:rPr>
                <w:rFonts w:ascii="Arial" w:cs="Arial" w:eastAsia="Arial" w:hAnsi="Arial"/>
                <w:sz w:val="20"/>
                <w:szCs w:val="20"/>
                <w:color w:val="auto"/>
                <w:w w:val="97"/>
              </w:rPr>
              <w:t>&amp;ŽƌŵĞƌůǇ</w:t>
            </w:r>
            <w:r>
              <w:rPr>
                <w:rFonts w:ascii="PMingLiU" w:cs="PMingLiU" w:eastAsia="PMingLiU" w:hAnsi="PMingLiU"/>
                <w:sz w:val="20"/>
                <w:szCs w:val="20"/>
                <w:color w:val="auto"/>
                <w:w w:val="97"/>
              </w:rPr>
              <w:t/>
            </w:r>
            <w:r>
              <w:rPr>
                <w:rFonts w:ascii="Arial" w:cs="Arial" w:eastAsia="Arial" w:hAnsi="Arial"/>
                <w:sz w:val="20"/>
                <w:szCs w:val="20"/>
                <w:color w:val="auto"/>
                <w:w w:val="97"/>
              </w:rPr>
              <w:t>^ĞŶŝŽƌ</w:t>
            </w:r>
            <w:r>
              <w:rPr>
                <w:rFonts w:ascii="PMingLiU" w:cs="PMingLiU" w:eastAsia="PMingLiU" w:hAnsi="PMingLiU"/>
                <w:sz w:val="20"/>
                <w:szCs w:val="20"/>
                <w:color w:val="auto"/>
                <w:w w:val="97"/>
              </w:rPr>
              <w:t/>
            </w:r>
            <w:r>
              <w:rPr>
                <w:rFonts w:ascii="Arial" w:cs="Arial" w:eastAsia="Arial" w:hAnsi="Arial"/>
                <w:sz w:val="20"/>
                <w:szCs w:val="20"/>
                <w:color w:val="auto"/>
                <w:w w:val="97"/>
              </w:rPr>
              <w:t>WĂƌƚŶĞƌ͕</w:t>
            </w:r>
            <w:r>
              <w:rPr>
                <w:rFonts w:ascii="PMingLiU" w:cs="PMingLiU" w:eastAsia="PMingLiU" w:hAnsi="PMingLiU"/>
                <w:sz w:val="20"/>
                <w:szCs w:val="20"/>
                <w:color w:val="auto"/>
                <w:w w:val="97"/>
              </w:rPr>
              <w:t/>
            </w:r>
            <w:r>
              <w:rPr>
                <w:rFonts w:ascii="Arial" w:cs="Arial" w:eastAsia="Arial" w:hAnsi="Arial"/>
                <w:sz w:val="20"/>
                <w:szCs w:val="20"/>
                <w:color w:val="auto"/>
                <w:w w:val="97"/>
              </w:rPr>
              <w:t>EŽǀŽ</w:t>
            </w:r>
            <w:r>
              <w:rPr>
                <w:rFonts w:ascii="PMingLiU" w:cs="PMingLiU" w:eastAsia="PMingLiU" w:hAnsi="PMingLiU"/>
                <w:sz w:val="20"/>
                <w:szCs w:val="20"/>
                <w:color w:val="auto"/>
                <w:w w:val="97"/>
              </w:rPr>
              <w:t/>
            </w:r>
            <w:r>
              <w:rPr>
                <w:rFonts w:ascii="Arial" w:cs="Arial" w:eastAsia="Arial" w:hAnsi="Arial"/>
                <w:sz w:val="20"/>
                <w:szCs w:val="20"/>
                <w:color w:val="auto"/>
                <w:w w:val="97"/>
              </w:rPr>
              <w:t>,ŽůĚŝŶŐƐ</w:t>
            </w:r>
            <w:r>
              <w:rPr>
                <w:rFonts w:ascii="PMingLiU" w:cs="PMingLiU" w:eastAsia="PMingLiU" w:hAnsi="PMingLiU"/>
                <w:sz w:val="20"/>
                <w:szCs w:val="20"/>
                <w:color w:val="auto"/>
                <w:w w:val="97"/>
              </w:rPr>
              <w:t/>
            </w:r>
            <w:r>
              <w:rPr>
                <w:rFonts w:ascii="Arial" w:cs="Arial" w:eastAsia="Arial" w:hAnsi="Arial"/>
                <w:sz w:val="20"/>
                <w:szCs w:val="20"/>
                <w:color w:val="auto"/>
                <w:w w:val="97"/>
              </w:rPr>
              <w:t>ͬ^</w:t>
            </w:r>
            <w:r>
              <w:rPr>
                <w:rFonts w:ascii="PMingLiU" w:cs="PMingLiU" w:eastAsia="PMingLiU" w:hAnsi="PMingLiU"/>
                <w:sz w:val="20"/>
                <w:szCs w:val="20"/>
                <w:color w:val="auto"/>
                <w:w w:val="97"/>
              </w:rPr>
              <w:t/>
            </w:r>
          </w:p>
        </w:tc>
        <w:tc>
          <w:tcPr>
            <w:tcW w:w="88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4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ind w:right="4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5"/>
        </w:trPr>
        <w:tc>
          <w:tcPr>
            <w:tcW w:w="4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18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4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3600" w:type="dxa"/>
            <w:vAlign w:val="bottom"/>
            <w:gridSpan w:val="6"/>
          </w:tcPr>
          <w:p>
            <w:pPr>
              <w:ind w:left="200"/>
              <w:spacing w:after="0" w:line="243" w:lineRule="exact"/>
              <w:rPr>
                <w:sz w:val="20"/>
                <w:szCs w:val="20"/>
                <w:color w:val="auto"/>
              </w:rPr>
            </w:pPr>
            <w:r>
              <w:rPr>
                <w:rFonts w:ascii="Arial" w:cs="Arial" w:eastAsia="Arial" w:hAnsi="Arial"/>
                <w:sz w:val="20"/>
                <w:szCs w:val="20"/>
                <w:color w:val="auto"/>
              </w:rPr>
              <w:t>Ύ</w:t>
            </w:r>
            <w:r>
              <w:rPr>
                <w:rFonts w:ascii="PMingLiU" w:cs="PMingLiU" w:eastAsia="PMingLiU" w:hAnsi="PMingLiU"/>
                <w:sz w:val="18"/>
                <w:szCs w:val="18"/>
                <w:color w:val="auto"/>
              </w:rPr>
              <w:t/>
            </w:r>
            <w:r>
              <w:rPr>
                <w:rFonts w:ascii="Arial" w:cs="Arial" w:eastAsia="Arial" w:hAnsi="Arial"/>
                <w:sz w:val="18"/>
                <w:szCs w:val="18"/>
                <w:color w:val="auto"/>
              </w:rPr>
              <w:t>ĂĐŚ</w:t>
            </w:r>
            <w:r>
              <w:rPr>
                <w:rFonts w:ascii="PMingLiU" w:cs="PMingLiU" w:eastAsia="PMingLiU" w:hAnsi="PMingLiU"/>
                <w:sz w:val="18"/>
                <w:szCs w:val="18"/>
                <w:color w:val="auto"/>
              </w:rPr>
              <w:t/>
            </w:r>
            <w:r>
              <w:rPr>
                <w:rFonts w:ascii="Arial" w:cs="Arial" w:eastAsia="Arial" w:hAnsi="Arial"/>
                <w:sz w:val="18"/>
                <w:szCs w:val="18"/>
                <w:color w:val="auto"/>
              </w:rPr>
              <w:t>^</w:t>
            </w:r>
            <w:r>
              <w:rPr>
                <w:rFonts w:ascii="PMingLiU" w:cs="PMingLiU" w:eastAsia="PMingLiU" w:hAnsi="PMingLiU"/>
                <w:sz w:val="18"/>
                <w:szCs w:val="18"/>
                <w:color w:val="auto"/>
              </w:rPr>
              <w:t/>
            </w:r>
            <w:r>
              <w:rPr>
                <w:rFonts w:ascii="Arial" w:cs="Arial" w:eastAsia="Arial" w:hAnsi="Arial"/>
                <w:sz w:val="18"/>
                <w:szCs w:val="18"/>
                <w:color w:val="auto"/>
              </w:rPr>
              <w:t>ůŝƐƚĞĚ</w:t>
            </w:r>
            <w:r>
              <w:rPr>
                <w:rFonts w:ascii="PMingLiU" w:cs="PMingLiU" w:eastAsia="PMingLiU" w:hAnsi="PMingLiU"/>
                <w:sz w:val="18"/>
                <w:szCs w:val="18"/>
                <w:color w:val="auto"/>
              </w:rPr>
              <w:t/>
            </w:r>
            <w:r>
              <w:rPr>
                <w:rFonts w:ascii="Arial" w:cs="Arial" w:eastAsia="Arial" w:hAnsi="Arial"/>
                <w:sz w:val="18"/>
                <w:szCs w:val="18"/>
                <w:color w:val="auto"/>
              </w:rPr>
              <w:t>ŽŶ</w:t>
            </w:r>
            <w:r>
              <w:rPr>
                <w:rFonts w:ascii="PMingLiU" w:cs="PMingLiU" w:eastAsia="PMingLiU" w:hAnsi="PMingLiU"/>
                <w:sz w:val="18"/>
                <w:szCs w:val="18"/>
                <w:color w:val="auto"/>
              </w:rPr>
              <w:t/>
            </w:r>
            <w:r>
              <w:rPr>
                <w:rFonts w:ascii="Arial" w:cs="Arial" w:eastAsia="Arial" w:hAnsi="Arial"/>
                <w:sz w:val="18"/>
                <w:szCs w:val="18"/>
                <w:color w:val="auto"/>
              </w:rPr>
              <w:t>ƚŚĞ</w:t>
            </w:r>
            <w:r>
              <w:rPr>
                <w:rFonts w:ascii="PMingLiU" w:cs="PMingLiU" w:eastAsia="PMingLiU" w:hAnsi="PMingLiU"/>
                <w:sz w:val="18"/>
                <w:szCs w:val="18"/>
                <w:color w:val="auto"/>
              </w:rPr>
              <w:t/>
            </w:r>
            <w:r>
              <w:rPr>
                <w:rFonts w:ascii="Arial" w:cs="Arial" w:eastAsia="Arial" w:hAnsi="Arial"/>
                <w:sz w:val="18"/>
                <w:szCs w:val="18"/>
                <w:color w:val="auto"/>
              </w:rPr>
              <w:t>EĂƐĚĂƋ</w:t>
            </w:r>
            <w:r>
              <w:rPr>
                <w:rFonts w:ascii="PMingLiU" w:cs="PMingLiU" w:eastAsia="PMingLiU" w:hAnsi="PMingLiU"/>
                <w:sz w:val="18"/>
                <w:szCs w:val="18"/>
                <w:color w:val="auto"/>
              </w:rPr>
              <w:t/>
            </w:r>
            <w:r>
              <w:rPr>
                <w:rFonts w:ascii="Arial" w:cs="Arial" w:eastAsia="Arial" w:hAnsi="Arial"/>
                <w:sz w:val="18"/>
                <w:szCs w:val="18"/>
                <w:color w:val="auto"/>
              </w:rPr>
              <w:t>'ůŽďĂů</w:t>
            </w:r>
            <w:r>
              <w:rPr>
                <w:rFonts w:ascii="PMingLiU" w:cs="PMingLiU" w:eastAsia="PMingLiU" w:hAnsi="PMingLiU"/>
                <w:sz w:val="20"/>
                <w:szCs w:val="20"/>
                <w:color w:val="auto"/>
              </w:rPr>
              <w:t/>
            </w:r>
          </w:p>
        </w:tc>
      </w:tr>
      <w:tr>
        <w:trPr>
          <w:trHeight w:val="242"/>
        </w:trPr>
        <w:tc>
          <w:tcPr>
            <w:tcW w:w="20" w:type="dxa"/>
            <w:vAlign w:val="bottom"/>
          </w:tcPr>
          <w:p>
            <w:pPr>
              <w:spacing w:after="0"/>
              <w:rPr>
                <w:sz w:val="21"/>
                <w:szCs w:val="21"/>
                <w:color w:val="auto"/>
              </w:rPr>
            </w:pPr>
          </w:p>
        </w:tc>
        <w:tc>
          <w:tcPr>
            <w:tcW w:w="2040" w:type="dxa"/>
            <w:vAlign w:val="bottom"/>
            <w:gridSpan w:val="3"/>
          </w:tcPr>
          <w:p>
            <w:pPr>
              <w:spacing w:after="0" w:line="243" w:lineRule="exact"/>
              <w:rPr>
                <w:sz w:val="20"/>
                <w:szCs w:val="20"/>
                <w:color w:val="auto"/>
              </w:rPr>
            </w:pPr>
            <w:r>
              <w:rPr>
                <w:rFonts w:ascii="Arial" w:cs="Arial" w:eastAsia="Arial" w:hAnsi="Arial"/>
                <w:sz w:val="20"/>
                <w:szCs w:val="20"/>
                <w:color w:val="auto"/>
              </w:rPr>
              <w:t>DĂŚĞŶĚƌĂ</w:t>
            </w:r>
            <w:r>
              <w:rPr>
                <w:rFonts w:ascii="PMingLiU" w:cs="PMingLiU" w:eastAsia="PMingLiU" w:hAnsi="PMingLiU"/>
                <w:sz w:val="20"/>
                <w:szCs w:val="20"/>
                <w:color w:val="auto"/>
              </w:rPr>
              <w:t/>
            </w:r>
            <w:r>
              <w:rPr>
                <w:rFonts w:ascii="Arial" w:cs="Arial" w:eastAsia="Arial" w:hAnsi="Arial"/>
                <w:sz w:val="20"/>
                <w:szCs w:val="20"/>
                <w:color w:val="auto"/>
              </w:rPr>
              <w:t>^ŚĂŚ͕</w:t>
            </w:r>
            <w:r>
              <w:rPr>
                <w:rFonts w:ascii="PMingLiU" w:cs="PMingLiU" w:eastAsia="PMingLiU" w:hAnsi="PMingLiU"/>
                <w:sz w:val="20"/>
                <w:szCs w:val="20"/>
                <w:color w:val="auto"/>
              </w:rPr>
              <w:t/>
            </w:r>
            <w:r>
              <w:rPr>
                <w:rFonts w:ascii="Arial" w:cs="Arial" w:eastAsia="Arial" w:hAnsi="Arial"/>
                <w:sz w:val="20"/>
                <w:szCs w:val="20"/>
                <w:color w:val="auto"/>
              </w:rPr>
              <w:t>WŚ͘</w:t>
            </w: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3040" w:type="dxa"/>
            <w:vAlign w:val="bottom"/>
            <w:gridSpan w:val="4"/>
          </w:tcPr>
          <w:p>
            <w:pPr>
              <w:ind w:left="220"/>
              <w:spacing w:after="0" w:line="231" w:lineRule="exact"/>
              <w:rPr>
                <w:sz w:val="20"/>
                <w:szCs w:val="20"/>
                <w:color w:val="auto"/>
              </w:rPr>
            </w:pPr>
            <w:r>
              <w:rPr>
                <w:rFonts w:ascii="Arial" w:cs="Arial" w:eastAsia="Arial" w:hAnsi="Arial"/>
                <w:sz w:val="18"/>
                <w:szCs w:val="18"/>
                <w:color w:val="auto"/>
                <w:w w:val="78"/>
              </w:rPr>
              <w:t>DĂƌŬĞƚ</w:t>
            </w:r>
            <w:r>
              <w:rPr>
                <w:rFonts w:ascii="PMingLiU" w:cs="PMingLiU" w:eastAsia="PMingLiU" w:hAnsi="PMingLiU"/>
                <w:sz w:val="18"/>
                <w:szCs w:val="18"/>
                <w:color w:val="auto"/>
                <w:w w:val="78"/>
              </w:rPr>
              <w:t/>
            </w:r>
            <w:r>
              <w:rPr>
                <w:rFonts w:ascii="Arial" w:cs="Arial" w:eastAsia="Arial" w:hAnsi="Arial"/>
                <w:sz w:val="18"/>
                <w:szCs w:val="18"/>
                <w:color w:val="auto"/>
                <w:w w:val="78"/>
              </w:rPr>
              <w:t>ƌĞƉƌĞƐĞŶƚƐ</w:t>
            </w:r>
            <w:r>
              <w:rPr>
                <w:rFonts w:ascii="PMingLiU" w:cs="PMingLiU" w:eastAsia="PMingLiU" w:hAnsi="PMingLiU"/>
                <w:sz w:val="18"/>
                <w:szCs w:val="18"/>
                <w:color w:val="auto"/>
                <w:w w:val="78"/>
              </w:rPr>
              <w:t/>
            </w:r>
            <w:r>
              <w:rPr>
                <w:rFonts w:ascii="Arial" w:cs="Arial" w:eastAsia="Arial" w:hAnsi="Arial"/>
                <w:sz w:val="18"/>
                <w:szCs w:val="18"/>
                <w:color w:val="auto"/>
                <w:w w:val="78"/>
              </w:rPr>
              <w:t>ϴ</w:t>
            </w:r>
            <w:r>
              <w:rPr>
                <w:rFonts w:ascii="PMingLiU" w:cs="PMingLiU" w:eastAsia="PMingLiU" w:hAnsi="PMingLiU"/>
                <w:sz w:val="18"/>
                <w:szCs w:val="18"/>
                <w:color w:val="auto"/>
                <w:w w:val="78"/>
              </w:rPr>
              <w:t/>
            </w:r>
            <w:r>
              <w:rPr>
                <w:rFonts w:ascii="Arial" w:cs="Arial" w:eastAsia="Arial" w:hAnsi="Arial"/>
                <w:sz w:val="18"/>
                <w:szCs w:val="18"/>
                <w:color w:val="auto"/>
                <w:w w:val="78"/>
              </w:rPr>
              <w:t>ŽƌĚŝŶĂƌǇ</w:t>
            </w:r>
            <w:r>
              <w:rPr>
                <w:rFonts w:ascii="PMingLiU" w:cs="PMingLiU" w:eastAsia="PMingLiU" w:hAnsi="PMingLiU"/>
                <w:sz w:val="18"/>
                <w:szCs w:val="18"/>
                <w:color w:val="auto"/>
                <w:w w:val="78"/>
              </w:rPr>
              <w:t/>
            </w:r>
            <w:r>
              <w:rPr>
                <w:rFonts w:ascii="Arial" w:cs="Arial" w:eastAsia="Arial" w:hAnsi="Arial"/>
                <w:sz w:val="18"/>
                <w:szCs w:val="18"/>
                <w:color w:val="auto"/>
                <w:w w:val="78"/>
              </w:rPr>
              <w:t>ƐŚĂƌĞƐ</w:t>
            </w:r>
            <w:r>
              <w:rPr>
                <w:rFonts w:ascii="PMingLiU" w:cs="PMingLiU" w:eastAsia="PMingLiU" w:hAnsi="PMingLiU"/>
                <w:sz w:val="19"/>
                <w:szCs w:val="19"/>
                <w:color w:val="auto"/>
                <w:w w:val="78"/>
              </w:rPr>
              <w:t/>
            </w:r>
          </w:p>
        </w:tc>
        <w:tc>
          <w:tcPr>
            <w:tcW w:w="5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20" w:type="dxa"/>
            <w:vAlign w:val="bottom"/>
          </w:tcPr>
          <w:p>
            <w:pPr>
              <w:spacing w:after="0"/>
              <w:rPr>
                <w:sz w:val="21"/>
                <w:szCs w:val="21"/>
                <w:color w:val="auto"/>
              </w:rPr>
            </w:pPr>
          </w:p>
        </w:tc>
        <w:tc>
          <w:tcPr>
            <w:tcW w:w="2780" w:type="dxa"/>
            <w:vAlign w:val="bottom"/>
            <w:gridSpan w:val="4"/>
          </w:tcPr>
          <w:p>
            <w:pPr>
              <w:spacing w:after="0" w:line="243" w:lineRule="exact"/>
              <w:rPr>
                <w:sz w:val="20"/>
                <w:szCs w:val="20"/>
                <w:color w:val="auto"/>
              </w:rPr>
            </w:pPr>
            <w:r>
              <w:rPr>
                <w:rFonts w:ascii="Arial" w:cs="Arial" w:eastAsia="Arial" w:hAnsi="Arial"/>
                <w:sz w:val="20"/>
                <w:szCs w:val="20"/>
                <w:color w:val="auto"/>
              </w:rPr>
              <w:t>^ĞŶŝŽƌ</w:t>
            </w:r>
            <w:r>
              <w:rPr>
                <w:rFonts w:ascii="PMingLiU" w:cs="PMingLiU" w:eastAsia="PMingLiU" w:hAnsi="PMingLiU"/>
                <w:sz w:val="20"/>
                <w:szCs w:val="20"/>
                <w:color w:val="auto"/>
              </w:rPr>
              <w:t/>
            </w:r>
            <w:r>
              <w:rPr>
                <w:rFonts w:ascii="Arial" w:cs="Arial" w:eastAsia="Arial" w:hAnsi="Arial"/>
                <w:sz w:val="20"/>
                <w:szCs w:val="20"/>
                <w:color w:val="auto"/>
              </w:rPr>
              <w:t>&amp;ĞůůŽǁ͕</w:t>
            </w:r>
            <w:r>
              <w:rPr>
                <w:rFonts w:ascii="PMingLiU" w:cs="PMingLiU" w:eastAsia="PMingLiU" w:hAnsi="PMingLiU"/>
                <w:sz w:val="20"/>
                <w:szCs w:val="20"/>
                <w:color w:val="auto"/>
              </w:rPr>
              <w:t/>
            </w:r>
            <w:r>
              <w:rPr>
                <w:rFonts w:ascii="Arial" w:cs="Arial" w:eastAsia="Arial" w:hAnsi="Arial"/>
                <w:sz w:val="20"/>
                <w:szCs w:val="20"/>
                <w:color w:val="auto"/>
              </w:rPr>
              <w:t>sŝǀŽ</w:t>
            </w:r>
            <w:r>
              <w:rPr>
                <w:rFonts w:ascii="PMingLiU" w:cs="PMingLiU" w:eastAsia="PMingLiU" w:hAnsi="PMingLiU"/>
                <w:sz w:val="20"/>
                <w:szCs w:val="20"/>
                <w:color w:val="auto"/>
              </w:rPr>
              <w:t/>
            </w:r>
            <w:r>
              <w:rPr>
                <w:rFonts w:ascii="Arial" w:cs="Arial" w:eastAsia="Arial" w:hAnsi="Arial"/>
                <w:sz w:val="20"/>
                <w:szCs w:val="20"/>
                <w:color w:val="auto"/>
              </w:rPr>
              <w:t>ĂƉŝƚĂů</w:t>
            </w:r>
            <w:r>
              <w:rPr>
                <w:rFonts w:ascii="PMingLiU" w:cs="PMingLiU" w:eastAsia="PMingLiU" w:hAnsi="PMingLiU"/>
                <w:sz w:val="20"/>
                <w:szCs w:val="20"/>
                <w:b w:val="1"/>
                <w:bCs w:val="1"/>
                <w:color w:val="auto"/>
              </w:rPr>
              <w:t/>
            </w:r>
            <w:r>
              <w:rPr>
                <w:rFonts w:ascii="Arial" w:cs="Arial" w:eastAsia="Arial" w:hAnsi="Arial"/>
                <w:sz w:val="20"/>
                <w:szCs w:val="20"/>
                <w:color w:val="auto"/>
              </w:rPr>
              <w:t>&gt;&gt;</w:t>
            </w: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2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4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ind w:right="4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5"/>
        </w:trPr>
        <w:tc>
          <w:tcPr>
            <w:tcW w:w="40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2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4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ind w:right="4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1340" w:type="dxa"/>
            <w:vAlign w:val="bottom"/>
            <w:gridSpan w:val="3"/>
          </w:tcPr>
          <w:p>
            <w:pPr>
              <w:ind w:left="20"/>
              <w:spacing w:after="0" w:line="243" w:lineRule="exact"/>
              <w:rPr>
                <w:sz w:val="20"/>
                <w:szCs w:val="20"/>
                <w:color w:val="auto"/>
              </w:rPr>
            </w:pPr>
            <w:r>
              <w:rPr>
                <w:rFonts w:ascii="Arial" w:cs="Arial" w:eastAsia="Arial" w:hAnsi="Arial"/>
                <w:sz w:val="20"/>
                <w:szCs w:val="20"/>
                <w:color w:val="auto"/>
              </w:rPr>
              <w:t>sŝŬĂƐ</w:t>
            </w:r>
            <w:r>
              <w:rPr>
                <w:rFonts w:ascii="PMingLiU" w:cs="PMingLiU" w:eastAsia="PMingLiU" w:hAnsi="PMingLiU"/>
                <w:sz w:val="20"/>
                <w:szCs w:val="20"/>
                <w:color w:val="auto"/>
              </w:rPr>
              <w:t/>
            </w:r>
            <w:r>
              <w:rPr>
                <w:rFonts w:ascii="Arial" w:cs="Arial" w:eastAsia="Arial" w:hAnsi="Arial"/>
                <w:sz w:val="20"/>
                <w:szCs w:val="20"/>
                <w:color w:val="auto"/>
              </w:rPr>
              <w:t>^ŝŶŚĂ</w:t>
            </w:r>
            <w:r>
              <w:rPr>
                <w:rFonts w:ascii="PMingLiU" w:cs="PMingLiU" w:eastAsia="PMingLiU" w:hAnsi="PMingLiU"/>
                <w:sz w:val="20"/>
                <w:szCs w:val="20"/>
                <w:color w:val="auto"/>
              </w:rPr>
              <w:t/>
            </w:r>
          </w:p>
        </w:tc>
        <w:tc>
          <w:tcPr>
            <w:tcW w:w="72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2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4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ind w:right="4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r>
      <w:tr>
        <w:trPr>
          <w:trHeight w:val="242"/>
        </w:trPr>
        <w:tc>
          <w:tcPr>
            <w:tcW w:w="2060" w:type="dxa"/>
            <w:vAlign w:val="bottom"/>
            <w:gridSpan w:val="4"/>
          </w:tcPr>
          <w:p>
            <w:pPr>
              <w:ind w:left="20"/>
              <w:spacing w:after="0" w:line="243" w:lineRule="exact"/>
              <w:rPr>
                <w:sz w:val="20"/>
                <w:szCs w:val="20"/>
                <w:color w:val="auto"/>
              </w:rPr>
            </w:pPr>
            <w:r>
              <w:rPr>
                <w:rFonts w:ascii="PMingLiU" w:cs="PMingLiU" w:eastAsia="PMingLiU" w:hAnsi="PMingLiU"/>
                <w:sz w:val="20"/>
                <w:szCs w:val="20"/>
                <w:color w:val="auto"/>
              </w:rPr>
              <w:t/>
            </w:r>
            <w:r>
              <w:rPr>
                <w:rFonts w:ascii="Arial" w:cs="Arial" w:eastAsia="Arial" w:hAnsi="Arial"/>
                <w:sz w:val="20"/>
                <w:szCs w:val="20"/>
                <w:color w:val="auto"/>
              </w:rPr>
              <w:t>&amp;K</w:t>
            </w:r>
            <w:r>
              <w:rPr>
                <w:rFonts w:ascii="PMingLiU" w:cs="PMingLiU" w:eastAsia="PMingLiU" w:hAnsi="PMingLiU"/>
                <w:sz w:val="20"/>
                <w:szCs w:val="20"/>
                <w:color w:val="auto"/>
              </w:rPr>
              <w:t/>
            </w:r>
            <w:r>
              <w:rPr>
                <w:rFonts w:ascii="Arial" w:cs="Arial" w:eastAsia="Arial" w:hAnsi="Arial"/>
                <w:sz w:val="20"/>
                <w:szCs w:val="20"/>
                <w:color w:val="auto"/>
              </w:rPr>
              <w:t>ŽĨ</w:t>
            </w:r>
            <w:r>
              <w:rPr>
                <w:rFonts w:ascii="PMingLiU" w:cs="PMingLiU" w:eastAsia="PMingLiU" w:hAnsi="PMingLiU"/>
                <w:sz w:val="20"/>
                <w:szCs w:val="20"/>
                <w:color w:val="auto"/>
              </w:rPr>
              <w:t/>
            </w:r>
            <w:r>
              <w:rPr>
                <w:rFonts w:ascii="Arial" w:cs="Arial" w:eastAsia="Arial" w:hAnsi="Arial"/>
                <w:sz w:val="20"/>
                <w:szCs w:val="20"/>
                <w:color w:val="auto"/>
              </w:rPr>
              <w:t>ůĞǀĂƚĞ</w:t>
            </w:r>
            <w:r>
              <w:rPr>
                <w:rFonts w:ascii="PMingLiU" w:cs="PMingLiU" w:eastAsia="PMingLiU" w:hAnsi="PMingLiU"/>
                <w:sz w:val="20"/>
                <w:szCs w:val="20"/>
                <w:color w:val="auto"/>
              </w:rPr>
              <w:t/>
            </w:r>
            <w:r>
              <w:rPr>
                <w:rFonts w:ascii="Arial" w:cs="Arial" w:eastAsia="Arial" w:hAnsi="Arial"/>
                <w:sz w:val="20"/>
                <w:szCs w:val="20"/>
                <w:color w:val="auto"/>
              </w:rPr>
              <w:t>ŝŽ͕</w:t>
            </w:r>
            <w:r>
              <w:rPr>
                <w:rFonts w:ascii="PMingLiU" w:cs="PMingLiU" w:eastAsia="PMingLiU" w:hAnsi="PMingLiU"/>
                <w:sz w:val="20"/>
                <w:szCs w:val="20"/>
                <w:color w:val="auto"/>
              </w:rPr>
              <w:t/>
            </w:r>
            <w:r>
              <w:rPr>
                <w:rFonts w:ascii="Arial" w:cs="Arial" w:eastAsia="Arial" w:hAnsi="Arial"/>
                <w:sz w:val="20"/>
                <w:szCs w:val="20"/>
                <w:color w:val="auto"/>
              </w:rPr>
              <w:t>/ŶĐ</w:t>
            </w: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2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4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ind w:right="4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5"/>
        </w:trPr>
        <w:tc>
          <w:tcPr>
            <w:tcW w:w="40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ind w:right="46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2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4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ind w:right="4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r>
      <w:tr>
        <w:trPr>
          <w:trHeight w:val="245"/>
        </w:trPr>
        <w:tc>
          <w:tcPr>
            <w:tcW w:w="2800" w:type="dxa"/>
            <w:vAlign w:val="bottom"/>
            <w:gridSpan w:val="5"/>
          </w:tcPr>
          <w:p>
            <w:pPr>
              <w:ind w:left="20"/>
              <w:spacing w:after="0" w:line="243" w:lineRule="exact"/>
              <w:rPr>
                <w:sz w:val="20"/>
                <w:szCs w:val="20"/>
                <w:color w:val="auto"/>
              </w:rPr>
            </w:pPr>
            <w:r>
              <w:rPr>
                <w:rFonts w:ascii="PMingLiU" w:cs="PMingLiU" w:eastAsia="PMingLiU" w:hAnsi="PMingLiU"/>
                <w:sz w:val="20"/>
                <w:szCs w:val="20"/>
                <w:color w:val="auto"/>
              </w:rPr>
              <w:t/>
            </w:r>
            <w:r>
              <w:rPr>
                <w:rFonts w:ascii="Arial" w:cs="Arial" w:eastAsia="Arial" w:hAnsi="Arial"/>
                <w:sz w:val="20"/>
                <w:szCs w:val="20"/>
                <w:color w:val="auto"/>
              </w:rPr>
              <w:t>ŶĚĞƌƐ</w:t>
            </w:r>
            <w:r>
              <w:rPr>
                <w:rFonts w:ascii="PMingLiU" w:cs="PMingLiU" w:eastAsia="PMingLiU" w:hAnsi="PMingLiU"/>
                <w:sz w:val="20"/>
                <w:szCs w:val="20"/>
                <w:color w:val="auto"/>
              </w:rPr>
              <w:t/>
            </w:r>
            <w:r>
              <w:rPr>
                <w:rFonts w:ascii="Arial" w:cs="Arial" w:eastAsia="Arial" w:hAnsi="Arial"/>
                <w:sz w:val="20"/>
                <w:szCs w:val="20"/>
                <w:color w:val="auto"/>
              </w:rPr>
              <w:t>hůůŵĂŶ͕</w:t>
            </w:r>
            <w:r>
              <w:rPr>
                <w:rFonts w:ascii="PMingLiU" w:cs="PMingLiU" w:eastAsia="PMingLiU" w:hAnsi="PMingLiU"/>
                <w:sz w:val="20"/>
                <w:szCs w:val="20"/>
                <w:color w:val="auto"/>
              </w:rPr>
              <w:t/>
            </w:r>
            <w:r>
              <w:rPr>
                <w:rFonts w:ascii="Arial" w:cs="Arial" w:eastAsia="Arial" w:hAnsi="Arial"/>
                <w:sz w:val="20"/>
                <w:szCs w:val="20"/>
                <w:color w:val="auto"/>
              </w:rPr>
              <w:t>D͘</w:t>
            </w:r>
            <w:r>
              <w:rPr>
                <w:rFonts w:ascii="PMingLiU" w:cs="PMingLiU" w:eastAsia="PMingLiU" w:hAnsi="PMingLiU"/>
                <w:sz w:val="20"/>
                <w:szCs w:val="20"/>
                <w:color w:val="auto"/>
              </w:rPr>
              <w:t/>
            </w:r>
            <w:r>
              <w:rPr>
                <w:rFonts w:ascii="Arial" w:cs="Arial" w:eastAsia="Arial" w:hAnsi="Arial"/>
                <w:sz w:val="20"/>
                <w:szCs w:val="20"/>
                <w:color w:val="auto"/>
              </w:rPr>
              <w:t>͕͘</w:t>
            </w:r>
            <w:r>
              <w:rPr>
                <w:rFonts w:ascii="PMingLiU" w:cs="PMingLiU" w:eastAsia="PMingLiU" w:hAnsi="PMingLiU"/>
                <w:sz w:val="20"/>
                <w:szCs w:val="20"/>
                <w:color w:val="auto"/>
              </w:rPr>
              <w:t/>
            </w:r>
            <w:r>
              <w:rPr>
                <w:rFonts w:ascii="Arial" w:cs="Arial" w:eastAsia="Arial" w:hAnsi="Arial"/>
                <w:sz w:val="20"/>
                <w:szCs w:val="20"/>
                <w:color w:val="auto"/>
              </w:rPr>
              <w:t>WŚ͘</w:t>
            </w:r>
            <w:r>
              <w:rPr>
                <w:rFonts w:ascii="PMingLiU" w:cs="PMingLiU" w:eastAsia="PMingLiU" w:hAnsi="PMingLiU"/>
                <w:sz w:val="20"/>
                <w:szCs w:val="20"/>
                <w:color w:val="auto"/>
              </w:rPr>
              <w:t/>
            </w:r>
            <w:r>
              <w:rPr>
                <w:rFonts w:ascii="Arial" w:cs="Arial" w:eastAsia="Arial" w:hAnsi="Arial"/>
                <w:sz w:val="20"/>
                <w:szCs w:val="20"/>
                <w:color w:val="auto"/>
              </w:rPr>
              <w:t>͘</w:t>
            </w:r>
            <w:r>
              <w:rPr>
                <w:rFonts w:ascii="PMingLiU" w:cs="PMingLiU" w:eastAsia="PMingLiU" w:hAnsi="PMingLiU"/>
                <w:sz w:val="20"/>
                <w:szCs w:val="20"/>
                <w:color w:val="auto"/>
              </w:rPr>
              <w:t/>
            </w:r>
          </w:p>
        </w:tc>
        <w:tc>
          <w:tcPr>
            <w:tcW w:w="6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ind w:left="2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ind w:left="2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ind w:right="4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ind w:right="48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r>
    </w:tbl>
    <w:p>
      <w:pPr>
        <w:ind w:left="20"/>
        <w:spacing w:after="0" w:line="243" w:lineRule="exact"/>
        <w:rPr>
          <w:sz w:val="20"/>
          <w:szCs w:val="20"/>
          <w:color w:val="auto"/>
        </w:rPr>
      </w:pPr>
      <w:r>
        <w:rPr>
          <w:rFonts w:ascii="Arial" w:cs="Arial" w:eastAsia="Arial" w:hAnsi="Arial"/>
          <w:sz w:val="20"/>
          <w:szCs w:val="20"/>
          <w:color w:val="auto"/>
        </w:rPr>
        <w:t>&amp;ŽƌŵĞƌůǇ</w:t>
      </w:r>
      <w:r>
        <w:rPr>
          <w:rFonts w:ascii="PMingLiU" w:cs="PMingLiU" w:eastAsia="PMingLiU" w:hAnsi="PMingLiU"/>
          <w:sz w:val="20"/>
          <w:szCs w:val="20"/>
          <w:color w:val="auto"/>
        </w:rPr>
        <w:t/>
      </w:r>
      <w:r>
        <w:rPr>
          <w:rFonts w:ascii="Arial" w:cs="Arial" w:eastAsia="Arial" w:hAnsi="Arial"/>
          <w:sz w:val="20"/>
          <w:szCs w:val="20"/>
          <w:color w:val="auto"/>
        </w:rPr>
        <w:t>,ĞĂĚ</w:t>
      </w:r>
      <w:r>
        <w:rPr>
          <w:rFonts w:ascii="PMingLiU" w:cs="PMingLiU" w:eastAsia="PMingLiU" w:hAnsi="PMingLiU"/>
          <w:sz w:val="20"/>
          <w:szCs w:val="20"/>
          <w:color w:val="auto"/>
        </w:rPr>
        <w:t/>
      </w:r>
      <w:r>
        <w:rPr>
          <w:rFonts w:ascii="Arial" w:cs="Arial" w:eastAsia="Arial" w:hAnsi="Arial"/>
          <w:sz w:val="20"/>
          <w:szCs w:val="20"/>
          <w:color w:val="auto"/>
        </w:rPr>
        <w:t>ŽĨ</w:t>
      </w:r>
      <w:r>
        <w:rPr>
          <w:rFonts w:ascii="PMingLiU" w:cs="PMingLiU" w:eastAsia="PMingLiU" w:hAnsi="PMingLiU"/>
          <w:sz w:val="20"/>
          <w:szCs w:val="20"/>
          <w:color w:val="auto"/>
        </w:rPr>
        <w:t/>
      </w:r>
      <w:r>
        <w:rPr>
          <w:rFonts w:ascii="Arial" w:cs="Arial" w:eastAsia="Arial" w:hAnsi="Arial"/>
          <w:sz w:val="20"/>
          <w:szCs w:val="20"/>
          <w:color w:val="auto"/>
        </w:rPr>
        <w:t>ZΘ</w:t>
      </w:r>
      <w:r>
        <w:rPr>
          <w:rFonts w:ascii="PMingLiU" w:cs="PMingLiU" w:eastAsia="PMingLiU" w:hAnsi="PMingLiU"/>
          <w:sz w:val="20"/>
          <w:szCs w:val="20"/>
          <w:color w:val="auto"/>
        </w:rPr>
        <w:t/>
      </w:r>
      <w:r>
        <w:rPr>
          <w:rFonts w:ascii="Arial" w:cs="Arial" w:eastAsia="Arial" w:hAnsi="Arial"/>
          <w:sz w:val="20"/>
          <w:szCs w:val="20"/>
          <w:color w:val="auto"/>
        </w:rPr>
        <w:t>ĂŶĚ</w:t>
      </w:r>
      <w:r>
        <w:rPr>
          <w:rFonts w:ascii="PMingLiU" w:cs="PMingLiU" w:eastAsia="PMingLiU" w:hAnsi="PMingLiU"/>
          <w:sz w:val="20"/>
          <w:szCs w:val="20"/>
          <w:color w:val="auto"/>
        </w:rPr>
        <w:t/>
      </w:r>
      <w:r>
        <w:rPr>
          <w:rFonts w:ascii="Arial" w:cs="Arial" w:eastAsia="Arial" w:hAnsi="Arial"/>
          <w:sz w:val="20"/>
          <w:szCs w:val="20"/>
          <w:color w:val="auto"/>
        </w:rPr>
        <w:t>ŚŝĞĨ</w:t>
      </w:r>
      <w:r>
        <w:rPr>
          <w:rFonts w:ascii="PMingLiU" w:cs="PMingLiU" w:eastAsia="PMingLiU" w:hAnsi="PMingLiU"/>
          <w:sz w:val="20"/>
          <w:szCs w:val="20"/>
          <w:color w:val="auto"/>
        </w:rPr>
        <w:t/>
      </w:r>
      <w:r>
        <w:rPr>
          <w:rFonts w:ascii="Arial" w:cs="Arial" w:eastAsia="Arial" w:hAnsi="Arial"/>
          <w:sz w:val="20"/>
          <w:szCs w:val="20"/>
          <w:color w:val="auto"/>
        </w:rPr>
        <w:t>DĞĚŝĐĂů</w:t>
      </w:r>
      <w:r>
        <w:rPr>
          <w:rFonts w:ascii="PMingLiU" w:cs="PMingLiU" w:eastAsia="PMingLiU" w:hAnsi="PMingLiU"/>
          <w:sz w:val="20"/>
          <w:szCs w:val="20"/>
          <w:color w:val="auto"/>
        </w:rPr>
        <w:t/>
      </w:r>
      <w:r>
        <w:rPr>
          <w:rFonts w:ascii="Arial" w:cs="Arial" w:eastAsia="Arial" w:hAnsi="Arial"/>
          <w:sz w:val="20"/>
          <w:szCs w:val="20"/>
          <w:color w:val="auto"/>
        </w:rPr>
        <w:t>KĨĨŝĐĞƌ</w:t>
      </w:r>
      <w:r>
        <w:rPr>
          <w:rFonts w:ascii="PMingLiU" w:cs="PMingLiU" w:eastAsia="PMingLiU" w:hAnsi="PMingLiU"/>
          <w:sz w:val="20"/>
          <w:szCs w:val="20"/>
          <w:color w:val="auto"/>
        </w:rPr>
        <w:t/>
      </w:r>
      <w:r>
        <w:rPr>
          <w:rFonts w:ascii="Arial" w:cs="Arial" w:eastAsia="Arial" w:hAnsi="Arial"/>
          <w:sz w:val="20"/>
          <w:szCs w:val="20"/>
          <w:color w:val="auto"/>
        </w:rPr>
        <w:t>ŽĨ</w:t>
      </w:r>
      <w:r>
        <w:rPr>
          <w:rFonts w:ascii="PMingLiU" w:cs="PMingLiU" w:eastAsia="PMingLiU" w:hAnsi="PMingLiU"/>
          <w:sz w:val="20"/>
          <w:szCs w:val="20"/>
          <w:color w:val="auto"/>
        </w:rPr>
        <w:t/>
      </w:r>
      <w:r>
        <w:rPr>
          <w:rFonts w:ascii="Arial" w:cs="Arial" w:eastAsia="Arial" w:hAnsi="Arial"/>
          <w:sz w:val="20"/>
          <w:szCs w:val="20"/>
          <w:color w:val="auto"/>
        </w:rPr>
        <w:t>^Žďŝ</w:t>
      </w:r>
      <w:r>
        <w:rPr>
          <w:rFonts w:ascii="PMingLiU" w:cs="PMingLiU" w:eastAsia="PMingLiU" w:hAnsi="PMingLiU"/>
          <w:sz w:val="20"/>
          <w:szCs w:val="20"/>
          <w:color w:val="auto"/>
        </w:rPr>
        <w:t/>
      </w:r>
    </w:p>
    <w:sectPr>
      <w:pgSz w:w="11880" w:h="15480" w:orient="portrait"/>
      <w:cols w:equalWidth="0" w:num="1">
        <w:col w:w="9160"/>
      </w:cols>
      <w:pgMar w:left="1420" w:top="1228" w:right="13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amp;"/>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1)"/>
      <w:numFmt w:val="decimal"/>
      <w:start w:val="1"/>
    </w:lvl>
  </w:abstractNum>
  <w:abstractNum w:abstractNumId="61">
    <w:nsid w:val="7E0C57B1"/>
    <w:multiLevelType w:val="hybridMultilevel"/>
    <w:lvl w:ilvl="0">
      <w:lvlJc w:val="left"/>
      <w:lvlText w:val="%1."/>
      <w:numFmt w:val="decimal"/>
      <w:start w:val="110"/>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2025-03-18T15:46:07Z</dcterms:created>
  <dcterms:modified xsi:type="dcterms:W3CDTF">2025-03-18T15:46:07Z</dcterms:modified>
</cp:coreProperties>
</file>