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142875</wp:posOffset>
            </wp:positionV>
            <wp:extent cx="4910455" cy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1318895</wp:posOffset>
            </wp:positionH>
            <wp:positionV relativeFrom="page">
              <wp:posOffset>173355</wp:posOffset>
            </wp:positionV>
            <wp:extent cx="491045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162560</wp:posOffset>
            </wp:positionV>
            <wp:extent cx="103505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(Rule 14a-101)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2342515</wp:posOffset>
            </wp:positionH>
            <wp:positionV relativeFrom="paragraph">
              <wp:posOffset>156845</wp:posOffset>
            </wp:positionV>
            <wp:extent cx="103505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64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Check the appropriate box: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Preliminary Proxy Statement</w:t>
      </w:r>
    </w:p>
    <w:p>
      <w:pPr>
        <w:spacing w:after="0" w:line="170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Confidential, for Use of the Commission Only (as permitted by Rule14a-6(e)(2))</w:t>
      </w:r>
    </w:p>
    <w:p>
      <w:pPr>
        <w:spacing w:after="0" w:line="174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Proxy Statement</w:t>
      </w:r>
    </w:p>
    <w:p>
      <w:pPr>
        <w:spacing w:after="0" w:line="172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Additional Materials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Soliciting Material Pursuant to Rule 14a-12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VERONA PHARMA PLC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Registrant as Specified in its Charter)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MERCK SHARP &amp; DOHME LLC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Payment of Filing Fee (Check all boxes that apply):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 fee required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paid previously with preliminary materials</w:t>
      </w:r>
    </w:p>
    <w:p>
      <w:pPr>
        <w:spacing w:after="0" w:line="172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940" w:hanging="303"/>
        <w:spacing w:after="0"/>
        <w:tabs>
          <w:tab w:leader="none" w:pos="9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123825</wp:posOffset>
            </wp:positionV>
            <wp:extent cx="491045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</wp:posOffset>
            </wp:positionH>
            <wp:positionV relativeFrom="paragraph">
              <wp:posOffset>153670</wp:posOffset>
            </wp:positionV>
            <wp:extent cx="491045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5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00" w:right="1440" w:bottom="1440" w:gutter="0" w:footer="0" w:header="0"/>
        </w:sectPr>
      </w:pPr>
    </w:p>
    <w:bookmarkStart w:id="1" w:name="page2"/>
    <w:bookmarkEnd w:id="1"/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10425" cy="30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Filed by Merck Sharp &amp; Dohme LLC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Rule 14a-12 under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Securities Exchange Act of 1934, as amended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Subject Company: Verona Pharma plc.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ind w:right="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Commission File No.: 001-38067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40" w:right="859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i w:val="1"/>
          <w:iCs w:val="1"/>
          <w:color w:val="auto"/>
        </w:rPr>
        <w:t>This filing contains an investor presentation of Merck &amp; Co., Inc. dated July 9, 2025, made available at https://www.merck.com/investor-relations/events-and-presentations/ related to the potential acquisition of Verona Pharma plc by Merck Sharp &amp; Dohme LLC.</w:t>
      </w:r>
    </w:p>
    <w:p>
      <w:pPr>
        <w:sectPr>
          <w:pgSz w:w="11900" w:h="16838" w:orient="portrait"/>
          <w:cols w:equalWidth="0" w:num="1">
            <w:col w:w="9019"/>
          </w:cols>
          <w:pgMar w:left="1440" w:top="231" w:right="1440" w:bottom="1440" w:gutter="0" w:footer="0" w:header="0"/>
        </w:sectPr>
      </w:pPr>
    </w:p>
    <w:bookmarkStart w:id="2" w:name="page3"/>
    <w:bookmarkEnd w:id="2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62" w:lineRule="auto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175260</wp:posOffset>
            </wp:positionH>
            <wp:positionV relativeFrom="page">
              <wp:posOffset>88900</wp:posOffset>
            </wp:positionV>
            <wp:extent cx="7228840" cy="41763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2025-07-09T16:34:41Z</dcterms:created>
  <dcterms:modified xsi:type="dcterms:W3CDTF">2025-07-09T16:34:41Z</dcterms:modified>
</cp:coreProperties>
</file>