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9" w:lineRule="exact"/>
        <w:rPr>
          <w:sz w:val="24"/>
          <w:szCs w:val="24"/>
          <w:color w:val="auto"/>
        </w:rPr>
      </w:pPr>
    </w:p>
    <w:p>
      <w:pPr>
        <w:ind w:left="248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20-F/A</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1</w:t>
      </w:r>
    </w:p>
    <w:p>
      <w:pPr>
        <w:spacing w:after="0" w:line="229" w:lineRule="exact"/>
        <w:rPr>
          <w:sz w:val="24"/>
          <w:szCs w:val="24"/>
          <w:color w:val="auto"/>
        </w:rPr>
      </w:pPr>
    </w:p>
    <w:p>
      <w:pPr>
        <w:ind w:left="248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5300" w:right="780" w:hanging="5279"/>
        <w:spacing w:after="0" w:line="261" w:lineRule="auto"/>
        <w:tabs>
          <w:tab w:leader="none" w:pos="130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REGISTRATION STATEMENT PURSUANT TO SECTION 12(b) OR (g) OF THE SECURITIES EXCHANGE ACT OF 1934</w:t>
      </w: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3920" w:right="940" w:hanging="3899"/>
        <w:spacing w:after="0" w:line="261" w:lineRule="auto"/>
        <w:tabs>
          <w:tab w:leader="none" w:pos="1446"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2019</w:t>
      </w: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4360" w:right="760" w:hanging="4339"/>
        <w:spacing w:after="0" w:line="261" w:lineRule="auto"/>
        <w:tabs>
          <w:tab w:leader="none" w:pos="1264"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to</w:t>
      </w: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06" w:lineRule="exact"/>
        <w:rPr>
          <w:rFonts w:ascii="MS PGothic" w:cs="MS PGothic" w:eastAsia="MS PGothic" w:hAnsi="MS PGothic"/>
          <w:sz w:val="18"/>
          <w:szCs w:val="18"/>
          <w:color w:val="auto"/>
        </w:rPr>
      </w:pPr>
    </w:p>
    <w:p>
      <w:pPr>
        <w:ind w:left="3740" w:right="540" w:hanging="3719"/>
        <w:spacing w:after="0" w:line="261" w:lineRule="auto"/>
        <w:tabs>
          <w:tab w:leader="none" w:pos="1057"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SHELL COMPANY REPORT PURSUANT TO SECTION 13 OR 15(d) OF THE SECURITIES EXCHANGE ACT OF 1934 Date of event requiring this shell company report</w:t>
      </w:r>
    </w:p>
    <w:p>
      <w:pPr>
        <w:ind w:left="426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001-38067</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VERONA PHARMA PLC</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(Translation of Registrant's Name into English)</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United Kingdom</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(Jurisdiction of incorporation or organization)</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 More London Riverside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London SE1 2RE</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David Zaccardelli</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Verona Pharma plc</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3 More London Riverside</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London SE1 2RE</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Tel: +44 303 283 4200</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Telephone, E-mail and/or Facsimile number and Address of Company Contact Person)</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ectPr>
          <w:pgSz w:w="11900" w:h="16924" w:orient="portrait"/>
          <w:cols w:equalWidth="0" w:num="1">
            <w:col w:w="11180"/>
          </w:cols>
          <w:pgMar w:left="320" w:top="697" w:right="399" w:bottom="0" w:gutter="0" w:footer="0" w:header="0"/>
        </w:sectPr>
      </w:pPr>
    </w:p>
    <w:p>
      <w:pPr>
        <w:spacing w:after="0" w:line="252" w:lineRule="exact"/>
        <w:rPr>
          <w:sz w:val="24"/>
          <w:szCs w:val="24"/>
          <w:color w:val="auto"/>
        </w:rPr>
      </w:pPr>
    </w:p>
    <w:p>
      <w:pPr>
        <w:jc w:val="center"/>
        <w:ind w:left="58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97" w:lineRule="exact"/>
        <w:rPr>
          <w:sz w:val="24"/>
          <w:szCs w:val="24"/>
          <w:color w:val="auto"/>
        </w:rPr>
      </w:pPr>
    </w:p>
    <w:p>
      <w:pPr>
        <w:sectPr>
          <w:pgSz w:w="11900" w:h="16924" w:orient="portrait"/>
          <w:cols w:equalWidth="0" w:num="3">
            <w:col w:w="4260" w:space="720"/>
            <w:col w:w="1520" w:space="720"/>
            <w:col w:w="3960"/>
          </w:cols>
          <w:pgMar w:left="320" w:top="697" w:right="399" w:bottom="0" w:gutter="0" w:footer="0" w:header="0"/>
          <w:type w:val="continuous"/>
        </w:sectPr>
      </w:pPr>
    </w:p>
    <w:p>
      <w:pPr>
        <w:jc w:val="center"/>
        <w:ind w:right="6340"/>
        <w:spacing w:after="0"/>
        <w:rPr>
          <w:sz w:val="20"/>
          <w:szCs w:val="20"/>
          <w:color w:val="auto"/>
        </w:rPr>
      </w:pPr>
      <w:r>
        <w:rPr>
          <w:rFonts w:ascii="Arial" w:cs="Arial" w:eastAsia="Arial" w:hAnsi="Arial"/>
          <w:sz w:val="18"/>
          <w:szCs w:val="18"/>
          <w:b w:val="1"/>
          <w:bCs w:val="1"/>
          <w:color w:val="auto"/>
        </w:rPr>
        <w:t>American Depositary Shares,</w:t>
      </w:r>
    </w:p>
    <w:p>
      <w:pPr>
        <w:spacing w:after="0" w:line="27" w:lineRule="exact"/>
        <w:rPr>
          <w:sz w:val="24"/>
          <w:szCs w:val="24"/>
          <w:color w:val="auto"/>
        </w:rPr>
      </w:pPr>
    </w:p>
    <w:p>
      <w:pPr>
        <w:jc w:val="center"/>
        <w:ind w:right="6340"/>
        <w:spacing w:after="0"/>
        <w:rPr>
          <w:sz w:val="20"/>
          <w:szCs w:val="20"/>
          <w:color w:val="auto"/>
        </w:rPr>
      </w:pPr>
      <w:r>
        <w:rPr>
          <w:rFonts w:ascii="Arial" w:cs="Arial" w:eastAsia="Arial" w:hAnsi="Arial"/>
          <w:sz w:val="15"/>
          <w:szCs w:val="15"/>
          <w:b w:val="1"/>
          <w:bCs w:val="1"/>
          <w:color w:val="auto"/>
        </w:rPr>
        <w:t>each representing 8 ordinary shares,</w:t>
      </w:r>
    </w:p>
    <w:p>
      <w:pPr>
        <w:sectPr>
          <w:pgSz w:w="11900" w:h="16924" w:orient="portrait"/>
          <w:cols w:equalWidth="0" w:num="1">
            <w:col w:w="11180"/>
          </w:cols>
          <w:pgMar w:left="320" w:top="697" w:right="399" w:bottom="0" w:gutter="0" w:footer="0" w:header="0"/>
          <w:type w:val="continuous"/>
        </w:sectPr>
      </w:pPr>
    </w:p>
    <w:p>
      <w:pPr>
        <w:spacing w:after="0" w:line="44" w:lineRule="exact"/>
        <w:rPr>
          <w:sz w:val="24"/>
          <w:szCs w:val="24"/>
          <w:color w:val="auto"/>
        </w:rPr>
      </w:pPr>
    </w:p>
    <w:p>
      <w:pPr>
        <w:ind w:left="1280"/>
        <w:spacing w:after="0"/>
        <w:rPr>
          <w:sz w:val="20"/>
          <w:szCs w:val="20"/>
          <w:color w:val="auto"/>
        </w:rPr>
      </w:pPr>
      <w:r>
        <w:rPr>
          <w:rFonts w:ascii="Arial" w:cs="Arial" w:eastAsia="Arial" w:hAnsi="Arial"/>
          <w:sz w:val="16"/>
          <w:szCs w:val="16"/>
          <w:b w:val="1"/>
          <w:bCs w:val="1"/>
          <w:color w:val="auto"/>
        </w:rPr>
        <w:t>nominal value £0.05 per share</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VRNA</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The Nasdaq Stock Market LLC (Nasdaq Global Market)</w:t>
      </w:r>
    </w:p>
    <w:p>
      <w:pPr>
        <w:spacing w:after="0" w:line="222" w:lineRule="exact"/>
        <w:rPr>
          <w:sz w:val="24"/>
          <w:szCs w:val="24"/>
          <w:color w:val="auto"/>
        </w:rPr>
      </w:pPr>
    </w:p>
    <w:p>
      <w:pPr>
        <w:sectPr>
          <w:pgSz w:w="11900" w:h="16924" w:orient="portrait"/>
          <w:cols w:equalWidth="0" w:num="3">
            <w:col w:w="4700" w:space="720"/>
            <w:col w:w="560" w:space="720"/>
            <w:col w:w="4480"/>
          </w:cols>
          <w:pgMar w:left="320" w:top="697" w:right="399" w:bottom="0" w:gutter="0" w:footer="0" w:header="0"/>
          <w:type w:val="continuous"/>
        </w:sectPr>
      </w:pP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 None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 None</w:t>
      </w:r>
    </w:p>
    <w:p>
      <w:pPr>
        <w:spacing w:after="0" w:line="9" w:lineRule="exact"/>
        <w:rPr>
          <w:sz w:val="24"/>
          <w:szCs w:val="24"/>
          <w:color w:val="auto"/>
        </w:rPr>
      </w:pPr>
    </w:p>
    <w:p>
      <w:pPr>
        <w:ind w:firstLine="324"/>
        <w:spacing w:after="0" w:line="260" w:lineRule="auto"/>
        <w:rPr>
          <w:sz w:val="20"/>
          <w:szCs w:val="20"/>
          <w:color w:val="auto"/>
        </w:rPr>
      </w:pPr>
      <w:r>
        <w:rPr>
          <w:rFonts w:ascii="Arial" w:cs="Arial" w:eastAsia="Arial" w:hAnsi="Arial"/>
          <w:sz w:val="18"/>
          <w:szCs w:val="18"/>
          <w:color w:val="auto"/>
        </w:rPr>
        <w:t>Indicate the number of outstanding shares of each of the issuer’s classes of capital or common stock as of the close of the period covered by the annual report.</w:t>
      </w:r>
    </w:p>
    <w:p>
      <w:pPr>
        <w:spacing w:after="0" w:line="18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Ordinary shares, nominal value £0.05 per share: 105,326,638 as of December 31, 2019</w:t>
      </w:r>
    </w:p>
    <w:p>
      <w:pPr>
        <w:spacing w:after="0" w:line="19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58" w:lineRule="exact"/>
        <w:rPr>
          <w:sz w:val="24"/>
          <w:szCs w:val="24"/>
          <w:color w:val="auto"/>
        </w:rPr>
      </w:pPr>
    </w:p>
    <w:p>
      <w:pPr>
        <w:ind w:right="220"/>
        <w:spacing w:after="0" w:line="226" w:lineRule="exact"/>
        <w:rPr>
          <w:sz w:val="20"/>
          <w:szCs w:val="20"/>
          <w:color w:val="auto"/>
        </w:rPr>
      </w:pPr>
      <w:r>
        <w:rPr>
          <w:rFonts w:ascii="Arial" w:cs="Arial" w:eastAsia="Arial" w:hAnsi="Arial"/>
          <w:sz w:val="18"/>
          <w:szCs w:val="18"/>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ectPr>
          <w:pgSz w:w="11900" w:h="16924" w:orient="portrait"/>
          <w:cols w:equalWidth="0" w:num="1">
            <w:col w:w="11180"/>
          </w:cols>
          <w:pgMar w:left="320" w:top="697" w:right="399" w:bottom="0" w:gutter="0" w:footer="0" w:header="0"/>
          <w:type w:val="continuous"/>
        </w:sectPr>
      </w:pPr>
    </w:p>
    <w:bookmarkStart w:id="1" w:name="page2"/>
    <w:bookmarkEnd w:id="1"/>
    <w:p>
      <w:pPr>
        <w:ind w:right="260"/>
        <w:spacing w:after="0" w:line="22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0"/>
          <w:szCs w:val="20"/>
          <w:color w:val="auto"/>
        </w:rPr>
      </w:pPr>
    </w:p>
    <w:p>
      <w:pPr>
        <w:ind w:left="220" w:hanging="212"/>
        <w:spacing w:after="0" w:line="207" w:lineRule="exact"/>
        <w:tabs>
          <w:tab w:leader="none" w:pos="2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6"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jc w:val="center"/>
        <w:ind w:right="-39"/>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pacing w:after="0" w:line="16" w:lineRule="exact"/>
        <w:rPr>
          <w:sz w:val="20"/>
          <w:szCs w:val="20"/>
          <w:color w:val="auto"/>
        </w:rPr>
      </w:pPr>
    </w:p>
    <w:p>
      <w:pPr>
        <w:jc w:val="both"/>
        <w:ind w:right="180"/>
        <w:spacing w:after="0" w:line="222"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44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U.S. GAAP </w:t>
            </w:r>
            <w:r>
              <w:rPr>
                <w:rFonts w:ascii="MS PGothic" w:cs="MS PGothic" w:eastAsia="MS PGothic" w:hAnsi="MS PGothic"/>
                <w:sz w:val="18"/>
                <w:szCs w:val="18"/>
                <w:color w:val="auto"/>
              </w:rPr>
              <w:t>☐</w:t>
            </w:r>
          </w:p>
        </w:tc>
        <w:tc>
          <w:tcPr>
            <w:tcW w:w="6680" w:type="dxa"/>
            <w:vAlign w:val="bottom"/>
          </w:tcPr>
          <w:p>
            <w:pPr>
              <w:jc w:val="center"/>
              <w:spacing w:after="0"/>
              <w:rPr>
                <w:sz w:val="20"/>
                <w:szCs w:val="20"/>
                <w:color w:val="auto"/>
              </w:rPr>
            </w:pPr>
            <w:r>
              <w:rPr>
                <w:rFonts w:ascii="Arial" w:cs="Arial" w:eastAsia="Arial" w:hAnsi="Arial"/>
                <w:sz w:val="18"/>
                <w:szCs w:val="18"/>
                <w:color w:val="auto"/>
                <w:w w:val="89"/>
              </w:rPr>
              <w:t>International Financial Reporting Standards as issued</w:t>
            </w:r>
          </w:p>
        </w:tc>
        <w:tc>
          <w:tcPr>
            <w:tcW w:w="2040" w:type="dxa"/>
            <w:vAlign w:val="bottom"/>
            <w:vMerge w:val="restart"/>
          </w:tcPr>
          <w:p>
            <w:pPr>
              <w:ind w:left="1440"/>
              <w:spacing w:after="0" w:line="207" w:lineRule="exact"/>
              <w:rPr>
                <w:sz w:val="20"/>
                <w:szCs w:val="20"/>
                <w:color w:val="auto"/>
              </w:rPr>
            </w:pPr>
            <w:r>
              <w:rPr>
                <w:rFonts w:ascii="Arial" w:cs="Arial" w:eastAsia="Arial" w:hAnsi="Arial"/>
                <w:sz w:val="18"/>
                <w:szCs w:val="18"/>
                <w:color w:val="auto"/>
                <w:w w:val="85"/>
              </w:rPr>
              <w:t xml:space="preserve">Other </w:t>
            </w:r>
            <w:r>
              <w:rPr>
                <w:rFonts w:ascii="MS PGothic" w:cs="MS PGothic" w:eastAsia="MS PGothic" w:hAnsi="MS PGothic"/>
                <w:sz w:val="18"/>
                <w:szCs w:val="18"/>
                <w:color w:val="auto"/>
                <w:w w:val="85"/>
              </w:rPr>
              <w:t>☐</w:t>
            </w:r>
          </w:p>
        </w:tc>
        <w:tc>
          <w:tcPr>
            <w:tcW w:w="0" w:type="dxa"/>
            <w:vAlign w:val="bottom"/>
          </w:tcPr>
          <w:p>
            <w:pPr>
              <w:spacing w:after="0"/>
              <w:rPr>
                <w:sz w:val="1"/>
                <w:szCs w:val="1"/>
                <w:color w:val="auto"/>
              </w:rPr>
            </w:pPr>
          </w:p>
        </w:tc>
      </w:tr>
      <w:tr>
        <w:trPr>
          <w:trHeight w:val="283"/>
        </w:trPr>
        <w:tc>
          <w:tcPr>
            <w:tcW w:w="2440" w:type="dxa"/>
            <w:vAlign w:val="bottom"/>
            <w:vMerge w:val="continue"/>
          </w:tcPr>
          <w:p>
            <w:pPr>
              <w:spacing w:after="0"/>
              <w:rPr>
                <w:sz w:val="24"/>
                <w:szCs w:val="24"/>
                <w:color w:val="auto"/>
              </w:rPr>
            </w:pPr>
          </w:p>
        </w:tc>
        <w:tc>
          <w:tcPr>
            <w:tcW w:w="6680" w:type="dxa"/>
            <w:vAlign w:val="bottom"/>
          </w:tcPr>
          <w:p>
            <w:pPr>
              <w:jc w:val="center"/>
              <w:spacing w:after="0" w:line="207" w:lineRule="exact"/>
              <w:rPr>
                <w:sz w:val="20"/>
                <w:szCs w:val="20"/>
                <w:color w:val="auto"/>
              </w:rPr>
            </w:pPr>
            <w:r>
              <w:rPr>
                <w:rFonts w:ascii="Arial" w:cs="Arial" w:eastAsia="Arial" w:hAnsi="Arial"/>
                <w:sz w:val="18"/>
                <w:szCs w:val="18"/>
                <w:color w:val="auto"/>
                <w:w w:val="91"/>
              </w:rPr>
              <w:t xml:space="preserve">by the International Accounting Standards Board </w:t>
            </w:r>
            <w:r>
              <w:rPr>
                <w:rFonts w:ascii="MS PGothic" w:cs="MS PGothic" w:eastAsia="MS PGothic" w:hAnsi="MS PGothic"/>
                <w:sz w:val="18"/>
                <w:szCs w:val="18"/>
                <w:color w:val="auto"/>
                <w:w w:val="91"/>
              </w:rPr>
              <w:t>☒</w:t>
            </w:r>
          </w:p>
        </w:tc>
        <w:tc>
          <w:tcPr>
            <w:tcW w:w="20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500"/>
        <w:spacing w:after="0" w:line="220" w:lineRule="exact"/>
        <w:rPr>
          <w:sz w:val="20"/>
          <w:szCs w:val="20"/>
          <w:color w:val="auto"/>
        </w:rPr>
      </w:pPr>
      <w:r>
        <w:rPr>
          <w:rFonts w:ascii="Arial" w:cs="Arial" w:eastAsia="Arial" w:hAnsi="Arial"/>
          <w:sz w:val="18"/>
          <w:szCs w:val="18"/>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8"/>
          <w:szCs w:val="18"/>
          <w:color w:val="auto"/>
        </w:rPr>
        <w:t>☐</w:t>
      </w:r>
      <w:r>
        <w:rPr>
          <w:rFonts w:ascii="Arial" w:cs="Arial" w:eastAsia="Arial" w:hAnsi="Arial"/>
          <w:sz w:val="18"/>
          <w:szCs w:val="18"/>
          <w:color w:val="auto"/>
        </w:rPr>
        <w:t xml:space="preserve"> Item 17 </w:t>
      </w:r>
      <w:r>
        <w:rPr>
          <w:rFonts w:ascii="MS PGothic" w:cs="MS PGothic" w:eastAsia="MS PGothic" w:hAnsi="MS PGothic"/>
          <w:sz w:val="18"/>
          <w:szCs w:val="18"/>
          <w:color w:val="auto"/>
        </w:rPr>
        <w:t>☐</w:t>
      </w:r>
      <w:r>
        <w:rPr>
          <w:rFonts w:ascii="Arial" w:cs="Arial" w:eastAsia="Arial" w:hAnsi="Arial"/>
          <w:sz w:val="18"/>
          <w:szCs w:val="18"/>
          <w:color w:val="auto"/>
        </w:rPr>
        <w:t xml:space="preserve"> Item 18</w:t>
      </w:r>
    </w:p>
    <w:p>
      <w:pPr>
        <w:spacing w:after="0" w:line="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If this is an annual report, 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494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743585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40" w:type="dxa"/>
            <w:vAlign w:val="bottom"/>
          </w:tcPr>
          <w:p>
            <w:pPr>
              <w:jc w:val="right"/>
              <w:ind w:right="4590"/>
              <w:spacing w:after="0"/>
              <w:rPr>
                <w:sz w:val="20"/>
                <w:szCs w:val="20"/>
                <w:color w:val="auto"/>
              </w:rPr>
            </w:pPr>
            <w:r>
              <w:rPr>
                <w:rFonts w:ascii="Arial" w:cs="Arial" w:eastAsia="Arial" w:hAnsi="Arial"/>
                <w:sz w:val="18"/>
                <w:szCs w:val="18"/>
                <w:b w:val="1"/>
                <w:bCs w:val="1"/>
                <w:color w:val="auto"/>
              </w:rPr>
              <w:t>TABLE OF CONTENTS</w:t>
            </w:r>
          </w:p>
        </w:tc>
      </w:tr>
      <w:tr>
        <w:trPr>
          <w:trHeight w:val="418"/>
        </w:trPr>
        <w:tc>
          <w:tcPr>
            <w:tcW w:w="352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EXPLANATORY NOTE</w:t>
              </w:r>
            </w:hyperlink>
          </w:p>
        </w:tc>
        <w:tc>
          <w:tcPr>
            <w:tcW w:w="7740" w:type="dxa"/>
            <w:vAlign w:val="bottom"/>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2</w:t>
              </w:r>
            </w:hyperlink>
          </w:p>
        </w:tc>
      </w:tr>
      <w:tr>
        <w:trPr>
          <w:trHeight w:val="216"/>
        </w:trPr>
        <w:tc>
          <w:tcPr>
            <w:tcW w:w="352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PART II</w:t>
              </w:r>
            </w:hyperlink>
          </w:p>
        </w:tc>
        <w:tc>
          <w:tcPr>
            <w:tcW w:w="774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3</w:t>
              </w:r>
            </w:hyperlink>
          </w:p>
        </w:tc>
      </w:tr>
      <w:tr>
        <w:trPr>
          <w:trHeight w:val="216"/>
        </w:trPr>
        <w:tc>
          <w:tcPr>
            <w:tcW w:w="352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Item 16G Corporate Governance</w:t>
              </w:r>
            </w:hyperlink>
          </w:p>
        </w:tc>
        <w:tc>
          <w:tcPr>
            <w:tcW w:w="7740" w:type="dxa"/>
            <w:vAlign w:val="bottom"/>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3</w:t>
              </w:r>
            </w:hyperlink>
          </w:p>
        </w:tc>
      </w:tr>
      <w:tr>
        <w:trPr>
          <w:trHeight w:val="216"/>
        </w:trPr>
        <w:tc>
          <w:tcPr>
            <w:tcW w:w="352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PART III</w:t>
              </w:r>
            </w:hyperlink>
          </w:p>
        </w:tc>
        <w:tc>
          <w:tcPr>
            <w:tcW w:w="774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4</w:t>
              </w:r>
            </w:hyperlink>
          </w:p>
        </w:tc>
      </w:tr>
      <w:tr>
        <w:trPr>
          <w:trHeight w:val="216"/>
        </w:trPr>
        <w:tc>
          <w:tcPr>
            <w:tcW w:w="352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Item 19 Exhibits</w:t>
              </w:r>
            </w:hyperlink>
          </w:p>
        </w:tc>
        <w:tc>
          <w:tcPr>
            <w:tcW w:w="774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4</w:t>
              </w:r>
            </w:hyperlink>
          </w:p>
        </w:tc>
      </w:tr>
      <w:tr>
        <w:trPr>
          <w:trHeight w:val="230"/>
        </w:trPr>
        <w:tc>
          <w:tcPr>
            <w:tcW w:w="3520" w:type="dxa"/>
            <w:vAlign w:val="bottom"/>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SIGNATURES</w:t>
              </w:r>
            </w:hyperlink>
          </w:p>
        </w:tc>
        <w:tc>
          <w:tcPr>
            <w:tcW w:w="7740" w:type="dxa"/>
            <w:vAlign w:val="bottom"/>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w:t>
              </w:r>
            </w:hyperlink>
          </w:p>
        </w:tc>
      </w:tr>
      <w:tr>
        <w:trPr>
          <w:trHeight w:val="331"/>
        </w:trPr>
        <w:tc>
          <w:tcPr>
            <w:tcW w:w="3520" w:type="dxa"/>
            <w:vAlign w:val="bottom"/>
            <w:tcBorders>
              <w:bottom w:val="single" w:sz="8" w:color="9A9A9A"/>
            </w:tcBorders>
          </w:tcPr>
          <w:p>
            <w:pPr>
              <w:spacing w:after="0"/>
              <w:rPr>
                <w:sz w:val="24"/>
                <w:szCs w:val="24"/>
                <w:color w:val="auto"/>
              </w:rPr>
            </w:pPr>
          </w:p>
        </w:tc>
        <w:tc>
          <w:tcPr>
            <w:tcW w:w="7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904" w:right="31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This Amendment No. 1 on Form 20-F/A (this “Amendment”) amends the Annual Report on Form 20-F of Verona Pharma plc (the “Company,” “Verona,” “we,” and “our”) for the year ended December 31, 2019 (the “Original Filing”), which was filed with the Securities and Exchange Commission on February 27, 2020.</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filing this Amendment solely for the purpose of updating the disclosure in Item 16G of Part II. In accordance with Rule 12b-</w:t>
      </w:r>
    </w:p>
    <w:p>
      <w:pPr>
        <w:spacing w:after="0" w:line="3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15 promulgated under the Securities Exchange Act of 1934, as amended (the “Exchange Act”), Item 16G of Part II of the Original Filing is hereby amended and restated in its entirety. In addition, pursuant to Rule 12b-15 under the Exchange Act, the Company is including Item 19 of Part III with this Amendment solely to file the certifications required under Section 302 of the Sarbanes-Oxley Act of 2002.</w:t>
      </w:r>
    </w:p>
    <w:p>
      <w:pPr>
        <w:spacing w:after="0" w:line="19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Except as described above or as otherwise expressly provided by the terms of this Amendment, no other changes have been made to the Original Filing. Except as otherwise indicated herein, this Amendment continues to speak as of the date of the Original Filing, and the Company has not updated the disclosures contained therein to reflect any events that occurred subsequent to the date of the Original Filing.</w:t>
      </w:r>
    </w:p>
    <w:p>
      <w:pPr>
        <w:spacing w:after="0" w:line="3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904" w:right="49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16G: CORPORATE GOVERNANCE</w:t>
      </w:r>
    </w:p>
    <w:p>
      <w:pPr>
        <w:spacing w:after="0" w:line="22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As a “foreign private issuer,” as defined by the SEC, we are permitted to follow home country corporate governance practices, instead of certain corporate governance practices required by Nasdaq for domestic issuers, with certain exceptions. While we voluntarily follow most Nasdaq corporate governance rules, we follow U.K. corporate governance practices in lieu of Nasdaq corporate governance rules as follows:</w:t>
      </w:r>
    </w:p>
    <w:p>
      <w:pPr>
        <w:spacing w:after="0" w:line="165" w:lineRule="exact"/>
        <w:rPr>
          <w:sz w:val="20"/>
          <w:szCs w:val="20"/>
          <w:color w:val="auto"/>
        </w:rPr>
      </w:pPr>
    </w:p>
    <w:p>
      <w:pPr>
        <w:ind w:left="660" w:right="20" w:hanging="652"/>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do not follow Nasdaq Rule 5620(c) regarding quorum requirements applicable to meetings of shareholders. Such quorum requirements are not required under English law. In accordance with generally accepted business practice, our articles of association provide alternative quorum requirements that are generally applicable to meetings of shareholders.</w:t>
      </w:r>
    </w:p>
    <w:p>
      <w:pPr>
        <w:spacing w:after="0" w:line="183" w:lineRule="exact"/>
        <w:rPr>
          <w:rFonts w:ascii="Arial" w:cs="Arial" w:eastAsia="Arial" w:hAnsi="Arial"/>
          <w:sz w:val="18"/>
          <w:szCs w:val="18"/>
          <w:color w:val="auto"/>
        </w:rPr>
      </w:pPr>
    </w:p>
    <w:p>
      <w:pPr>
        <w:ind w:left="660" w:right="60" w:hanging="652"/>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do not follow Nasdaq Rule 5605(b)(2), which requires that independent directors regularly meet in executive session, where only independent directors are present. Our independent directors may choose to meet in executive session at their discretion.</w:t>
      </w:r>
    </w:p>
    <w:p>
      <w:pPr>
        <w:spacing w:after="0" w:line="1" w:lineRule="exact"/>
        <w:rPr>
          <w:rFonts w:ascii="Arial" w:cs="Arial" w:eastAsia="Arial" w:hAnsi="Arial"/>
          <w:sz w:val="18"/>
          <w:szCs w:val="18"/>
          <w:color w:val="auto"/>
        </w:rPr>
      </w:pPr>
    </w:p>
    <w:p>
      <w:pPr>
        <w:ind w:left="660" w:right="320" w:hanging="652"/>
        <w:spacing w:after="0" w:line="2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do not intend to follow Nasdaq Rule 5635(c), which requires shareholder approval for the establishment of or any material amendments to equity compensation or purchase plans or other equity compensation arrangements.</w:t>
      </w:r>
    </w:p>
    <w:p>
      <w:pPr>
        <w:spacing w:after="0" w:line="185" w:lineRule="exact"/>
        <w:rPr>
          <w:rFonts w:ascii="Arial" w:cs="Arial" w:eastAsia="Arial" w:hAnsi="Arial"/>
          <w:sz w:val="18"/>
          <w:szCs w:val="18"/>
          <w:color w:val="auto"/>
        </w:rPr>
      </w:pPr>
    </w:p>
    <w:p>
      <w:pPr>
        <w:ind w:left="660" w:hanging="652"/>
        <w:spacing w:after="0" w:line="27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do not intend to follow Nasdaq Rule 5635(d), which requires shareholder approval in order to enter into any transaction, other than a public offering, involving the sale, issuance or potential issuance by the Company of ordinary shares (or securities convertible into or exercisable for ordinary shares) equal to 20% or more of the outstanding share capital of the Company or 20% or more of the voting power outstanding before the issuance for less than the greater of book or market value of the ordinary shares. We will follow English law with respect to any requirement to obtain shareholder approval in connection with any private placements of equity securities.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180" w:type="dxa"/>
            <w:vAlign w:val="bottom"/>
            <w:gridSpan w:val="3"/>
          </w:tcPr>
          <w:p>
            <w:pPr>
              <w:ind w:left="3380"/>
              <w:spacing w:after="0"/>
              <w:rPr>
                <w:sz w:val="20"/>
                <w:szCs w:val="20"/>
                <w:color w:val="auto"/>
              </w:rPr>
            </w:pPr>
            <w:r>
              <w:rPr>
                <w:rFonts w:ascii="Arial" w:cs="Arial" w:eastAsia="Arial" w:hAnsi="Arial"/>
                <w:sz w:val="18"/>
                <w:szCs w:val="18"/>
                <w:b w:val="1"/>
                <w:bCs w:val="1"/>
                <w:color w:val="auto"/>
              </w:rPr>
              <w:t>PART III</w:t>
            </w: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6060" w:type="dxa"/>
            <w:vAlign w:val="bottom"/>
            <w:gridSpan w:val="5"/>
          </w:tcPr>
          <w:p>
            <w:pPr>
              <w:spacing w:after="0"/>
              <w:rPr>
                <w:sz w:val="20"/>
                <w:szCs w:val="20"/>
                <w:color w:val="auto"/>
              </w:rPr>
            </w:pPr>
            <w:r>
              <w:rPr>
                <w:rFonts w:ascii="Arial" w:cs="Arial" w:eastAsia="Arial" w:hAnsi="Arial"/>
                <w:sz w:val="18"/>
                <w:szCs w:val="18"/>
                <w:b w:val="1"/>
                <w:bCs w:val="1"/>
                <w:color w:val="auto"/>
              </w:rPr>
              <w:t>ITEM 19: EXHIBITS</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0" w:type="dxa"/>
            <w:vAlign w:val="bottom"/>
            <w:gridSpan w:val="5"/>
          </w:tcPr>
          <w:p>
            <w:pPr>
              <w:jc w:val="right"/>
              <w:ind w:right="700"/>
              <w:spacing w:after="0"/>
              <w:rPr>
                <w:sz w:val="20"/>
                <w:szCs w:val="20"/>
                <w:color w:val="auto"/>
              </w:rPr>
            </w:pPr>
            <w:r>
              <w:rPr>
                <w:rFonts w:ascii="Arial" w:cs="Arial" w:eastAsia="Arial" w:hAnsi="Arial"/>
                <w:sz w:val="18"/>
                <w:szCs w:val="18"/>
                <w:color w:val="auto"/>
                <w:w w:val="99"/>
              </w:rPr>
              <w:t>Incorporated by Reference to Filings Indicated</w:t>
            </w:r>
          </w:p>
        </w:tc>
      </w:tr>
      <w:tr>
        <w:trPr>
          <w:trHeight w:val="195"/>
        </w:trPr>
        <w:tc>
          <w:tcPr>
            <w:tcW w:w="13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Filed /</w:t>
            </w:r>
          </w:p>
        </w:tc>
        <w:tc>
          <w:tcPr>
            <w:tcW w:w="20" w:type="dxa"/>
            <w:vAlign w:val="bottom"/>
          </w:tcPr>
          <w:p>
            <w:pPr>
              <w:spacing w:after="0"/>
              <w:rPr>
                <w:sz w:val="16"/>
                <w:szCs w:val="16"/>
                <w:color w:val="auto"/>
              </w:rPr>
            </w:pPr>
          </w:p>
        </w:tc>
      </w:tr>
      <w:tr>
        <w:trPr>
          <w:trHeight w:val="203"/>
        </w:trPr>
        <w:tc>
          <w:tcPr>
            <w:tcW w:w="1360" w:type="dxa"/>
            <w:vAlign w:val="bottom"/>
          </w:tcPr>
          <w:p>
            <w:pPr>
              <w:spacing w:after="0" w:line="203" w:lineRule="exact"/>
              <w:rPr>
                <w:sz w:val="20"/>
                <w:szCs w:val="20"/>
                <w:color w:val="auto"/>
              </w:rPr>
            </w:pPr>
            <w:r>
              <w:rPr>
                <w:rFonts w:ascii="Arial" w:cs="Arial" w:eastAsia="Arial" w:hAnsi="Arial"/>
                <w:sz w:val="18"/>
                <w:szCs w:val="18"/>
                <w:color w:val="auto"/>
              </w:rPr>
              <w:t>Exhibit Number</w:t>
            </w:r>
          </w:p>
        </w:tc>
        <w:tc>
          <w:tcPr>
            <w:tcW w:w="520" w:type="dxa"/>
            <w:vAlign w:val="bottom"/>
          </w:tcPr>
          <w:p>
            <w:pPr>
              <w:spacing w:after="0"/>
              <w:rPr>
                <w:sz w:val="17"/>
                <w:szCs w:val="17"/>
                <w:color w:val="auto"/>
              </w:rPr>
            </w:pPr>
          </w:p>
        </w:tc>
        <w:tc>
          <w:tcPr>
            <w:tcW w:w="4180" w:type="dxa"/>
            <w:vAlign w:val="bottom"/>
            <w:gridSpan w:val="3"/>
          </w:tcPr>
          <w:p>
            <w:pPr>
              <w:ind w:left="1020"/>
              <w:spacing w:after="0" w:line="203" w:lineRule="exact"/>
              <w:rPr>
                <w:sz w:val="20"/>
                <w:szCs w:val="20"/>
                <w:color w:val="auto"/>
              </w:rPr>
            </w:pPr>
            <w:r>
              <w:rPr>
                <w:rFonts w:ascii="Arial" w:cs="Arial" w:eastAsia="Arial" w:hAnsi="Arial"/>
                <w:sz w:val="18"/>
                <w:szCs w:val="18"/>
                <w:color w:val="auto"/>
              </w:rPr>
              <w:t>Exhibit Description</w:t>
            </w:r>
          </w:p>
        </w:tc>
        <w:tc>
          <w:tcPr>
            <w:tcW w:w="800" w:type="dxa"/>
            <w:vAlign w:val="bottom"/>
            <w:gridSpan w:val="2"/>
          </w:tcPr>
          <w:p>
            <w:pPr>
              <w:ind w:left="80"/>
              <w:spacing w:after="0" w:line="203" w:lineRule="exact"/>
              <w:rPr>
                <w:sz w:val="20"/>
                <w:szCs w:val="20"/>
                <w:color w:val="auto"/>
              </w:rPr>
            </w:pPr>
            <w:r>
              <w:rPr>
                <w:rFonts w:ascii="Arial" w:cs="Arial" w:eastAsia="Arial" w:hAnsi="Arial"/>
                <w:sz w:val="18"/>
                <w:szCs w:val="18"/>
                <w:color w:val="auto"/>
              </w:rPr>
              <w:t>Form</w:t>
            </w:r>
          </w:p>
        </w:tc>
        <w:tc>
          <w:tcPr>
            <w:tcW w:w="2040" w:type="dxa"/>
            <w:vAlign w:val="bottom"/>
          </w:tcPr>
          <w:p>
            <w:pPr>
              <w:ind w:left="560"/>
              <w:spacing w:after="0" w:line="203" w:lineRule="exact"/>
              <w:rPr>
                <w:sz w:val="20"/>
                <w:szCs w:val="20"/>
                <w:color w:val="auto"/>
              </w:rPr>
            </w:pPr>
            <w:r>
              <w:rPr>
                <w:rFonts w:ascii="Arial" w:cs="Arial" w:eastAsia="Arial" w:hAnsi="Arial"/>
                <w:sz w:val="18"/>
                <w:szCs w:val="18"/>
                <w:color w:val="auto"/>
                <w:w w:val="97"/>
              </w:rPr>
              <w:t>File No.Exhibit No.</w:t>
            </w:r>
          </w:p>
        </w:tc>
        <w:tc>
          <w:tcPr>
            <w:tcW w:w="100" w:type="dxa"/>
            <w:vAlign w:val="bottom"/>
            <w:tcBorders>
              <w:bottom w:val="single" w:sz="8" w:color="auto"/>
            </w:tcBorders>
          </w:tcPr>
          <w:p>
            <w:pPr>
              <w:spacing w:after="0"/>
              <w:rPr>
                <w:sz w:val="17"/>
                <w:szCs w:val="17"/>
                <w:color w:val="auto"/>
              </w:rPr>
            </w:pPr>
          </w:p>
        </w:tc>
        <w:tc>
          <w:tcPr>
            <w:tcW w:w="1320" w:type="dxa"/>
            <w:vAlign w:val="bottom"/>
          </w:tcPr>
          <w:p>
            <w:pPr>
              <w:ind w:left="340"/>
              <w:spacing w:after="0" w:line="203" w:lineRule="exact"/>
              <w:rPr>
                <w:sz w:val="20"/>
                <w:szCs w:val="20"/>
                <w:color w:val="auto"/>
              </w:rPr>
            </w:pPr>
            <w:r>
              <w:rPr>
                <w:rFonts w:ascii="Arial" w:cs="Arial" w:eastAsia="Arial" w:hAnsi="Arial"/>
                <w:sz w:val="18"/>
                <w:szCs w:val="18"/>
                <w:color w:val="auto"/>
              </w:rPr>
              <w:t>Filing date</w:t>
            </w:r>
          </w:p>
        </w:tc>
        <w:tc>
          <w:tcPr>
            <w:tcW w:w="94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Furnished</w:t>
            </w: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360" w:type="dxa"/>
            <w:vAlign w:val="bottom"/>
          </w:tcPr>
          <w:p>
            <w:pPr>
              <w:spacing w:after="0"/>
              <w:rPr>
                <w:sz w:val="24"/>
                <w:szCs w:val="24"/>
                <w:color w:val="auto"/>
              </w:rPr>
            </w:pPr>
          </w:p>
        </w:tc>
        <w:tc>
          <w:tcPr>
            <w:tcW w:w="420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8">
              <w:r>
                <w:rPr>
                  <w:rFonts w:ascii="Arial" w:cs="Arial" w:eastAsia="Arial" w:hAnsi="Arial"/>
                  <w:sz w:val="18"/>
                  <w:szCs w:val="18"/>
                  <w:color w:val="0000FF"/>
                  <w:w w:val="92"/>
                </w:rPr>
                <w:t>Rule 13a-14(a)/15d-14(a) Certification of Chief Executive</w:t>
              </w:r>
            </w:hyperlink>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360" w:type="dxa"/>
            <w:vAlign w:val="bottom"/>
          </w:tcPr>
          <w:p>
            <w:pPr>
              <w:spacing w:after="0" w:line="196" w:lineRule="exact"/>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12.1</w:t>
              </w:r>
            </w:hyperlink>
          </w:p>
        </w:tc>
        <w:tc>
          <w:tcPr>
            <w:tcW w:w="520" w:type="dxa"/>
            <w:vAlign w:val="bottom"/>
            <w:tcBorders>
              <w:bottom w:val="single" w:sz="8" w:color="0000FF"/>
            </w:tcBorders>
          </w:tcPr>
          <w:p>
            <w:pPr>
              <w:spacing w:after="0" w:line="196" w:lineRule="exact"/>
              <w:rPr>
                <w:rFonts w:ascii="Arial" w:cs="Arial" w:eastAsia="Arial" w:hAnsi="Arial"/>
                <w:sz w:val="18"/>
                <w:szCs w:val="18"/>
                <w:color w:val="0000FF"/>
                <w:w w:val="94"/>
              </w:rPr>
            </w:pPr>
            <w:hyperlink w:anchor="page8">
              <w:r>
                <w:rPr>
                  <w:rFonts w:ascii="Arial" w:cs="Arial" w:eastAsia="Arial" w:hAnsi="Arial"/>
                  <w:sz w:val="18"/>
                  <w:szCs w:val="18"/>
                  <w:color w:val="0000FF"/>
                  <w:w w:val="94"/>
                </w:rPr>
                <w:t>Officer</w:t>
              </w:r>
            </w:hyperlink>
          </w:p>
        </w:tc>
        <w:tc>
          <w:tcPr>
            <w:tcW w:w="4180" w:type="dxa"/>
            <w:vAlign w:val="bottom"/>
            <w:gridSpan w:val="3"/>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gridSpan w:val="2"/>
          </w:tcPr>
          <w:p>
            <w:pPr>
              <w:jc w:val="right"/>
              <w:ind w:right="20"/>
              <w:spacing w:after="0" w:line="196" w:lineRule="exact"/>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w:t>
              </w:r>
            </w:hyperlink>
          </w:p>
        </w:tc>
      </w:tr>
      <w:tr>
        <w:trPr>
          <w:trHeight w:val="412"/>
        </w:trPr>
        <w:tc>
          <w:tcPr>
            <w:tcW w:w="1360" w:type="dxa"/>
            <w:vAlign w:val="bottom"/>
          </w:tcPr>
          <w:p>
            <w:pPr>
              <w:spacing w:after="0"/>
              <w:rPr>
                <w:sz w:val="24"/>
                <w:szCs w:val="24"/>
                <w:color w:val="auto"/>
              </w:rPr>
            </w:pPr>
          </w:p>
        </w:tc>
        <w:tc>
          <w:tcPr>
            <w:tcW w:w="4700" w:type="dxa"/>
            <w:vAlign w:val="bottom"/>
            <w:gridSpan w:val="4"/>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Rule 13a-14(a)/15d-14(a) Certification of Chief Financial</w:t>
              </w:r>
            </w:hyperlink>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360" w:type="dxa"/>
            <w:vAlign w:val="bottom"/>
          </w:tcPr>
          <w:p>
            <w:pPr>
              <w:spacing w:after="0" w:line="196" w:lineRule="exact"/>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12.2</w:t>
              </w:r>
            </w:hyperlink>
          </w:p>
        </w:tc>
        <w:tc>
          <w:tcPr>
            <w:tcW w:w="5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4"/>
              </w:rPr>
            </w:pPr>
            <w:hyperlink w:anchor="page9">
              <w:r>
                <w:rPr>
                  <w:rFonts w:ascii="Arial" w:cs="Arial" w:eastAsia="Arial" w:hAnsi="Arial"/>
                  <w:sz w:val="18"/>
                  <w:szCs w:val="18"/>
                  <w:color w:val="0000FF"/>
                  <w:w w:val="94"/>
                </w:rPr>
                <w:t>Officer</w:t>
              </w:r>
            </w:hyperlink>
          </w:p>
        </w:tc>
        <w:tc>
          <w:tcPr>
            <w:tcW w:w="3620" w:type="dxa"/>
            <w:vAlign w:val="bottom"/>
            <w:tcBorders>
              <w:top w:val="single" w:sz="8" w:color="0000FF"/>
            </w:tcBorders>
          </w:tcPr>
          <w:p>
            <w:pPr>
              <w:spacing w:after="0"/>
              <w:rPr>
                <w:sz w:val="17"/>
                <w:szCs w:val="17"/>
                <w:color w:val="auto"/>
              </w:rPr>
            </w:pPr>
          </w:p>
        </w:tc>
        <w:tc>
          <w:tcPr>
            <w:tcW w:w="560" w:type="dxa"/>
            <w:vAlign w:val="bottom"/>
            <w:gridSpan w:val="2"/>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gridSpan w:val="2"/>
          </w:tcPr>
          <w:p>
            <w:pPr>
              <w:jc w:val="right"/>
              <w:ind w:right="20"/>
              <w:spacing w:after="0" w:line="196" w:lineRule="exact"/>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w:t>
              </w:r>
            </w:hyperlink>
          </w:p>
        </w:tc>
      </w:tr>
    </w:tbl>
    <w:p>
      <w:pPr>
        <w:spacing w:after="0" w:line="229" w:lineRule="exact"/>
        <w:rPr>
          <w:sz w:val="20"/>
          <w:szCs w:val="20"/>
          <w:color w:val="auto"/>
        </w:rPr>
      </w:pPr>
    </w:p>
    <w:p>
      <w:pPr>
        <w:ind w:left="640" w:hanging="63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ind w:right="-7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Amendment No. 1 to the annual report on its behalf.</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VERONA PHARMA PLC</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David Zaccardelli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David Zaccardelli, Pharm. D</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July 16, 2020</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60"/>
          </w:cols>
          <w:pgMar w:left="320" w:top="904" w:right="111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t>Exhibit 12.1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David Zaccardelli, Pharm.D., certify that:</w:t>
      </w:r>
    </w:p>
    <w:p>
      <w:pPr>
        <w:spacing w:after="0" w:line="211"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Amendment No. 1 to annual report on Form 20-F/A of Verona Pharma plc; and</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Date: July 16, 2020</w:t>
            </w:r>
          </w:p>
        </w:tc>
        <w:tc>
          <w:tcPr>
            <w:tcW w:w="7720" w:type="dxa"/>
            <w:vAlign w:val="bottom"/>
            <w:gridSpan w:val="2"/>
          </w:tcPr>
          <w:p>
            <w:pPr>
              <w:ind w:left="2120"/>
              <w:spacing w:after="0"/>
              <w:rPr>
                <w:sz w:val="20"/>
                <w:szCs w:val="20"/>
                <w:color w:val="auto"/>
              </w:rPr>
            </w:pPr>
            <w:r>
              <w:rPr>
                <w:rFonts w:ascii="Arial" w:cs="Arial" w:eastAsia="Arial" w:hAnsi="Arial"/>
                <w:sz w:val="18"/>
                <w:szCs w:val="18"/>
                <w:color w:val="auto"/>
              </w:rPr>
              <w:t>By: /s/ David Zaccardelli, Pharm.D.</w:t>
            </w:r>
          </w:p>
        </w:tc>
      </w:tr>
      <w:tr>
        <w:trPr>
          <w:trHeight w:val="195"/>
        </w:trPr>
        <w:tc>
          <w:tcPr>
            <w:tcW w:w="352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David Zaccardelli, Pharm.D.</w:t>
            </w:r>
          </w:p>
        </w:tc>
      </w:tr>
      <w:tr>
        <w:trPr>
          <w:trHeight w:val="216"/>
        </w:trPr>
        <w:tc>
          <w:tcPr>
            <w:tcW w:w="35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5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75"/>
        </w:trPr>
        <w:tc>
          <w:tcPr>
            <w:tcW w:w="35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5"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Hahn, certify that:</w:t>
      </w:r>
    </w:p>
    <w:p>
      <w:pPr>
        <w:spacing w:after="0" w:line="225"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Amendment No. 1 to annual report on Form 20-F/A of Verona Pharma plc; and</w:t>
      </w:r>
    </w:p>
    <w:p>
      <w:pPr>
        <w:spacing w:after="0" w:line="225"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Date: July 16, 2020</w:t>
            </w:r>
          </w:p>
        </w:tc>
        <w:tc>
          <w:tcPr>
            <w:tcW w:w="2680" w:type="dxa"/>
            <w:vAlign w:val="bottom"/>
          </w:tcPr>
          <w:p>
            <w:pPr>
              <w:ind w:left="21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Hahn</w:t>
            </w:r>
          </w:p>
        </w:tc>
      </w:tr>
      <w:tr>
        <w:trPr>
          <w:trHeight w:val="195"/>
        </w:trPr>
        <w:tc>
          <w:tcPr>
            <w:tcW w:w="35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Mark Hahn</w:t>
            </w:r>
          </w:p>
        </w:tc>
      </w:tr>
      <w:tr>
        <w:trPr>
          <w:trHeight w:val="216"/>
        </w:trPr>
        <w:tc>
          <w:tcPr>
            <w:tcW w:w="35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5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675"/>
        </w:trPr>
        <w:tc>
          <w:tcPr>
            <w:tcW w:w="35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2020-07-16T16:22:04Z</dcterms:created>
  <dcterms:modified xsi:type="dcterms:W3CDTF">2020-07-16T16:22:04Z</dcterms:modified>
</cp:coreProperties>
</file>