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As filed with the Securities and Exchange Commission on August 25, 2020</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333-247928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52705</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112395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4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144780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4"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Amendment No. 1</w:t>
      </w:r>
    </w:p>
    <w:p>
      <w:pPr>
        <w:spacing w:after="0" w:line="20"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to</w:t>
      </w:r>
    </w:p>
    <w:p>
      <w:pPr>
        <w:jc w:val="center"/>
        <w:ind w:right="-439"/>
        <w:spacing w:after="0"/>
        <w:rPr>
          <w:sz w:val="20"/>
          <w:szCs w:val="20"/>
          <w:color w:val="auto"/>
        </w:rPr>
      </w:pPr>
      <w:r>
        <w:rPr>
          <w:rFonts w:ascii="Arial" w:cs="Arial" w:eastAsia="Arial" w:hAnsi="Arial"/>
          <w:sz w:val="25"/>
          <w:szCs w:val="25"/>
          <w:b w:val="1"/>
          <w:bCs w:val="1"/>
          <w:color w:val="auto"/>
        </w:rPr>
        <w:t>Form F-1</w:t>
      </w:r>
    </w:p>
    <w:p>
      <w:pPr>
        <w:spacing w:after="0" w:line="13"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REGISTRATION STATEMENT</w:t>
      </w:r>
    </w:p>
    <w:p>
      <w:pPr>
        <w:spacing w:after="0" w:line="85"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UNDER</w:t>
      </w:r>
    </w:p>
    <w:p>
      <w:pPr>
        <w:spacing w:after="0" w:line="88"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138430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2" w:lineRule="exact"/>
        <w:rPr>
          <w:sz w:val="24"/>
          <w:szCs w:val="24"/>
          <w:color w:val="auto"/>
        </w:rPr>
      </w:pPr>
    </w:p>
    <w:p>
      <w:pPr>
        <w:ind w:left="3780"/>
        <w:spacing w:after="0"/>
        <w:rPr>
          <w:sz w:val="20"/>
          <w:szCs w:val="20"/>
          <w:color w:val="auto"/>
        </w:rPr>
      </w:pPr>
      <w:r>
        <w:rPr>
          <w:rFonts w:ascii="Arial" w:cs="Arial" w:eastAsia="Arial" w:hAnsi="Arial"/>
          <w:sz w:val="29"/>
          <w:szCs w:val="29"/>
          <w:b w:val="1"/>
          <w:bCs w:val="1"/>
          <w:color w:val="auto"/>
        </w:rPr>
        <w:t>VERONA PHARMA PLC</w:t>
      </w:r>
    </w:p>
    <w:p>
      <w:pPr>
        <w:spacing w:after="0" w:line="41"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100330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5"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Not Applicable</w:t>
      </w:r>
    </w:p>
    <w:p>
      <w:pPr>
        <w:spacing w:after="0" w:line="3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115570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7" w:lineRule="exact"/>
        <w:rPr>
          <w:sz w:val="24"/>
          <w:szCs w:val="24"/>
          <w:color w:val="auto"/>
        </w:rPr>
      </w:pPr>
    </w:p>
    <w:tbl>
      <w:tblPr>
        <w:tblLayout w:type="fixed"/>
        <w:tblInd w:w="1120" w:type="dxa"/>
        <w:tblCellMar>
          <w:top w:w="0" w:type="dxa"/>
          <w:left w:w="0" w:type="dxa"/>
          <w:bottom w:w="0" w:type="dxa"/>
          <w:right w:w="0" w:type="dxa"/>
        </w:tblCellMar>
      </w:tblPr>
      <w:tr>
        <w:trPr>
          <w:trHeight w:val="195"/>
        </w:trPr>
        <w:tc>
          <w:tcPr>
            <w:tcW w:w="2600" w:type="dxa"/>
            <w:vAlign w:val="bottom"/>
          </w:tcPr>
          <w:p>
            <w:pPr>
              <w:jc w:val="center"/>
              <w:ind w:right="664"/>
              <w:spacing w:after="0"/>
              <w:rPr>
                <w:sz w:val="20"/>
                <w:szCs w:val="20"/>
                <w:color w:val="auto"/>
              </w:rPr>
            </w:pPr>
            <w:r>
              <w:rPr>
                <w:rFonts w:ascii="Arial" w:cs="Arial" w:eastAsia="Arial" w:hAnsi="Arial"/>
                <w:sz w:val="17"/>
                <w:szCs w:val="17"/>
                <w:b w:val="1"/>
                <w:bCs w:val="1"/>
                <w:color w:val="auto"/>
                <w:w w:val="89"/>
              </w:rPr>
              <w:t>United Kingdom</w:t>
            </w:r>
          </w:p>
        </w:tc>
        <w:tc>
          <w:tcPr>
            <w:tcW w:w="3380" w:type="dxa"/>
            <w:vAlign w:val="bottom"/>
          </w:tcPr>
          <w:p>
            <w:pPr>
              <w:jc w:val="right"/>
              <w:ind w:right="1504"/>
              <w:spacing w:after="0"/>
              <w:rPr>
                <w:sz w:val="20"/>
                <w:szCs w:val="20"/>
                <w:color w:val="auto"/>
              </w:rPr>
            </w:pPr>
            <w:r>
              <w:rPr>
                <w:rFonts w:ascii="Arial" w:cs="Arial" w:eastAsia="Arial" w:hAnsi="Arial"/>
                <w:sz w:val="17"/>
                <w:szCs w:val="17"/>
                <w:b w:val="1"/>
                <w:bCs w:val="1"/>
                <w:color w:val="auto"/>
              </w:rPr>
              <w:t>2834</w:t>
            </w:r>
          </w:p>
        </w:tc>
        <w:tc>
          <w:tcPr>
            <w:tcW w:w="2260" w:type="dxa"/>
            <w:vAlign w:val="bottom"/>
          </w:tcPr>
          <w:p>
            <w:pPr>
              <w:ind w:left="1040"/>
              <w:spacing w:after="0"/>
              <w:rPr>
                <w:sz w:val="20"/>
                <w:szCs w:val="20"/>
                <w:color w:val="auto"/>
              </w:rPr>
            </w:pPr>
            <w:r>
              <w:rPr>
                <w:rFonts w:ascii="Arial" w:cs="Arial" w:eastAsia="Arial" w:hAnsi="Arial"/>
                <w:sz w:val="17"/>
                <w:szCs w:val="17"/>
                <w:b w:val="1"/>
                <w:bCs w:val="1"/>
                <w:color w:val="auto"/>
              </w:rPr>
              <w:t>Not Applicable</w:t>
            </w:r>
          </w:p>
        </w:tc>
      </w:tr>
      <w:tr>
        <w:trPr>
          <w:trHeight w:val="149"/>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rPr>
              <w:t>(State or other Jurisdiction of</w:t>
            </w:r>
          </w:p>
        </w:tc>
        <w:tc>
          <w:tcPr>
            <w:tcW w:w="3380" w:type="dxa"/>
            <w:vAlign w:val="bottom"/>
          </w:tcPr>
          <w:p>
            <w:pPr>
              <w:ind w:left="760"/>
              <w:spacing w:after="0" w:line="149" w:lineRule="exact"/>
              <w:rPr>
                <w:sz w:val="20"/>
                <w:szCs w:val="20"/>
                <w:color w:val="auto"/>
              </w:rPr>
            </w:pPr>
            <w:r>
              <w:rPr>
                <w:rFonts w:ascii="Arial" w:cs="Arial" w:eastAsia="Arial" w:hAnsi="Arial"/>
                <w:sz w:val="14"/>
                <w:szCs w:val="14"/>
                <w:color w:val="auto"/>
              </w:rPr>
              <w:t>(Primary Standard Industrial</w:t>
            </w:r>
          </w:p>
        </w:tc>
        <w:tc>
          <w:tcPr>
            <w:tcW w:w="2260" w:type="dxa"/>
            <w:vAlign w:val="bottom"/>
          </w:tcPr>
          <w:p>
            <w:pPr>
              <w:ind w:left="1040"/>
              <w:spacing w:after="0" w:line="149" w:lineRule="exact"/>
              <w:rPr>
                <w:sz w:val="20"/>
                <w:szCs w:val="20"/>
                <w:color w:val="auto"/>
              </w:rPr>
            </w:pPr>
            <w:r>
              <w:rPr>
                <w:rFonts w:ascii="Arial" w:cs="Arial" w:eastAsia="Arial" w:hAnsi="Arial"/>
                <w:sz w:val="14"/>
                <w:szCs w:val="14"/>
                <w:color w:val="auto"/>
              </w:rPr>
              <w:t>(I.R.S. Employer</w:t>
            </w:r>
          </w:p>
        </w:tc>
      </w:tr>
      <w:tr>
        <w:trPr>
          <w:trHeight w:val="182"/>
        </w:trPr>
        <w:tc>
          <w:tcPr>
            <w:tcW w:w="2600" w:type="dxa"/>
            <w:vAlign w:val="bottom"/>
          </w:tcPr>
          <w:p>
            <w:pPr>
              <w:jc w:val="center"/>
              <w:ind w:right="664"/>
              <w:spacing w:after="0"/>
              <w:rPr>
                <w:sz w:val="20"/>
                <w:szCs w:val="20"/>
                <w:color w:val="auto"/>
              </w:rPr>
            </w:pPr>
            <w:r>
              <w:rPr>
                <w:rFonts w:ascii="Arial" w:cs="Arial" w:eastAsia="Arial" w:hAnsi="Arial"/>
                <w:sz w:val="14"/>
                <w:szCs w:val="14"/>
                <w:color w:val="auto"/>
                <w:w w:val="99"/>
              </w:rPr>
              <w:t>Incorporation or Organization)</w:t>
            </w:r>
          </w:p>
        </w:tc>
        <w:tc>
          <w:tcPr>
            <w:tcW w:w="3380" w:type="dxa"/>
            <w:vAlign w:val="bottom"/>
          </w:tcPr>
          <w:p>
            <w:pPr>
              <w:ind w:left="760"/>
              <w:spacing w:after="0"/>
              <w:rPr>
                <w:sz w:val="20"/>
                <w:szCs w:val="20"/>
                <w:color w:val="auto"/>
              </w:rPr>
            </w:pPr>
            <w:r>
              <w:rPr>
                <w:rFonts w:ascii="Arial" w:cs="Arial" w:eastAsia="Arial" w:hAnsi="Arial"/>
                <w:sz w:val="14"/>
                <w:szCs w:val="14"/>
                <w:color w:val="auto"/>
              </w:rPr>
              <w:t>Classification Code Number)</w:t>
            </w:r>
          </w:p>
        </w:tc>
        <w:tc>
          <w:tcPr>
            <w:tcW w:w="2260" w:type="dxa"/>
            <w:vAlign w:val="bottom"/>
          </w:tcPr>
          <w:p>
            <w:pPr>
              <w:ind w:left="880"/>
              <w:spacing w:after="0"/>
              <w:rPr>
                <w:sz w:val="20"/>
                <w:szCs w:val="20"/>
                <w:color w:val="auto"/>
              </w:rPr>
            </w:pPr>
            <w:r>
              <w:rPr>
                <w:rFonts w:ascii="Arial" w:cs="Arial" w:eastAsia="Arial" w:hAnsi="Arial"/>
                <w:sz w:val="14"/>
                <w:szCs w:val="14"/>
                <w:color w:val="auto"/>
                <w:w w:val="99"/>
              </w:rPr>
              <w:t>Identification Number)</w:t>
            </w:r>
          </w:p>
        </w:tc>
      </w:tr>
    </w:tbl>
    <w:p>
      <w:pPr>
        <w:spacing w:after="0" w:line="96"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3 More London Riverside</w:t>
      </w:r>
    </w:p>
    <w:p>
      <w:pPr>
        <w:jc w:val="center"/>
        <w:ind w:right="-459"/>
        <w:spacing w:after="0" w:line="198" w:lineRule="auto"/>
        <w:rPr>
          <w:sz w:val="20"/>
          <w:szCs w:val="20"/>
          <w:color w:val="auto"/>
        </w:rPr>
      </w:pPr>
      <w:r>
        <w:rPr>
          <w:rFonts w:ascii="Arial" w:cs="Arial" w:eastAsia="Arial" w:hAnsi="Arial"/>
          <w:sz w:val="17"/>
          <w:szCs w:val="17"/>
          <w:b w:val="1"/>
          <w:bCs w:val="1"/>
          <w:color w:val="auto"/>
        </w:rPr>
        <w:t>London SE1 2RE</w:t>
      </w:r>
    </w:p>
    <w:p>
      <w:pPr>
        <w:jc w:val="center"/>
        <w:ind w:right="-459"/>
        <w:spacing w:after="0" w:line="212" w:lineRule="auto"/>
        <w:rPr>
          <w:sz w:val="20"/>
          <w:szCs w:val="20"/>
          <w:color w:val="auto"/>
        </w:rPr>
      </w:pPr>
      <w:r>
        <w:rPr>
          <w:rFonts w:ascii="Arial" w:cs="Arial" w:eastAsia="Arial" w:hAnsi="Arial"/>
          <w:sz w:val="17"/>
          <w:szCs w:val="17"/>
          <w:b w:val="1"/>
          <w:bCs w:val="1"/>
          <w:color w:val="auto"/>
        </w:rPr>
        <w:t>United Kingdom</w:t>
      </w:r>
    </w:p>
    <w:p>
      <w:pPr>
        <w:spacing w:after="0" w:line="1"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81915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7"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Cogency Global Inc.</w:t>
      </w:r>
    </w:p>
    <w:p>
      <w:pPr>
        <w:jc w:val="center"/>
        <w:ind w:right="-459"/>
        <w:spacing w:after="0" w:line="184" w:lineRule="auto"/>
        <w:rPr>
          <w:sz w:val="20"/>
          <w:szCs w:val="20"/>
          <w:color w:val="auto"/>
        </w:rPr>
      </w:pPr>
      <w:r>
        <w:rPr>
          <w:rFonts w:ascii="Arial" w:cs="Arial" w:eastAsia="Arial" w:hAnsi="Arial"/>
          <w:sz w:val="16"/>
          <w:szCs w:val="16"/>
          <w:b w:val="1"/>
          <w:bCs w:val="1"/>
          <w:color w:val="auto"/>
        </w:rPr>
        <w:t>10 E. 40</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Street, 10</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floor</w:t>
      </w:r>
    </w:p>
    <w:p>
      <w:pPr>
        <w:jc w:val="center"/>
        <w:ind w:right="-459"/>
        <w:spacing w:after="0" w:line="199" w:lineRule="auto"/>
        <w:rPr>
          <w:sz w:val="20"/>
          <w:szCs w:val="20"/>
          <w:color w:val="auto"/>
        </w:rPr>
      </w:pPr>
      <w:r>
        <w:rPr>
          <w:rFonts w:ascii="Arial" w:cs="Arial" w:eastAsia="Arial" w:hAnsi="Arial"/>
          <w:sz w:val="17"/>
          <w:szCs w:val="17"/>
          <w:b w:val="1"/>
          <w:bCs w:val="1"/>
          <w:color w:val="auto"/>
        </w:rPr>
        <w:t>New York, New York 10016</w:t>
      </w:r>
    </w:p>
    <w:p>
      <w:pPr>
        <w:jc w:val="center"/>
        <w:ind w:right="-459"/>
        <w:spacing w:after="0" w:line="211" w:lineRule="auto"/>
        <w:rPr>
          <w:sz w:val="20"/>
          <w:szCs w:val="20"/>
          <w:color w:val="auto"/>
        </w:rPr>
      </w:pPr>
      <w:r>
        <w:rPr>
          <w:rFonts w:ascii="Arial" w:cs="Arial" w:eastAsia="Arial" w:hAnsi="Arial"/>
          <w:sz w:val="17"/>
          <w:szCs w:val="17"/>
          <w:b w:val="1"/>
          <w:bCs w:val="1"/>
          <w:color w:val="auto"/>
        </w:rPr>
        <w:t>+1 800 221 0102</w:t>
      </w:r>
    </w:p>
    <w:p>
      <w:pPr>
        <w:spacing w:after="0" w:line="1" w:lineRule="exact"/>
        <w:rPr>
          <w:sz w:val="24"/>
          <w:szCs w:val="24"/>
          <w:color w:val="auto"/>
        </w:rPr>
      </w:pP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81915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0"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i w:val="1"/>
          <w:iCs w:val="1"/>
          <w:color w:val="auto"/>
        </w:rPr>
        <w:t>Copies of all communications, including communications sent to agent for service, should be sent to:</w:t>
      </w:r>
    </w:p>
    <w:p>
      <w:pPr>
        <w:spacing w:after="0" w:line="5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Peter N. Handrinos</w:t>
      </w:r>
    </w:p>
    <w:p>
      <w:pPr>
        <w:spacing w:after="0" w:line="25"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Nathan Ajiashvili</w:t>
      </w:r>
    </w:p>
    <w:p>
      <w:pPr>
        <w:spacing w:after="0" w:line="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Latham &amp; Watkins LLP</w:t>
      </w:r>
    </w:p>
    <w:p>
      <w:pPr>
        <w:spacing w:after="0" w:line="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200 Clarendon Street</w:t>
      </w:r>
    </w:p>
    <w:p>
      <w:pPr>
        <w:spacing w:after="0" w:line="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Boston, Massachusetts 02116</w:t>
      </w:r>
    </w:p>
    <w:p>
      <w:pPr>
        <w:spacing w:after="0" w:line="7"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+1 617 948 6000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92710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7"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Approximate date of commencement of proposed sale to the public :</w:t>
      </w:r>
    </w:p>
    <w:p>
      <w:pPr>
        <w:ind w:left="2800"/>
        <w:spacing w:after="0"/>
        <w:rPr>
          <w:sz w:val="20"/>
          <w:szCs w:val="20"/>
          <w:color w:val="auto"/>
        </w:rPr>
      </w:pPr>
      <w:r>
        <w:rPr>
          <w:rFonts w:ascii="Arial" w:cs="Arial" w:eastAsia="Arial" w:hAnsi="Arial"/>
          <w:sz w:val="17"/>
          <w:szCs w:val="17"/>
          <w:color w:val="auto"/>
        </w:rPr>
        <w:t>From time to time after the effective date of this Registration Statement</w:t>
      </w:r>
    </w:p>
    <w:p>
      <w:pPr>
        <w:spacing w:after="0" w:line="20" w:lineRule="exact"/>
        <w:rPr>
          <w:sz w:val="24"/>
          <w:szCs w:val="24"/>
          <w:color w:val="auto"/>
        </w:rPr>
      </w:pPr>
    </w:p>
    <w:p>
      <w:pPr>
        <w:ind w:left="500" w:right="20" w:firstLine="360"/>
        <w:spacing w:after="0" w:line="21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ind w:left="500" w:right="340" w:firstLine="360"/>
        <w:spacing w:after="0" w:line="201"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ind w:left="500" w:right="40" w:firstLine="360"/>
        <w:spacing w:after="0" w:line="206"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left="500" w:right="40" w:firstLine="360"/>
        <w:spacing w:after="0" w:line="209"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left="500" w:right="380" w:firstLine="360"/>
        <w:spacing w:after="0" w:line="24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7980"/>
        <w:spacing w:after="0" w:line="196" w:lineRule="exact"/>
        <w:tabs>
          <w:tab w:leader="none" w:pos="1006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47" w:lineRule="exact"/>
        <w:rPr>
          <w:sz w:val="24"/>
          <w:szCs w:val="24"/>
          <w:color w:val="auto"/>
        </w:rPr>
      </w:pPr>
    </w:p>
    <w:p>
      <w:pPr>
        <w:ind w:left="500" w:right="240" w:firstLine="360"/>
        <w:spacing w:after="0" w:line="205" w:lineRule="exact"/>
        <w:rPr>
          <w:sz w:val="20"/>
          <w:szCs w:val="20"/>
          <w:color w:val="auto"/>
        </w:rPr>
      </w:pPr>
      <w:r>
        <w:rPr>
          <w:rFonts w:ascii="Arial" w:cs="Arial" w:eastAsia="Arial" w:hAnsi="Arial"/>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67310</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39" w:right="133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85725</wp:posOffset>
            </wp:positionV>
            <wp:extent cx="618045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0455" cy="565785"/>
                    </a:xfrm>
                    <a:prstGeom prst="rect">
                      <a:avLst/>
                    </a:prstGeom>
                    <a:noFill/>
                  </pic:spPr>
                </pic:pic>
              </a:graphicData>
            </a:graphic>
          </wp:anchor>
        </w:drawing>
      </w:r>
    </w:p>
    <w:p>
      <w:pPr>
        <w:spacing w:after="0" w:line="15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ind w:left="185"/>
              <w:spacing w:after="0"/>
              <w:rPr>
                <w:sz w:val="20"/>
                <w:szCs w:val="20"/>
                <w:color w:val="auto"/>
              </w:rPr>
            </w:pPr>
            <w:r>
              <w:rPr>
                <w:rFonts w:ascii="Arial" w:cs="Arial" w:eastAsia="Arial" w:hAnsi="Arial"/>
                <w:sz w:val="14"/>
                <w:szCs w:val="14"/>
                <w:b w:val="1"/>
                <w:bCs w:val="1"/>
                <w:color w:val="auto"/>
                <w:w w:val="86"/>
              </w:rPr>
              <w:t>Proposed</w:t>
            </w:r>
          </w:p>
        </w:tc>
        <w:tc>
          <w:tcPr>
            <w:tcW w:w="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vMerge w:val="restart"/>
          </w:tcPr>
          <w:p>
            <w:pPr>
              <w:jc w:val="center"/>
              <w:ind w:left="344"/>
              <w:spacing w:after="0"/>
              <w:rPr>
                <w:sz w:val="20"/>
                <w:szCs w:val="20"/>
                <w:color w:val="auto"/>
              </w:rPr>
            </w:pPr>
            <w:r>
              <w:rPr>
                <w:rFonts w:ascii="Arial" w:cs="Arial" w:eastAsia="Arial" w:hAnsi="Arial"/>
                <w:sz w:val="14"/>
                <w:szCs w:val="14"/>
                <w:b w:val="1"/>
                <w:bCs w:val="1"/>
                <w:color w:val="auto"/>
                <w:w w:val="87"/>
              </w:rPr>
              <w:t>Title of each Class of</w:t>
            </w:r>
          </w:p>
        </w:tc>
        <w:tc>
          <w:tcPr>
            <w:tcW w:w="1640" w:type="dxa"/>
            <w:vAlign w:val="bottom"/>
            <w:vMerge w:val="continue"/>
          </w:tcPr>
          <w:p>
            <w:pPr>
              <w:spacing w:after="0"/>
              <w:rPr>
                <w:sz w:val="11"/>
                <w:szCs w:val="11"/>
                <w:color w:val="auto"/>
              </w:rPr>
            </w:pPr>
          </w:p>
        </w:tc>
        <w:tc>
          <w:tcPr>
            <w:tcW w:w="1220" w:type="dxa"/>
            <w:vAlign w:val="bottom"/>
          </w:tcPr>
          <w:p>
            <w:pPr>
              <w:jc w:val="center"/>
              <w:ind w:left="165"/>
              <w:spacing w:after="0" w:line="135" w:lineRule="exact"/>
              <w:rPr>
                <w:sz w:val="20"/>
                <w:szCs w:val="20"/>
                <w:color w:val="auto"/>
              </w:rPr>
            </w:pPr>
            <w:r>
              <w:rPr>
                <w:rFonts w:ascii="Arial" w:cs="Arial" w:eastAsia="Arial" w:hAnsi="Arial"/>
                <w:sz w:val="14"/>
                <w:szCs w:val="14"/>
                <w:b w:val="1"/>
                <w:bCs w:val="1"/>
                <w:color w:val="auto"/>
                <w:w w:val="95"/>
              </w:rPr>
              <w:t>Maximum</w:t>
            </w:r>
          </w:p>
        </w:tc>
        <w:tc>
          <w:tcPr>
            <w:tcW w:w="30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Maximum</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35"/>
        </w:trPr>
        <w:tc>
          <w:tcPr>
            <w:tcW w:w="4080" w:type="dxa"/>
            <w:vAlign w:val="bottom"/>
            <w:vMerge w:val="continue"/>
          </w:tcPr>
          <w:p>
            <w:pPr>
              <w:spacing w:after="0"/>
              <w:rPr>
                <w:sz w:val="11"/>
                <w:szCs w:val="11"/>
                <w:color w:val="auto"/>
              </w:rPr>
            </w:pPr>
          </w:p>
        </w:tc>
        <w:tc>
          <w:tcPr>
            <w:tcW w:w="1640" w:type="dxa"/>
            <w:vAlign w:val="bottom"/>
          </w:tcPr>
          <w:p>
            <w:pPr>
              <w:jc w:val="right"/>
              <w:ind w:right="109"/>
              <w:spacing w:after="0" w:line="135" w:lineRule="exact"/>
              <w:rPr>
                <w:sz w:val="20"/>
                <w:szCs w:val="20"/>
                <w:color w:val="auto"/>
              </w:rPr>
            </w:pPr>
            <w:r>
              <w:rPr>
                <w:rFonts w:ascii="Arial" w:cs="Arial" w:eastAsia="Arial" w:hAnsi="Arial"/>
                <w:sz w:val="11"/>
                <w:szCs w:val="11"/>
                <w:b w:val="1"/>
                <w:bCs w:val="1"/>
                <w:color w:val="auto"/>
              </w:rPr>
              <w:t xml:space="preserve">to Be  </w:t>
            </w:r>
            <w:r>
              <w:rPr>
                <w:rFonts w:ascii="Arial" w:cs="Arial" w:eastAsia="Arial" w:hAnsi="Arial"/>
                <w:sz w:val="15"/>
                <w:szCs w:val="15"/>
                <w:b w:val="1"/>
                <w:bCs w:val="1"/>
                <w:color w:val="auto"/>
                <w:vertAlign w:val="subscript"/>
              </w:rPr>
              <w:t>(1)</w:t>
            </w:r>
          </w:p>
        </w:tc>
        <w:tc>
          <w:tcPr>
            <w:tcW w:w="1220" w:type="dxa"/>
            <w:vAlign w:val="bottom"/>
          </w:tcPr>
          <w:p>
            <w:pPr>
              <w:jc w:val="center"/>
              <w:ind w:left="185"/>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300" w:type="dxa"/>
            <w:vAlign w:val="bottom"/>
          </w:tcPr>
          <w:p>
            <w:pPr>
              <w:jc w:val="right"/>
              <w:ind w:right="66"/>
              <w:spacing w:after="0"/>
              <w:rPr>
                <w:sz w:val="20"/>
                <w:szCs w:val="20"/>
                <w:color w:val="auto"/>
              </w:rPr>
            </w:pPr>
            <w:r>
              <w:rPr>
                <w:rFonts w:ascii="Arial" w:cs="Arial" w:eastAsia="Arial" w:hAnsi="Arial"/>
                <w:sz w:val="11"/>
                <w:szCs w:val="11"/>
                <w:b w:val="1"/>
                <w:bCs w:val="1"/>
                <w:color w:val="auto"/>
              </w:rPr>
              <w:t>(2)</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Aggregate</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w w:val="86"/>
              </w:rPr>
              <w:t>Securities to be Registered</w:t>
            </w:r>
          </w:p>
        </w:tc>
        <w:tc>
          <w:tcPr>
            <w:tcW w:w="16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Registered</w:t>
            </w:r>
          </w:p>
        </w:tc>
        <w:tc>
          <w:tcPr>
            <w:tcW w:w="152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4"/>
                <w:szCs w:val="14"/>
                <w:b w:val="1"/>
                <w:bCs w:val="1"/>
                <w:color w:val="auto"/>
                <w:w w:val="99"/>
              </w:rPr>
              <w:t>per Ordinary Share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08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89"/>
              </w:rPr>
              <w:t>Registration Fee</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Ordinary Shares, nominal value £0.05 per share</w:t>
            </w:r>
          </w:p>
        </w:tc>
        <w:tc>
          <w:tcPr>
            <w:tcW w:w="1640" w:type="dxa"/>
            <w:vAlign w:val="bottom"/>
            <w:shd w:val="clear" w:color="auto" w:fill="CCEEFF"/>
          </w:tcPr>
          <w:p>
            <w:pPr>
              <w:jc w:val="right"/>
              <w:ind w:right="29"/>
              <w:spacing w:after="0"/>
              <w:rPr>
                <w:sz w:val="20"/>
                <w:szCs w:val="20"/>
                <w:color w:val="auto"/>
              </w:rPr>
            </w:pPr>
            <w:r>
              <w:rPr>
                <w:rFonts w:ascii="Arial" w:cs="Arial" w:eastAsia="Arial" w:hAnsi="Arial"/>
                <w:sz w:val="17"/>
                <w:szCs w:val="17"/>
                <w:color w:val="auto"/>
              </w:rPr>
              <w:t>355,831,184</w:t>
            </w:r>
          </w:p>
        </w:tc>
        <w:tc>
          <w:tcPr>
            <w:tcW w:w="1220" w:type="dxa"/>
            <w:vAlign w:val="bottom"/>
            <w:shd w:val="clear" w:color="auto" w:fill="CCEEFF"/>
          </w:tcPr>
          <w:p>
            <w:pPr>
              <w:jc w:val="right"/>
              <w:ind w:right="185"/>
              <w:spacing w:after="0"/>
              <w:rPr>
                <w:sz w:val="20"/>
                <w:szCs w:val="20"/>
                <w:color w:val="auto"/>
              </w:rPr>
            </w:pPr>
            <w:r>
              <w:rPr>
                <w:rFonts w:ascii="Arial" w:cs="Arial" w:eastAsia="Arial" w:hAnsi="Arial"/>
                <w:sz w:val="17"/>
                <w:szCs w:val="17"/>
                <w:color w:val="auto"/>
              </w:rPr>
              <w:t>$0.99</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w w:val="98"/>
              </w:rPr>
              <w:t>$352,272,872.16</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$45,725.02</w:t>
            </w:r>
          </w:p>
        </w:tc>
        <w:tc>
          <w:tcPr>
            <w:tcW w:w="0" w:type="dxa"/>
            <w:vAlign w:val="bottom"/>
          </w:tcPr>
          <w:p>
            <w:pPr>
              <w:spacing w:after="0"/>
              <w:rPr>
                <w:sz w:val="1"/>
                <w:szCs w:val="1"/>
                <w:color w:val="auto"/>
              </w:rPr>
            </w:pPr>
          </w:p>
        </w:tc>
      </w:tr>
    </w:tbl>
    <w:p>
      <w:pPr>
        <w:ind w:left="860" w:hanging="366"/>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(a) 307,742,288 Ordinary Shares of which 307,520,072 are in the form of American Depositary Shares and</w:t>
      </w:r>
    </w:p>
    <w:p>
      <w:pPr>
        <w:spacing w:after="0" w:line="16" w:lineRule="exact"/>
        <w:rPr>
          <w:rFonts w:ascii="Arial" w:cs="Arial" w:eastAsia="Arial" w:hAnsi="Arial"/>
          <w:sz w:val="17"/>
          <w:szCs w:val="17"/>
          <w:color w:val="auto"/>
        </w:rPr>
      </w:pPr>
    </w:p>
    <w:p>
      <w:pPr>
        <w:ind w:left="860" w:right="40"/>
        <w:spacing w:after="0" w:line="250" w:lineRule="auto"/>
        <w:rPr>
          <w:rFonts w:ascii="Arial" w:cs="Arial" w:eastAsia="Arial" w:hAnsi="Arial"/>
          <w:sz w:val="17"/>
          <w:szCs w:val="17"/>
          <w:color w:val="auto"/>
        </w:rPr>
      </w:pPr>
      <w:r>
        <w:rPr>
          <w:rFonts w:ascii="Arial" w:cs="Arial" w:eastAsia="Arial" w:hAnsi="Arial"/>
          <w:sz w:val="17"/>
          <w:szCs w:val="17"/>
          <w:color w:val="auto"/>
        </w:rPr>
        <w:t>(b) 48,088,896 Ordinary Shares that may be re-designated from the Issuer’s Non-Voting Ordinary Shares. American Depositary Shares issuable on deposit of the ordinary shares registered hereby have been registered under a separate registration statement on Form F-6 (File No. 333-217353). Each American Depositary Share represents the right to receive eight ordinary shares. Pursuant to Rule 416(a) of the Securities Act of 1933, as amended, this registration statement also covers such additional shares as may hereafter be offered or issued to prevent dilution resulting from share splits, share dividends, recapitalizations or certain other capital adjustments.</w:t>
      </w:r>
    </w:p>
    <w:p>
      <w:pPr>
        <w:spacing w:after="0" w:line="20" w:lineRule="exact"/>
        <w:rPr>
          <w:rFonts w:ascii="Arial" w:cs="Arial" w:eastAsia="Arial" w:hAnsi="Arial"/>
          <w:sz w:val="17"/>
          <w:szCs w:val="17"/>
          <w:color w:val="auto"/>
        </w:rPr>
      </w:pPr>
    </w:p>
    <w:p>
      <w:pPr>
        <w:ind w:left="860" w:right="20" w:hanging="366"/>
        <w:spacing w:after="0" w:line="253"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457(c) solely for purposes of calculating the registration fee. The maximum price per Ordinary Share and the maximum aggregate offering price are based on the average of the $1.05 (high) and $0.93 (low) sale price of the Registrant’s ordinary shares as reported on the AIM, a market of the London Stock Exchange, on August 24, 2020, which date is within five business days prior to filing this Registration Statement and converted to $0.99 at the noon buying rate of the Federal Reserve Bank of New York of £1.00 to $1.3098 on August 21, 2020. The Registrant previously paid $45,234.88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143510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0" w:right="100" w:firstLine="360"/>
        <w:spacing w:after="0" w:line="262"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43815</wp:posOffset>
            </wp:positionV>
            <wp:extent cx="618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86360</wp:posOffset>
            </wp:positionV>
            <wp:extent cx="61893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4869815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900" w:type="dxa"/>
        <w:tblCellMar>
          <w:top w:w="0" w:type="dxa"/>
          <w:left w:w="0" w:type="dxa"/>
          <w:bottom w:w="0" w:type="dxa"/>
          <w:right w:w="0" w:type="dxa"/>
        </w:tblCellMar>
      </w:tblPr>
      <w:tr>
        <w:trPr>
          <w:trHeight w:val="54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with the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state or</w:t>
            </w:r>
          </w:p>
        </w:tc>
      </w:tr>
      <w:tr>
        <w:trPr>
          <w:trHeight w:val="189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 filed</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buy these securities in any</w:t>
            </w:r>
          </w:p>
        </w:tc>
      </w:tr>
      <w:tr>
        <w:trPr>
          <w:trHeight w:val="1744"/>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not soliciting an offer to</w:t>
            </w:r>
          </w:p>
        </w:tc>
      </w:tr>
      <w:tr>
        <w:trPr>
          <w:trHeight w:val="186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shareholders may not sell</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sell these securities and is</w:t>
            </w:r>
          </w:p>
        </w:tc>
      </w:tr>
      <w:tr>
        <w:trPr>
          <w:trHeight w:val="77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selling</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an offer to</w:t>
            </w:r>
          </w:p>
        </w:tc>
      </w:tr>
      <w:tr>
        <w:trPr>
          <w:trHeight w:val="124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prospectus is not</w:t>
            </w:r>
          </w:p>
        </w:tc>
      </w:tr>
      <w:tr>
        <w:trPr>
          <w:trHeight w:val="464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 and</w:t>
            </w:r>
          </w:p>
        </w:tc>
        <w:tc>
          <w:tcPr>
            <w:tcW w:w="300" w:type="dxa"/>
            <w:vAlign w:val="bottom"/>
            <w:textDirection w:val="btLr"/>
          </w:tcPr>
          <w:p>
            <w:pPr>
              <w:ind w:left="162"/>
              <w:spacing w:after="0"/>
              <w:rPr>
                <w:sz w:val="20"/>
                <w:szCs w:val="20"/>
                <w:color w:val="auto"/>
              </w:rPr>
            </w:pPr>
            <w:r>
              <w:rPr>
                <w:rFonts w:ascii="Arial" w:cs="Arial" w:eastAsia="Arial" w:hAnsi="Arial"/>
                <w:sz w:val="12"/>
                <w:szCs w:val="12"/>
                <w:b w:val="1"/>
                <w:bCs w:val="1"/>
                <w:color w:val="FC0014"/>
                <w:w w:val="70"/>
              </w:rPr>
              <w:t>Securities and Exchange Commission is effective. This preliminaryjurisdictionwheretheofferorsaleisnotpermitted.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FC0014"/>
        </w:rPr>
        <w:t>SUBJECT TO COMPLETION, DATED AUGUST 25,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317500</wp:posOffset>
            </wp:positionV>
            <wp:extent cx="1688465"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355,831,184 Shares</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VERONA PHARMA PLC</w:t>
      </w: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25"/>
          <w:szCs w:val="25"/>
          <w:b w:val="1"/>
          <w:bCs w:val="1"/>
          <w:color w:val="auto"/>
        </w:rPr>
        <w:t>Ordinary Shares</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(including Ordinary Shares in the form of American Depositary Shares)</w:t>
      </w:r>
    </w:p>
    <w:p>
      <w:pPr>
        <w:spacing w:after="0" w:line="245" w:lineRule="exact"/>
        <w:rPr>
          <w:sz w:val="20"/>
          <w:szCs w:val="20"/>
          <w:color w:val="auto"/>
        </w:rPr>
      </w:pPr>
    </w:p>
    <w:p>
      <w:pPr>
        <w:ind w:right="359" w:firstLine="360"/>
        <w:spacing w:after="0" w:line="257" w:lineRule="auto"/>
        <w:rPr>
          <w:sz w:val="20"/>
          <w:szCs w:val="20"/>
          <w:color w:val="auto"/>
        </w:rPr>
      </w:pPr>
      <w:r>
        <w:rPr>
          <w:rFonts w:ascii="Arial" w:cs="Arial" w:eastAsia="Arial" w:hAnsi="Arial"/>
          <w:sz w:val="18"/>
          <w:szCs w:val="18"/>
          <w:color w:val="auto"/>
        </w:rPr>
        <w:t>This prospectus relates to the resale from time to time in one or more offerings by the selling shareholders named herein of up to an aggregate of 355,831,184 of our ordinary shares, nominal value £0.05 per share, of which 307,520,072 are in the form of American Depositary Shares, or ADSs, and 48,088,896 are ordinary shares that may be re-designated from our non-voting ordinary shares, nominal value £0.05 per share.</w:t>
      </w:r>
    </w:p>
    <w:p>
      <w:pPr>
        <w:spacing w:after="0" w:line="147" w:lineRule="exact"/>
        <w:rPr>
          <w:sz w:val="20"/>
          <w:szCs w:val="20"/>
          <w:color w:val="auto"/>
        </w:rPr>
      </w:pPr>
    </w:p>
    <w:p>
      <w:pPr>
        <w:ind w:right="379" w:firstLine="360"/>
        <w:spacing w:after="0" w:line="273" w:lineRule="auto"/>
        <w:rPr>
          <w:sz w:val="20"/>
          <w:szCs w:val="20"/>
          <w:color w:val="auto"/>
        </w:rPr>
      </w:pPr>
      <w:r>
        <w:rPr>
          <w:rFonts w:ascii="Arial" w:cs="Arial" w:eastAsia="Arial" w:hAnsi="Arial"/>
          <w:sz w:val="17"/>
          <w:szCs w:val="17"/>
          <w:color w:val="auto"/>
        </w:rPr>
        <w:t>The ordinary shares registered hereby may be offered and sold by the selling shareholders through one or more underwriters, broker-dealers, agents or directly to purchasers, or through a combination of these methods. If the ordinary shares are sold through underwriters or broker-dealers, the selling shareholders will be responsible for underwriting discounts or commissions or agent’s commissions. The ordinary shares may be sold in one or more transactions at fixed prices, at prevailing market prices at the time of sale, at varying prices determined at the time of sale, or at negotiated prices. See “Plan of Distribution.”</w:t>
      </w:r>
    </w:p>
    <w:p>
      <w:pPr>
        <w:spacing w:after="0" w:line="151" w:lineRule="exact"/>
        <w:rPr>
          <w:sz w:val="20"/>
          <w:szCs w:val="20"/>
          <w:color w:val="auto"/>
        </w:rPr>
      </w:pPr>
    </w:p>
    <w:p>
      <w:pPr>
        <w:ind w:right="999" w:firstLine="360"/>
        <w:spacing w:after="0" w:line="277" w:lineRule="auto"/>
        <w:rPr>
          <w:sz w:val="20"/>
          <w:szCs w:val="20"/>
          <w:color w:val="auto"/>
        </w:rPr>
      </w:pPr>
      <w:r>
        <w:rPr>
          <w:rFonts w:ascii="Arial" w:cs="Arial" w:eastAsia="Arial" w:hAnsi="Arial"/>
          <w:sz w:val="18"/>
          <w:szCs w:val="18"/>
          <w:color w:val="auto"/>
        </w:rPr>
        <w:t>We are not selling any ordinary shares under this prospectus, and we will not receive any of the proceeds from the offer and sale of ordinary shares by the selling shareholders.</w:t>
      </w:r>
    </w:p>
    <w:p>
      <w:pPr>
        <w:spacing w:after="0" w:line="130" w:lineRule="exact"/>
        <w:rPr>
          <w:sz w:val="20"/>
          <w:szCs w:val="20"/>
          <w:color w:val="auto"/>
        </w:rPr>
      </w:pPr>
    </w:p>
    <w:p>
      <w:pPr>
        <w:ind w:right="499" w:firstLine="360"/>
        <w:spacing w:after="0" w:line="279" w:lineRule="auto"/>
        <w:rPr>
          <w:sz w:val="20"/>
          <w:szCs w:val="20"/>
          <w:color w:val="auto"/>
        </w:rPr>
      </w:pPr>
      <w:r>
        <w:rPr>
          <w:rFonts w:ascii="Arial" w:cs="Arial" w:eastAsia="Arial" w:hAnsi="Arial"/>
          <w:sz w:val="17"/>
          <w:szCs w:val="17"/>
          <w:color w:val="auto"/>
        </w:rPr>
        <w:t>Our ADSs are listed on The Nasdaq Global Market under the symbol “VRNA.” On August 24, 2020, the last reported sale price of our ADSs on The Nasdaq Global Market was $7.67 per ADS. Our ordinary shares are listed on AIM of the London Stock Exchange, or AIM, under the symbol “VRP.” On August 24, 2020, the last reported sale price of our ordinary shares on AIM was £0.74 per share.</w:t>
      </w:r>
    </w:p>
    <w:p>
      <w:pPr>
        <w:spacing w:after="0" w:line="104" w:lineRule="exact"/>
        <w:rPr>
          <w:sz w:val="20"/>
          <w:szCs w:val="20"/>
          <w:color w:val="auto"/>
        </w:rPr>
      </w:pPr>
    </w:p>
    <w:p>
      <w:pPr>
        <w:ind w:right="519" w:firstLine="360"/>
        <w:spacing w:after="0" w:line="29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xml:space="preserve">” beginning on page </w:t>
      </w:r>
      <w:hyperlink w:anchor="page11">
        <w:r>
          <w:rPr>
            <w:rFonts w:ascii="Arial" w:cs="Arial" w:eastAsia="Arial" w:hAnsi="Arial"/>
            <w:sz w:val="18"/>
            <w:szCs w:val="18"/>
            <w:b w:val="1"/>
            <w:bCs w:val="1"/>
            <w:u w:val="single" w:color="auto"/>
            <w:color w:val="0000EE"/>
          </w:rPr>
          <w:t>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and THE DOCUMENTS INCORPORATED BY REFERENCE INTO THIS PROSPECTUS concerning factors you should consider before investing in our securities.</w:t>
      </w:r>
    </w:p>
    <w:p>
      <w:pPr>
        <w:spacing w:after="0" w:line="106" w:lineRule="exact"/>
        <w:rPr>
          <w:sz w:val="20"/>
          <w:szCs w:val="20"/>
          <w:color w:val="auto"/>
        </w:rPr>
      </w:pPr>
    </w:p>
    <w:p>
      <w:pPr>
        <w:ind w:right="599" w:firstLine="360"/>
        <w:spacing w:after="0" w:line="263" w:lineRule="auto"/>
        <w:rPr>
          <w:sz w:val="20"/>
          <w:szCs w:val="20"/>
          <w:color w:val="auto"/>
        </w:rPr>
      </w:pPr>
      <w:r>
        <w:rPr>
          <w:rFonts w:ascii="Arial" w:cs="Arial" w:eastAsia="Arial" w:hAnsi="Arial"/>
          <w:sz w:val="18"/>
          <w:szCs w:val="18"/>
          <w:color w:val="auto"/>
        </w:rPr>
        <w:t>We are an “emerging growth company” under applicable Securities and Exchange Commission rules and are eligible for reduced public company disclosure requirements. See “Summary — Implications of Being an Emerging Growth Company and a Foreign Private Issuer.”</w:t>
      </w:r>
    </w:p>
    <w:p>
      <w:pPr>
        <w:spacing w:after="0" w:line="207" w:lineRule="exact"/>
        <w:rPr>
          <w:sz w:val="20"/>
          <w:szCs w:val="20"/>
          <w:color w:val="auto"/>
        </w:rPr>
      </w:pPr>
    </w:p>
    <w:p>
      <w:pPr>
        <w:ind w:right="43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76"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737235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340" w:space="240"/>
            <w:col w:w="855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8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8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PRESENTATION OF FINANCIAL INFORMATION</w:t>
              </w:r>
            </w:hyperlink>
          </w:p>
        </w:tc>
        <w:tc>
          <w:tcPr>
            <w:tcW w:w="72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75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CAUTIONARY STATEMENT REGARDING FORWARD-LOOKING STATEMENTS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MARKET AND INDUSTRY DATA</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TRADEMARKS, SERVICE MARKS AND TRADENAMES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USE OF PROCEEDS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55</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DIVIDEND POLICY</w:t>
              </w:r>
            </w:hyperlink>
          </w:p>
        </w:tc>
        <w:tc>
          <w:tcPr>
            <w:tcW w:w="72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CAPITALIZATION</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57</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SELECTED FINANCIAL DATA</w:t>
              </w:r>
            </w:hyperlink>
          </w:p>
        </w:tc>
        <w:tc>
          <w:tcPr>
            <w:tcW w:w="72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58</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60</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PRINCIPAL AND SELLING SHAREHOLDERS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RELATED PARTY TRANSACTIONS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71</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SHARE CAPITAL AND ARTICLES OF ASSOCIATION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MATERIAL TAX CONSIDERATIONS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77</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PLAN OF DISTRIBUTION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EXPENSES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84</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LEGAL MATTERS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EXPERTS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84</w:t>
              </w:r>
            </w:hyperlink>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ENFORCEMENT OF CIVIL LIABILITIES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WHERE YOU CAN FIND MORE INFORMATION; INCORPORATION BY REFERENCE</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87</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240030</wp:posOffset>
            </wp:positionV>
            <wp:extent cx="1234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this prospectus or in any free writing prospectus we may authorize to be delivered or made available to you. We have not and the selling shareholders have not authorized anyone to provide you with different information. The selling shareholders are offering to sell, and seeking offers to buy, our ordinary shares (including in the form of ADSs) only in jurisdictions where offers and sales are permitted. The information contained in this prospectus is accurate only as of the date of this prospectus, regardless of the time of delivery of this prospectus or any sale of ordinary shares (including in the form of ADSs).</w:t>
      </w:r>
    </w:p>
    <w:p>
      <w:pPr>
        <w:spacing w:after="0" w:line="91"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b w:val="1"/>
          <w:bCs w:val="1"/>
          <w:color w:val="auto"/>
        </w:rPr>
        <w:t>For investors outside the United States: Neither we nor the selling shareholders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ordinary shares (including in the form of ADSs) and the distribution of this prospectus outside the United States.</w:t>
      </w:r>
    </w:p>
    <w:p>
      <w:pPr>
        <w:spacing w:after="0" w:line="11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This prospectus is a part of a registration statement on Form F-1 that we filed with the Securities and Exchange Commission, or the SEC, using a “shelf” registration or continuous offering process. Under this shelf process, the selling shareholders may from time to time sell the ordinary shares (including in the form of ADSs) covered by this prospectus. Additionally, under the shelf process, in certain circumstances, we or the selling shareholder may provide a prospectus supplement that will contain certain specific information about the terms of a particular offering by one or more of the selling shareholders or to add information to, or update or change information contained in this prospectus. You should read this prospectus or any prospectus supplement before deciding to invest in our ordinary shares (including in the form of ADSs). You may obtain this information without charge by following the instructions under “Where You Can Find More Information; Incorporation by Reference” appearing elsewhere in this prospectus.</w:t>
      </w:r>
    </w:p>
    <w:p>
      <w:pPr>
        <w:sectPr>
          <w:pgSz w:w="11900" w:h="16838" w:orient="portrait"/>
          <w:cols w:equalWidth="0" w:num="1">
            <w:col w:w="10139"/>
          </w:cols>
          <w:pgMar w:left="320" w:top="132" w:right="1440" w:bottom="1440" w:gutter="0" w:footer="0" w:header="0"/>
        </w:sectPr>
      </w:pPr>
    </w:p>
    <w:p>
      <w:pPr>
        <w:spacing w:after="0" w:line="36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Under the rules of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 However, we determined that, beginning January 1, 2021, we will be subject to the rules and regulations of the SEC applicable to U.S. domestic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the IASB. None of the financial statements incorporated by reference in this prospectus were prepared in accordance with generally accepted accounting principles in the United States. We present our financial statements in pounds sterling and in accordance with IFRS as issued by the IASB. We have made rounding adjustments to some of the figures included in this prospectus. Accordingly, numerical figures shown as totals in some tables may not be an arithmetic aggregation of the figures that preceded them. All references in this prospectus to “$,” “US$,” “U.S.$,” “U.S. dollars,” “dollars” and “USD” mean U.S. dollars and all references to “£” and “GBP” mean pounds sterling, unless otherwise noted.</w:t>
      </w:r>
    </w:p>
    <w:p>
      <w:pPr>
        <w:spacing w:after="0" w:line="19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2"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We make such forward-looking statements pursuant to the safe harbor provisions of the Private Securities Litigation Reform Act of 1995 and other federal securities laws.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7"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titled “Risk Factors” and “Management’s Discussion and Analysis of Financial Condition and Results of Operations” and elsewhere in this prospectus. These forward-looking statements are subject to numerous risks, including, without limitation, the following:</w:t>
      </w:r>
    </w:p>
    <w:p>
      <w:pPr>
        <w:spacing w:after="0" w:line="60" w:lineRule="exact"/>
        <w:rPr>
          <w:sz w:val="20"/>
          <w:szCs w:val="20"/>
          <w:color w:val="auto"/>
        </w:rPr>
      </w:pPr>
    </w:p>
    <w:p>
      <w:pPr>
        <w:ind w:left="1800" w:right="139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novel coronavirus disease 2019, or COVID-19, pandemic on our business, including our clinical trials and operations;</w:t>
      </w:r>
    </w:p>
    <w:p>
      <w:pPr>
        <w:spacing w:after="0" w:line="62"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of ensifentrine, including statements regarding the expected initiation, timing, progress and availability of data from our clinical trials and regulatory approval;</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attributes and benefit of ensifentrine and its competitive position;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ensifentrine, if approved;</w:t>
      </w:r>
    </w:p>
    <w:p>
      <w:pPr>
        <w:spacing w:after="0" w:line="117"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our need for additional financing;</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acquire or in license new product candidates;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collaborations;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of our patent portfolio;</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personnel and recruit qualified personnel, as well as the successful transition of our chief executive officer and chief financial officer roles; and</w:t>
      </w:r>
    </w:p>
    <w:p>
      <w:pPr>
        <w:spacing w:after="0" w:line="62"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other risks described in the section titled “Risk Factors” in this prospectus and described in the documents incorporated by reference into this prospectus.</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879" w:firstLine="360"/>
        <w:spacing w:after="0"/>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audited financial statements, including the notes thereto, incorporated by reference into this prospectus, before deciding to invest in our ordinary shares (including in the form of ADSs)</w:t>
      </w:r>
      <w:r>
        <w:rPr>
          <w:rFonts w:ascii="Arial" w:cs="Arial" w:eastAsia="Arial" w:hAnsi="Arial"/>
          <w:sz w:val="18"/>
          <w:szCs w:val="18"/>
          <w:color w:val="auto"/>
        </w:rPr>
        <w:t>.</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80" w:right="679" w:firstLine="360"/>
        <w:spacing w:after="0" w:line="237"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or PDE3 and PDE4, that is designed to act as both a bronchodilator and an anti-inflammatory agent. We are not aware of any other single compound in clinical development or approved by the U.S. Food and Drug Administration, or FDA, nor the European Medicines Agency, or EMA, for the treatment of respiratory diseases that acts as both a bronchodilator and anti-inflammatory agent. We believe ensifentrine has the potential to be the first novel class of bronchodilator in over 40 years. A nebulized formulation of ensifentrine has completed Phase 2 clinical development for the treatment of chronic obstructive pulmonary disease, or COPD, and we expect to commence Phase 3 clinical trials later in 2020. We are investigating the potential impact of the COVID-19 pandemic on the Phase 3 program, including the planned design, cost and timelines and we are evaluating potential mitigations including pre-enrollment COVID-19 screening among others.</w:t>
      </w:r>
    </w:p>
    <w:p>
      <w:pPr>
        <w:spacing w:after="0" w:line="110" w:lineRule="exact"/>
        <w:rPr>
          <w:sz w:val="20"/>
          <w:szCs w:val="20"/>
          <w:color w:val="auto"/>
        </w:rPr>
      </w:pPr>
    </w:p>
    <w:p>
      <w:pPr>
        <w:ind w:left="1280" w:right="659" w:firstLine="360"/>
        <w:spacing w:after="0" w:line="252" w:lineRule="auto"/>
        <w:rPr>
          <w:sz w:val="20"/>
          <w:szCs w:val="20"/>
          <w:color w:val="auto"/>
        </w:rPr>
      </w:pPr>
      <w:r>
        <w:rPr>
          <w:rFonts w:ascii="Arial" w:cs="Arial" w:eastAsia="Arial" w:hAnsi="Arial"/>
          <w:sz w:val="17"/>
          <w:szCs w:val="17"/>
          <w:color w:val="auto"/>
        </w:rPr>
        <w:t>Successful Phase 1 and 2 studies have been completed with nebulized ensifentrine in healthy volunteers and in patients with cystic fibrosis, or CF, chronic asthma and allergic rhinitis, in addition to COPD. A Phase 2 study in COPD with ensifentrine formulated in a dry powder inhaler, or DPI, has been completed, with positive clinical results reported in August 2019. We commenced a Phase 2 study in COPD with ensifentrine formulated in a pressurized metered dose inhaler, or pMDI, and completed the single- dose portion (Part A) of the study in March 2020. We postponed the multiple-dose portion of this study (Part B) due to concerns regarding the safety of trial subjects, caregivers and medical staff during the COVID-19 pandemic, but following an assessment of the safety plans and procedures put in place by the UK clinical trial site, we are planning to initiate Part B of this study in the third quarter of 2020. In addition, in July 2020, we received a notice to proceed from the FDA to evaluate pMDI ensifentrine in a randomized, double- blind, placebo-controlled pilot clinical study for the treatment of patients hospitalized with COVID-19. We plan to start this study in the third quarter of 2020.</w:t>
      </w:r>
    </w:p>
    <w:p>
      <w:pPr>
        <w:spacing w:after="0" w:line="116" w:lineRule="exact"/>
        <w:rPr>
          <w:sz w:val="20"/>
          <w:szCs w:val="20"/>
          <w:color w:val="auto"/>
        </w:rPr>
      </w:pPr>
    </w:p>
    <w:p>
      <w:pPr>
        <w:ind w:left="1280" w:right="699" w:firstLine="360"/>
        <w:spacing w:after="0" w:line="252" w:lineRule="auto"/>
        <w:rPr>
          <w:sz w:val="20"/>
          <w:szCs w:val="20"/>
          <w:color w:val="auto"/>
        </w:rPr>
      </w:pPr>
      <w:r>
        <w:rPr>
          <w:rFonts w:ascii="Arial" w:cs="Arial" w:eastAsia="Arial" w:hAnsi="Arial"/>
          <w:sz w:val="17"/>
          <w:szCs w:val="17"/>
          <w:color w:val="auto"/>
        </w:rPr>
        <w:t>For the past 40 years, the treatment of COPD has been dominated by three classes of inhaled therapies approved for use by the FDA or EMA: antimuscarinic agents and beta2- agonists, both available as either short-acting or long-acting bronchodilators, and inhaled corticosteroids, or ICS, known for their anti-inflammatory effects. However, despite existing treatment with one or multiple combinations of these therapies, and owing to the progressive and incurable nature of COPD, many COPD patients on maximum inhaled therapy still experience significant lung function impairment and symptoms for which limited further approved treatment options are available. One such treatment is an oral formulation of a PDE4 inhibitor (roflumilast) with anti-inflammatory properties, although frequency of adverse events has limited its use in COPD patients. Clinicians have expressed desire to use this oral PDE4 inhibitor in more patients were it not for the adverse events. We believe this suggests that ensifentrine has potential to become an important treatment for COPD and other respiratory diseases if our late-stage clinical program demonstrates favorable efficacy, safety and tolerability results for the compound.</w:t>
      </w:r>
    </w:p>
    <w:p>
      <w:pPr>
        <w:spacing w:after="0" w:line="116" w:lineRule="exact"/>
        <w:rPr>
          <w:sz w:val="20"/>
          <w:szCs w:val="20"/>
          <w:color w:val="auto"/>
        </w:rPr>
      </w:pPr>
    </w:p>
    <w:p>
      <w:pPr>
        <w:ind w:left="1280" w:right="699" w:firstLine="360"/>
        <w:spacing w:after="0" w:line="243" w:lineRule="auto"/>
        <w:rPr>
          <w:sz w:val="20"/>
          <w:szCs w:val="20"/>
          <w:color w:val="auto"/>
        </w:rPr>
      </w:pPr>
      <w:r>
        <w:rPr>
          <w:rFonts w:ascii="Arial" w:cs="Arial" w:eastAsia="Arial" w:hAnsi="Arial"/>
          <w:sz w:val="18"/>
          <w:szCs w:val="18"/>
          <w:color w:val="auto"/>
        </w:rPr>
        <w:t>Despite treatment with currently approved therapies, many patients with COPD experience daily symptoms impairing their quality of life. Airway obstruction and air trapping due to narrow air passages are major causes of debilitating breathlessness (dyspnea) reducing the patient’s physical ability and causing anxiety and depression.</w:t>
      </w:r>
    </w:p>
    <w:p>
      <w:pPr>
        <w:spacing w:after="0" w:line="107" w:lineRule="exact"/>
        <w:rPr>
          <w:sz w:val="20"/>
          <w:szCs w:val="20"/>
          <w:color w:val="auto"/>
        </w:rPr>
      </w:pPr>
    </w:p>
    <w:p>
      <w:pPr>
        <w:ind w:left="1280" w:right="959" w:firstLine="360"/>
        <w:spacing w:after="0" w:line="291" w:lineRule="auto"/>
        <w:rPr>
          <w:sz w:val="20"/>
          <w:szCs w:val="20"/>
          <w:color w:val="auto"/>
        </w:rPr>
      </w:pPr>
      <w:r>
        <w:rPr>
          <w:rFonts w:ascii="Arial" w:cs="Arial" w:eastAsia="Arial" w:hAnsi="Arial"/>
          <w:sz w:val="17"/>
          <w:szCs w:val="17"/>
          <w:color w:val="auto"/>
        </w:rPr>
        <w:t>Of the patients treated with dual bronchodilator (long-acting antimuscarinic agents, or LAMA/long-acting beta2 agonists, or LABA) and triple therapy (LAMA/LABA/ICS), research suggests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19"/>
        <w:spacing w:after="0" w:line="239" w:lineRule="auto"/>
        <w:rPr>
          <w:sz w:val="20"/>
          <w:szCs w:val="20"/>
          <w:color w:val="auto"/>
        </w:rPr>
      </w:pPr>
      <w:r>
        <w:rPr>
          <w:rFonts w:ascii="Arial" w:cs="Arial" w:eastAsia="Arial" w:hAnsi="Arial"/>
          <w:sz w:val="18"/>
          <w:szCs w:val="18"/>
          <w:color w:val="auto"/>
        </w:rPr>
        <w:t>that up to 40% (approximately 1.2 million patients in the United States alone) are uncontrolled, remaining symptomatic and at an increased risk of exacerbations. Existing anti-inflammatory therapies used in COPD, namely ICS and the oral PDE4 inhibitor, roflumilast, have been shown to be effective in only subsets of COPD patients. Furthermore, significant side effects and adverse events such as pneumonia are associated with inhaled or systemic corticosteroid use, and significant gastrointestinal side effects are associated with roflumilast, which can limit compliance. Thus, we believe there is a need for alternative anti-inflammatory therapies.</w:t>
      </w:r>
    </w:p>
    <w:p>
      <w:pPr>
        <w:spacing w:after="0" w:line="110" w:lineRule="exact"/>
        <w:rPr>
          <w:sz w:val="20"/>
          <w:szCs w:val="20"/>
          <w:color w:val="auto"/>
        </w:rPr>
      </w:pPr>
    </w:p>
    <w:p>
      <w:pPr>
        <w:ind w:left="1280" w:right="679" w:firstLine="360"/>
        <w:spacing w:after="0" w:line="251" w:lineRule="auto"/>
        <w:rPr>
          <w:sz w:val="20"/>
          <w:szCs w:val="20"/>
          <w:color w:val="auto"/>
        </w:rPr>
      </w:pPr>
      <w:r>
        <w:rPr>
          <w:rFonts w:ascii="Arial" w:cs="Arial" w:eastAsia="Arial" w:hAnsi="Arial"/>
          <w:sz w:val="17"/>
          <w:szCs w:val="17"/>
          <w:color w:val="auto"/>
        </w:rPr>
        <w:t>Ensifentrine is an investigational, potential first-in-class, inhaled, dual inhibitor of phosphodiesterase, or PDE, enzymes PDE3 and PDE4. PDEs are well known and validated therapeutic targets, and many PDE inhibitors, with different specificities, are currently available in the market for a range of indications. PDE3 is present in airways and the lung, and inhibition of this enzyme is primarily responsible for the bronchodilatory action of ensifentrine. PDE4 is predominantly found in inflammatory and epithelial cells, and inhibition of this enzyme contributes to ensifentrine’s anti-inflammatory design. PDEs metabolize the critical signaling molecules, cyclic adenosine monophosphate, or cAMP, and cyclic guanosine monophosphate, or cGMP. By inhibiting PDE3 and PDE4, ensifentrine is designed to increase the levels of cAMP and cGMP, resulting in bronchodilator and anti-inflammatory effects. Ensifentrine is also designed to stimulate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 Ensifentrine is designed to target multiple aspects of respiratory diseases such as COPD and CF through its combined bronchodilatory, anti-inflammatory and mucociliary clearance mechanisms.</w:t>
      </w:r>
    </w:p>
    <w:p>
      <w:pPr>
        <w:spacing w:after="0" w:line="112" w:lineRule="exact"/>
        <w:rPr>
          <w:sz w:val="20"/>
          <w:szCs w:val="20"/>
          <w:color w:val="auto"/>
        </w:rPr>
      </w:pPr>
    </w:p>
    <w:p>
      <w:pPr>
        <w:ind w:left="1280" w:right="679" w:firstLine="360"/>
        <w:spacing w:after="0"/>
        <w:rPr>
          <w:sz w:val="20"/>
          <w:szCs w:val="20"/>
          <w:color w:val="auto"/>
        </w:rPr>
      </w:pPr>
      <w:r>
        <w:rPr>
          <w:rFonts w:ascii="Arial" w:cs="Arial" w:eastAsia="Arial" w:hAnsi="Arial"/>
          <w:sz w:val="18"/>
          <w:szCs w:val="18"/>
          <w:color w:val="auto"/>
        </w:rPr>
        <w:t>Based on our pre-clinical studies, we believe that ensifentrine also has the potential to reduce the deleterious inflammation in CF patients, which seems to be largely driven by neutrophils, to reduce airway obstruction through bronchodilation and to enhance mucociliary clearance through stimulation of the CFTR on airway epithelial cells. We believe the bronchodilator and anti-inflammatory properties of ensifentrine, combined with its ability to decrease mucus viscosity thereby improving mucociliary clearance, suggest that inhibition of PDE3 and PDE4 is an attractive therapeutic strategy to treat CF.</w:t>
      </w:r>
    </w:p>
    <w:p>
      <w:pPr>
        <w:spacing w:after="0" w:line="122" w:lineRule="exact"/>
        <w:rPr>
          <w:sz w:val="20"/>
          <w:szCs w:val="20"/>
          <w:color w:val="auto"/>
        </w:rPr>
      </w:pPr>
    </w:p>
    <w:p>
      <w:pPr>
        <w:ind w:left="1280" w:right="839" w:firstLine="360"/>
        <w:spacing w:after="0" w:line="238" w:lineRule="auto"/>
        <w:rPr>
          <w:sz w:val="20"/>
          <w:szCs w:val="20"/>
          <w:color w:val="auto"/>
        </w:rPr>
      </w:pPr>
      <w:r>
        <w:rPr>
          <w:rFonts w:ascii="Arial" w:cs="Arial" w:eastAsia="Arial" w:hAnsi="Arial"/>
          <w:sz w:val="18"/>
          <w:szCs w:val="18"/>
          <w:color w:val="auto"/>
        </w:rPr>
        <w:t>Furthermore, ensifentrine may be a suitable treatment for patients with asthma. Asthma is also an inflammatory disease of the airways and causes symptoms such as shortness of breath and cough that vary over time in their frequency and intensity. These symptoms are associated with patients having difficulty breathing due to reversible airway obstruction, airway wall thickening, and mucus production. Asthma attacks can be triggered by a number of factors including allergens, infections, stress and certain drugs. Such exacerbations may occur even if patients are taking their medications, especially in those with more severe disease. We believe ensifentrine’s bronchodilator and anti-inflammatory properties may be useful also in patients with asthma.</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Private Placements</w:t>
      </w:r>
    </w:p>
    <w:p>
      <w:pPr>
        <w:spacing w:after="0" w:line="148"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7"/>
          <w:szCs w:val="17"/>
          <w:color w:val="auto"/>
        </w:rPr>
        <w:t>On July 17, 2020, we entered into a Securities Purchase Agreement, or the Purchase Agreement, with the selling shareholders. Pursuant to the Purchase Agreement, we agreed to sell an aggregate of 38,440,009 ADSs, each representing eight ordinary shares, and 48,088,896 non-voting ordinary shares, at a purchase price equal to $4.50 per ADS and $0.5625 per non- voting ordinary share, which we refer to as the 2020 Private Placement in this prospectus. The Purchase Agreement contained customary representations and warranties from us and the selling shareholders and customary closing conditions. The closing of the 2020 Private Placement occurred on July 22, 2020. We received aggregate gross proceeds from the 2020 Private Placement of approximately $200 million.</w:t>
      </w:r>
    </w:p>
    <w:p>
      <w:pPr>
        <w:spacing w:after="0" w:line="113" w:lineRule="exact"/>
        <w:rPr>
          <w:sz w:val="20"/>
          <w:szCs w:val="20"/>
          <w:color w:val="auto"/>
        </w:rPr>
      </w:pPr>
    </w:p>
    <w:p>
      <w:pPr>
        <w:ind w:left="1280" w:right="799" w:firstLine="360"/>
        <w:spacing w:after="0" w:line="243" w:lineRule="auto"/>
        <w:rPr>
          <w:sz w:val="20"/>
          <w:szCs w:val="20"/>
          <w:color w:val="auto"/>
        </w:rPr>
      </w:pPr>
      <w:r>
        <w:rPr>
          <w:rFonts w:ascii="Arial" w:cs="Arial" w:eastAsia="Arial" w:hAnsi="Arial"/>
          <w:sz w:val="18"/>
          <w:szCs w:val="18"/>
          <w:color w:val="auto"/>
        </w:rPr>
        <w:t>In connection with the 2020 Private Placement, we entered into a Registration Rights Agreement with the selling shareholders. Pursuant to the Registration Rights Agreement, we agreed to prepare and file a registration statement with the SEC no later than 30 days following the closing date for purposes of registering</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879"/>
        <w:spacing w:after="0" w:line="248" w:lineRule="auto"/>
        <w:rPr>
          <w:sz w:val="20"/>
          <w:szCs w:val="20"/>
          <w:color w:val="auto"/>
        </w:rPr>
      </w:pPr>
      <w:r>
        <w:rPr>
          <w:rFonts w:ascii="Arial" w:cs="Arial" w:eastAsia="Arial" w:hAnsi="Arial"/>
          <w:sz w:val="18"/>
          <w:szCs w:val="18"/>
          <w:color w:val="auto"/>
        </w:rPr>
        <w:t>the resale of the ordinary shares underlying the ADSs and the ordinary shares into which the non- voting ordinary shares may be re -designated. We also agreed to use our commercially reasonable efforts to cause the registration statement to be declared effective by the SEC.</w:t>
      </w:r>
    </w:p>
    <w:p>
      <w:pPr>
        <w:spacing w:after="0" w:line="101" w:lineRule="exact"/>
        <w:rPr>
          <w:sz w:val="20"/>
          <w:szCs w:val="20"/>
          <w:color w:val="auto"/>
        </w:rPr>
      </w:pPr>
    </w:p>
    <w:p>
      <w:pPr>
        <w:ind w:left="1280" w:right="699" w:firstLine="360"/>
        <w:spacing w:after="0" w:line="243" w:lineRule="auto"/>
        <w:rPr>
          <w:sz w:val="20"/>
          <w:szCs w:val="20"/>
          <w:color w:val="auto"/>
        </w:rPr>
      </w:pPr>
      <w:r>
        <w:rPr>
          <w:rFonts w:ascii="Arial" w:cs="Arial" w:eastAsia="Arial" w:hAnsi="Arial"/>
          <w:sz w:val="18"/>
          <w:szCs w:val="18"/>
          <w:color w:val="auto"/>
        </w:rPr>
        <w:t>Additionally, on July 14, 2020, we entered into a subscription agreement with David Ebsworth, a director, pursuant to which Dr. Ebsworth purchased 222,216 ordinary shares at a purchase price per share of £0.45 concurrently with, and contingent upon, the 2020 Private Placement, which we refer to as the Concurrent Placement in this prospectus.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719" w:firstLine="360"/>
        <w:spacing w:after="0" w:line="238"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a private company incorporated in Canada, and changed our name to Verona Pharma plc. We have two wholly-owned subsidiaries, Verona Pharma Inc., which is incorporated in the United States in the State of Delaware, and Rhinopharma Ltd., which is incorporated in Canada. Our principal office is located at 3 More London Riverside, London SE1 2RE, United Kingdom, and our telephone number is +(44) 203 283 4200. The principal legislation under which we operate is the Companies Act 2006.</w:t>
      </w:r>
    </w:p>
    <w:p>
      <w:pPr>
        <w:spacing w:after="0" w:line="12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Our agent for service of process in the United States is Cogency Global Inc. .</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48" w:lineRule="exact"/>
        <w:rPr>
          <w:sz w:val="20"/>
          <w:szCs w:val="20"/>
          <w:color w:val="auto"/>
        </w:rPr>
      </w:pPr>
    </w:p>
    <w:p>
      <w:pPr>
        <w:ind w:left="1280" w:right="659" w:firstLine="360"/>
        <w:spacing w:after="0" w:line="243"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As such, we are eligible to take advantage of certain exemptions from various reporting requirements that are applicable to other publicly traded entities that are not emerging growth companies. These exemptions include:</w:t>
      </w:r>
    </w:p>
    <w:p>
      <w:pPr>
        <w:spacing w:after="0" w:line="80" w:lineRule="exact"/>
        <w:rPr>
          <w:sz w:val="20"/>
          <w:szCs w:val="20"/>
          <w:color w:val="auto"/>
        </w:rPr>
      </w:pPr>
    </w:p>
    <w:p>
      <w:pPr>
        <w:ind w:left="1820" w:right="129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comply with the auditor attestation requirements of Section 404 of the Sarbanes-Oxley Act of 2002;</w:t>
      </w:r>
    </w:p>
    <w:p>
      <w:pPr>
        <w:spacing w:after="0" w:line="62" w:lineRule="exact"/>
        <w:rPr>
          <w:rFonts w:ascii="Arial" w:cs="Arial" w:eastAsia="Arial" w:hAnsi="Arial"/>
          <w:sz w:val="18"/>
          <w:szCs w:val="18"/>
          <w:color w:val="auto"/>
        </w:rPr>
      </w:pPr>
    </w:p>
    <w:p>
      <w:pPr>
        <w:ind w:left="1820" w:right="679" w:hanging="180"/>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78" w:lineRule="exact"/>
        <w:rPr>
          <w:rFonts w:ascii="Arial" w:cs="Arial" w:eastAsia="Arial" w:hAnsi="Arial"/>
          <w:sz w:val="18"/>
          <w:szCs w:val="18"/>
          <w:color w:val="auto"/>
        </w:rPr>
      </w:pPr>
    </w:p>
    <w:p>
      <w:pPr>
        <w:ind w:left="1820" w:right="75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shareholder advisory votes, such as “say-on-pay,” “say-on-frequency” and “say-on-golden parachutes”; and</w:t>
      </w:r>
    </w:p>
    <w:p>
      <w:pPr>
        <w:spacing w:after="0" w:line="62" w:lineRule="exact"/>
        <w:rPr>
          <w:rFonts w:ascii="Arial" w:cs="Arial" w:eastAsia="Arial" w:hAnsi="Arial"/>
          <w:sz w:val="18"/>
          <w:szCs w:val="18"/>
          <w:color w:val="auto"/>
        </w:rPr>
      </w:pPr>
    </w:p>
    <w:p>
      <w:pPr>
        <w:jc w:val="both"/>
        <w:ind w:left="1820" w:right="819" w:hanging="180"/>
        <w:spacing w:after="0" w:line="263"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116" w:lineRule="exact"/>
        <w:rPr>
          <w:sz w:val="20"/>
          <w:szCs w:val="20"/>
          <w:color w:val="auto"/>
        </w:rPr>
      </w:pPr>
    </w:p>
    <w:p>
      <w:pPr>
        <w:ind w:left="1280" w:right="699" w:firstLine="360"/>
        <w:spacing w:after="0" w:line="279"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closing of the initial public offering of our ADSs or such earlier time that we no longer qualify as an emerging growth company. As a result, the information we provide to our shareholders may be different than you might receive from other public reporting companies in which you hold equity interests.</w:t>
      </w:r>
    </w:p>
    <w:p>
      <w:pPr>
        <w:spacing w:after="0" w:line="90" w:lineRule="exact"/>
        <w:rPr>
          <w:sz w:val="20"/>
          <w:szCs w:val="20"/>
          <w:color w:val="auto"/>
        </w:rPr>
      </w:pPr>
    </w:p>
    <w:p>
      <w:pPr>
        <w:ind w:left="1280" w:right="659" w:firstLine="360"/>
        <w:spacing w:after="0" w:line="254"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Exchange Act, for complying with new or revised accounting standards. In other words, an emerging growth company can delay the adoption of certain accounting standards until those standards would otherwise apply to private companies. We have chosen to irrevocably opt out of this extended transition period and as a result, we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24" w:lineRule="exact"/>
        <w:rPr>
          <w:sz w:val="20"/>
          <w:szCs w:val="20"/>
          <w:color w:val="auto"/>
        </w:rPr>
      </w:pPr>
    </w:p>
    <w:p>
      <w:pPr>
        <w:ind w:left="1280" w:right="719" w:firstLine="360"/>
        <w:spacing w:after="0" w:line="308" w:lineRule="auto"/>
        <w:rPr>
          <w:sz w:val="20"/>
          <w:szCs w:val="20"/>
          <w:color w:val="auto"/>
        </w:rPr>
      </w:pPr>
      <w:r>
        <w:rPr>
          <w:rFonts w:ascii="Arial" w:cs="Arial" w:eastAsia="Arial" w:hAnsi="Arial"/>
          <w:sz w:val="17"/>
          <w:szCs w:val="17"/>
          <w:color w:val="auto"/>
        </w:rPr>
        <w:t>We will remain an emerging growth company until the earliest of: (i) the last day of the first fiscal year in which our total annual gross revenues are $1.07 billion; (ii) the last day of the fiscal year following the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59"/>
        <w:spacing w:after="0" w:line="275" w:lineRule="auto"/>
        <w:rPr>
          <w:sz w:val="20"/>
          <w:szCs w:val="20"/>
          <w:color w:val="auto"/>
        </w:rPr>
      </w:pPr>
      <w:r>
        <w:rPr>
          <w:rFonts w:ascii="Arial" w:cs="Arial" w:eastAsia="Arial" w:hAnsi="Arial"/>
          <w:sz w:val="17"/>
          <w:szCs w:val="17"/>
          <w:color w:val="auto"/>
        </w:rPr>
        <w:t>fifth anniversary of the date of the closing of the initial public offering of our ADSs; (iii) the date that we become a “large accelerated filer” as defined in Rule 12b-2 under the Exchange Act, which would occur if the aggregate market value of our common shares that is held by non-affiliates exceeds $700 million as of the last business day of our most recently completed second fiscal quarter; or (iv) the date on which we have issued more than $1 billion in non-convertible debt securities during the previous three-year period.</w:t>
      </w:r>
    </w:p>
    <w:p>
      <w:pPr>
        <w:spacing w:after="0" w:line="95" w:lineRule="exact"/>
        <w:rPr>
          <w:sz w:val="20"/>
          <w:szCs w:val="20"/>
          <w:color w:val="auto"/>
        </w:rPr>
      </w:pPr>
    </w:p>
    <w:p>
      <w:pPr>
        <w:ind w:left="1280" w:right="739" w:firstLine="360"/>
        <w:spacing w:after="0" w:line="263" w:lineRule="auto"/>
        <w:rPr>
          <w:sz w:val="20"/>
          <w:szCs w:val="20"/>
          <w:color w:val="auto"/>
        </w:rPr>
      </w:pPr>
      <w:r>
        <w:rPr>
          <w:rFonts w:ascii="Arial" w:cs="Arial" w:eastAsia="Arial" w:hAnsi="Arial"/>
          <w:sz w:val="18"/>
          <w:szCs w:val="18"/>
          <w:color w:val="auto"/>
        </w:rPr>
        <w:t>We currently report under the Exchange Act as a non-U.S. company with “foreign private issuer” status. Foreign private issuers under the Exchange Act, are exempt from certain provisions of the Exchange Act that are applicable to U.S. domestic public companies, including:</w:t>
      </w:r>
    </w:p>
    <w:p>
      <w:pPr>
        <w:spacing w:after="0" w:line="76" w:lineRule="exact"/>
        <w:rPr>
          <w:sz w:val="20"/>
          <w:szCs w:val="20"/>
          <w:color w:val="auto"/>
        </w:rPr>
      </w:pPr>
    </w:p>
    <w:p>
      <w:pPr>
        <w:ind w:left="1820" w:right="779" w:hanging="180"/>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62" w:lineRule="exact"/>
        <w:rPr>
          <w:rFonts w:ascii="Arial" w:cs="Arial" w:eastAsia="Arial" w:hAnsi="Arial"/>
          <w:sz w:val="18"/>
          <w:szCs w:val="18"/>
          <w:color w:val="auto"/>
        </w:rPr>
      </w:pPr>
    </w:p>
    <w:p>
      <w:pPr>
        <w:ind w:left="1820" w:right="679" w:hanging="180"/>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share ownership and trading activities and liability for insiders who profit from trades made in a short period of time; and</w:t>
      </w:r>
    </w:p>
    <w:p>
      <w:pPr>
        <w:spacing w:after="0" w:line="38" w:lineRule="exact"/>
        <w:rPr>
          <w:rFonts w:ascii="Arial" w:cs="Arial" w:eastAsia="Arial" w:hAnsi="Arial"/>
          <w:sz w:val="17"/>
          <w:szCs w:val="17"/>
          <w:color w:val="auto"/>
        </w:rPr>
      </w:pPr>
    </w:p>
    <w:p>
      <w:pPr>
        <w:ind w:left="1820" w:right="779" w:hanging="180"/>
        <w:spacing w:after="0" w:line="263"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16" w:lineRule="exact"/>
        <w:rPr>
          <w:sz w:val="20"/>
          <w:szCs w:val="20"/>
          <w:color w:val="auto"/>
        </w:rPr>
      </w:pPr>
    </w:p>
    <w:p>
      <w:pPr>
        <w:ind w:left="1280" w:right="659" w:firstLine="360"/>
        <w:spacing w:after="0" w:line="253" w:lineRule="auto"/>
        <w:rPr>
          <w:sz w:val="20"/>
          <w:szCs w:val="20"/>
          <w:color w:val="auto"/>
        </w:rPr>
      </w:pPr>
      <w:r>
        <w:rPr>
          <w:rFonts w:ascii="Arial" w:cs="Arial" w:eastAsia="Arial" w:hAnsi="Arial"/>
          <w:sz w:val="18"/>
          <w:szCs w:val="18"/>
          <w:color w:val="auto"/>
        </w:rPr>
        <w:t>Beginning January 1, 2021, we will be subject to the rules and regulations of the SEC applicable to U.S. domestic public companies, including, among other things, the requirement to file an annual report on Form 10-K, quarterly reports on Form 10-Q and current reports on Form 8-K, as required, rules governing solicitation of proxies, the provisions of Regulation Fair Disclosure, which regulate the selective disclosure of material information, and the requirement for insiders to file public reports of their ownership and trading activities. In addition, we will be subject to the Nasdaq Global Market listing requirements applicable to U.S. domestic companies, including, among other things, requirements with respect to the composition of our board of directors and committees, certain corporate governance matters and shareholder approval of certain actions. We will also be required to report our financial statements in accordance with U.S. generally accepted accounting principles.</w:t>
      </w:r>
    </w:p>
    <w:p>
      <w:pPr>
        <w:spacing w:after="0" w:line="127" w:lineRule="exact"/>
        <w:rPr>
          <w:sz w:val="20"/>
          <w:szCs w:val="20"/>
          <w:color w:val="auto"/>
        </w:rPr>
      </w:pPr>
    </w:p>
    <w:p>
      <w:pPr>
        <w:ind w:left="1280" w:right="799" w:firstLine="360"/>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in our filings with the SEC that are incorporated by referenced herein. As a result, the information that we provide to our shareholders may be different than you might receive from other public reporting companies in which you hold equity interests.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32" w:right="1440" w:bottom="1440" w:gutter="0" w:footer="0" w:header="0"/>
        </w:sectPr>
      </w:pPr>
    </w:p>
    <w:p>
      <w:pPr>
        <w:spacing w:after="0" w:line="12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Ordinary shares offered by the selling shareholders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799"/>
        <w:spacing w:after="0" w:line="263" w:lineRule="auto"/>
        <w:rPr>
          <w:sz w:val="20"/>
          <w:szCs w:val="20"/>
          <w:color w:val="auto"/>
        </w:rPr>
      </w:pPr>
      <w:r>
        <w:rPr>
          <w:rFonts w:ascii="Arial" w:cs="Arial" w:eastAsia="Arial" w:hAnsi="Arial"/>
          <w:sz w:val="18"/>
          <w:szCs w:val="18"/>
          <w:color w:val="auto"/>
        </w:rPr>
        <w:t>307,742,288 ordinary shares of which 307,520,072 are in the form of ADSs and 48,088,896 ordinary shares upon re-designation of non-voting ordinary shares</w:t>
      </w:r>
    </w:p>
    <w:p>
      <w:pPr>
        <w:spacing w:after="0" w:line="76" w:lineRule="exact"/>
        <w:rPr>
          <w:sz w:val="20"/>
          <w:szCs w:val="20"/>
          <w:color w:val="auto"/>
        </w:rPr>
      </w:pPr>
    </w:p>
    <w:p>
      <w:pPr>
        <w:sectPr>
          <w:pgSz w:w="11900" w:h="16838" w:orient="portrait"/>
          <w:cols w:equalWidth="0" w:num="2">
            <w:col w:w="4140" w:space="600"/>
            <w:col w:w="5399"/>
          </w:cols>
          <w:pgMar w:left="320" w:top="132" w:right="1440"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Ordinary shares issued and outstanding</w:t>
      </w:r>
    </w:p>
    <w:p>
      <w:pPr>
        <w:spacing w:after="0" w:line="356" w:lineRule="exact"/>
        <w:rPr>
          <w:sz w:val="20"/>
          <w:szCs w:val="20"/>
          <w:color w:val="auto"/>
        </w:rPr>
      </w:pPr>
    </w:p>
    <w:p>
      <w:pPr>
        <w:ind w:left="1460" w:right="40" w:hanging="179"/>
        <w:spacing w:after="0" w:line="277" w:lineRule="auto"/>
        <w:rPr>
          <w:sz w:val="20"/>
          <w:szCs w:val="20"/>
          <w:color w:val="auto"/>
        </w:rPr>
      </w:pPr>
      <w:r>
        <w:rPr>
          <w:rFonts w:ascii="Arial" w:cs="Arial" w:eastAsia="Arial" w:hAnsi="Arial"/>
          <w:sz w:val="18"/>
          <w:szCs w:val="18"/>
          <w:color w:val="auto"/>
        </w:rPr>
        <w:t>Non-Voting ordinary shares issued and outstanding</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right="759"/>
        <w:spacing w:after="0" w:line="277" w:lineRule="auto"/>
        <w:rPr>
          <w:sz w:val="20"/>
          <w:szCs w:val="20"/>
          <w:color w:val="auto"/>
        </w:rPr>
      </w:pPr>
      <w:r>
        <w:rPr>
          <w:rFonts w:ascii="Arial" w:cs="Arial" w:eastAsia="Arial" w:hAnsi="Arial"/>
          <w:sz w:val="18"/>
          <w:szCs w:val="18"/>
          <w:color w:val="auto"/>
        </w:rPr>
        <w:t>414,278,294 ordinary shares (including ordinary shares in the form of ADSs)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48,088,896</w:t>
      </w:r>
    </w:p>
    <w:p>
      <w:pPr>
        <w:spacing w:after="0" w:line="117" w:lineRule="exact"/>
        <w:rPr>
          <w:sz w:val="20"/>
          <w:szCs w:val="20"/>
          <w:color w:val="auto"/>
        </w:rPr>
      </w:pPr>
    </w:p>
    <w:p>
      <w:pPr>
        <w:ind w:right="759"/>
        <w:spacing w:after="0" w:line="273" w:lineRule="auto"/>
        <w:rPr>
          <w:sz w:val="20"/>
          <w:szCs w:val="20"/>
          <w:color w:val="auto"/>
        </w:rPr>
      </w:pPr>
      <w:r>
        <w:rPr>
          <w:rFonts w:ascii="Arial" w:cs="Arial" w:eastAsia="Arial" w:hAnsi="Arial"/>
          <w:sz w:val="17"/>
          <w:szCs w:val="17"/>
          <w:color w:val="auto"/>
        </w:rPr>
        <w:t>The selling shareholders will receive the proceeds from the sale of the ordinary shares (including in the form of ADSs) in this offering. We will not receive any proceeds from the sale of the ordinary shares but will pay the expenses (other than any underwriting discounts and broker’s commissions and similar expense) of this offering.</w:t>
      </w:r>
    </w:p>
    <w:p>
      <w:pPr>
        <w:spacing w:after="0" w:line="70" w:lineRule="exact"/>
        <w:rPr>
          <w:sz w:val="20"/>
          <w:szCs w:val="20"/>
          <w:color w:val="auto"/>
        </w:rPr>
      </w:pPr>
    </w:p>
    <w:p>
      <w:pPr>
        <w:sectPr>
          <w:pgSz w:w="11900" w:h="16838" w:orient="portrait"/>
          <w:cols w:equalWidth="0" w:num="2">
            <w:col w:w="4240" w:space="500"/>
            <w:col w:w="5399"/>
          </w:cols>
          <w:pgMar w:left="320" w:top="132" w:right="1440" w:bottom="1440" w:gutter="0" w:footer="0" w:header="0"/>
          <w:type w:val="continuous"/>
        </w:sectPr>
      </w:pPr>
    </w:p>
    <w:p>
      <w:pPr>
        <w:ind w:left="1280"/>
        <w:spacing w:after="0"/>
        <w:tabs>
          <w:tab w:leader="none" w:pos="472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We have never paid or declared any cash dividends on our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ordinary shares or ADSs, and we do not anticipate paying any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cash dividends on our ordinary shares or ADSs in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foreseeable future.</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“Risk Factors” and the other information included in this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prospectus for a discussion of factors you should consider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before deciding to invest in our ordinary shares (including 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form of ADSs).</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7"/>
          <w:szCs w:val="17"/>
          <w:color w:val="auto"/>
        </w:rPr>
        <w:t>Listing</w:t>
      </w:r>
      <w:r>
        <w:rPr>
          <w:sz w:val="20"/>
          <w:szCs w:val="20"/>
          <w:color w:val="auto"/>
        </w:rPr>
        <w:tab/>
      </w:r>
      <w:r>
        <w:rPr>
          <w:rFonts w:ascii="Arial" w:cs="Arial" w:eastAsia="Arial" w:hAnsi="Arial"/>
          <w:sz w:val="17"/>
          <w:szCs w:val="17"/>
          <w:color w:val="auto"/>
        </w:rPr>
        <w:t>Our ADSs are listed on The Nasdaq Global Market under the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symbol “VRNA.” Our ordinary shares are listed on the AIM</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the symbol “VRP.”</w:t>
      </w:r>
    </w:p>
    <w:p>
      <w:pPr>
        <w:spacing w:after="0" w:line="143" w:lineRule="exact"/>
        <w:rPr>
          <w:sz w:val="20"/>
          <w:szCs w:val="20"/>
          <w:color w:val="auto"/>
        </w:rPr>
      </w:pPr>
    </w:p>
    <w:p>
      <w:pPr>
        <w:ind w:left="1280" w:right="819" w:firstLine="360"/>
        <w:spacing w:after="0" w:line="277" w:lineRule="auto"/>
        <w:rPr>
          <w:sz w:val="20"/>
          <w:szCs w:val="20"/>
          <w:color w:val="auto"/>
        </w:rPr>
      </w:pPr>
      <w:r>
        <w:rPr>
          <w:rFonts w:ascii="Arial" w:cs="Arial" w:eastAsia="Arial" w:hAnsi="Arial"/>
          <w:sz w:val="18"/>
          <w:szCs w:val="18"/>
          <w:color w:val="auto"/>
        </w:rPr>
        <w:t>The number of our ordinary shares and non-voting ordinary shares issued and outstanding is provided as of July 31, 2020 and excludes the following:</w:t>
      </w:r>
    </w:p>
    <w:p>
      <w:pPr>
        <w:spacing w:after="0" w:line="62" w:lineRule="exact"/>
        <w:rPr>
          <w:sz w:val="20"/>
          <w:szCs w:val="20"/>
          <w:color w:val="auto"/>
        </w:rPr>
      </w:pPr>
    </w:p>
    <w:p>
      <w:pPr>
        <w:ind w:left="1820" w:right="999" w:hanging="180"/>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12,902,320 ordinary shares issuable upon the exercise of share options outstanding as of July 31, 2020 at a weighted average exercise price of £0.99 per share;</w:t>
      </w:r>
    </w:p>
    <w:p>
      <w:pPr>
        <w:spacing w:after="0" w:line="62" w:lineRule="exact"/>
        <w:rPr>
          <w:rFonts w:ascii="Arial" w:cs="Arial" w:eastAsia="Arial" w:hAnsi="Arial"/>
          <w:sz w:val="18"/>
          <w:szCs w:val="18"/>
          <w:color w:val="auto"/>
        </w:rPr>
      </w:pPr>
    </w:p>
    <w:p>
      <w:pPr>
        <w:ind w:left="1820" w:right="1259" w:hanging="180"/>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8,750,760 ordinary shares issuable upon the vesting of restricted share units outstanding as of July 31, 2020;</w:t>
      </w:r>
    </w:p>
    <w:p>
      <w:pPr>
        <w:spacing w:after="0" w:line="62" w:lineRule="exact"/>
        <w:rPr>
          <w:rFonts w:ascii="Arial" w:cs="Arial" w:eastAsia="Arial" w:hAnsi="Arial"/>
          <w:sz w:val="18"/>
          <w:szCs w:val="18"/>
          <w:color w:val="auto"/>
        </w:rPr>
      </w:pPr>
    </w:p>
    <w:p>
      <w:pPr>
        <w:jc w:val="both"/>
        <w:ind w:left="1820" w:right="679" w:hanging="180"/>
        <w:spacing w:after="0" w:line="286"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63,236,453 ordinary shares reserved for future issuance under our 2017 Incentive Award Plan, or the 2017 Plan, as of July 31, 2020, and ordinary shares that may become available pursuant to provisions in the 2017 Plan that automatically increase the share reserve under the 2017 Plan; and</w:t>
      </w:r>
    </w:p>
    <w:p>
      <w:pPr>
        <w:spacing w:after="0" w:line="57" w:lineRule="exact"/>
        <w:rPr>
          <w:rFonts w:ascii="Arial" w:cs="Arial" w:eastAsia="Arial" w:hAnsi="Arial"/>
          <w:sz w:val="17"/>
          <w:szCs w:val="17"/>
          <w:color w:val="auto"/>
        </w:rPr>
      </w:pPr>
    </w:p>
    <w:p>
      <w:pPr>
        <w:ind w:left="1820" w:right="739" w:hanging="180"/>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12,401,262 ordinary shares issuable upon the exercise of warrants outstanding as of July 31, 2020 at a weighted average exercise price of £1.7238 per share.</w:t>
      </w:r>
    </w:p>
    <w:p>
      <w:pPr>
        <w:spacing w:after="0" w:line="103" w:lineRule="exact"/>
        <w:rPr>
          <w:sz w:val="20"/>
          <w:szCs w:val="20"/>
          <w:color w:val="auto"/>
        </w:rPr>
      </w:pPr>
    </w:p>
    <w:p>
      <w:pPr>
        <w:ind w:left="1280" w:right="799" w:firstLine="360"/>
        <w:spacing w:after="0" w:line="259" w:lineRule="auto"/>
        <w:rPr>
          <w:sz w:val="20"/>
          <w:szCs w:val="20"/>
          <w:color w:val="auto"/>
        </w:rPr>
      </w:pPr>
      <w:r>
        <w:rPr>
          <w:rFonts w:ascii="Arial" w:cs="Arial" w:eastAsia="Arial" w:hAnsi="Arial"/>
          <w:sz w:val="18"/>
          <w:szCs w:val="18"/>
          <w:color w:val="auto"/>
        </w:rPr>
        <w:t>Unless otherwise indicated, all information contained in this prospectus assumes no exercise of the outstanding options and warrants and no vesting of the restricted share units described above after July 31, 2020 and excludes 54,356,608 ordinary shares issuable upon the vesting of restricted share units granted after July 31, 2020.</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an investment in our ordinary shares (including in the form of ADSs). Our business, financial condition or results of operations could be materially and adversely affected if any of these risks occur, and as a result, the market price of our ordinary shares or ADSs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r>
        <w:rPr>
          <w:rFonts w:ascii="Arial" w:cs="Arial" w:eastAsia="Arial" w:hAnsi="Arial"/>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15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are a clinical-stage biopharmaceutical company with a limited operating history, and have incurred significant operating losses since our inception. We had net losses of £ 31.9 million and £19.9 million for the years ended December 31, 2019, and 2018, respectively, and £16.9 million for the six months ended June 30, 2020. As of June 30, 2020, we had an accumulated loss of £117.6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spacing w:after="0" w:line="80" w:lineRule="exact"/>
        <w:rPr>
          <w:sz w:val="20"/>
          <w:szCs w:val="20"/>
          <w:color w:val="auto"/>
        </w:rPr>
      </w:pPr>
    </w:p>
    <w:p>
      <w:pPr>
        <w:ind w:left="1800" w:right="113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and conduct Phase 3 clinical trials of nebulized ensifentrine for the treatment of chronic obstructive pulmonary disease, or COPD;</w:t>
      </w:r>
    </w:p>
    <w:p>
      <w:pPr>
        <w:spacing w:after="0" w:line="62"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ongoing Phase 2 clinical trial with ensifentrine formulated in a pMDI, or initiate and conduct other future clinical trials in other formulations, for the treatment of COPD;</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and conduct clinical trials of ensifentrine for the treatment of cystic fibrosis, or CF, asthma, COVID-19 or other indications;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and develop or in-license additional respiratory product candidates;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conduct pre-clinical studies to support ensifentrine and potentially other future product candidates;</w:t>
      </w:r>
    </w:p>
    <w:p>
      <w:pPr>
        <w:spacing w:after="0" w:line="128" w:lineRule="exact"/>
        <w:rPr>
          <w:rFonts w:ascii="Arial" w:cs="Arial" w:eastAsia="Arial" w:hAnsi="Arial"/>
          <w:sz w:val="17"/>
          <w:szCs w:val="17"/>
          <w:color w:val="auto"/>
        </w:rPr>
      </w:pPr>
    </w:p>
    <w:p>
      <w:pPr>
        <w:ind w:left="1800" w:right="1419" w:hanging="178"/>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the manufacturing processes and produce clinical and commercial supplies of the ensifentrine active pharmaceutical ingredient and formulated drug products derived from it;</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of ensifentrine;</w:t>
      </w:r>
    </w:p>
    <w:p>
      <w:pPr>
        <w:spacing w:after="0" w:line="117"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ensifentrine, if approved;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secure, maintain or obtain freedom to operate for our in-licensed technologies and products;</w:t>
      </w:r>
    </w:p>
    <w:p>
      <w:pPr>
        <w:spacing w:after="0" w:line="117" w:lineRule="exact"/>
        <w:rPr>
          <w:rFonts w:ascii="Arial" w:cs="Arial" w:eastAsia="Arial" w:hAnsi="Arial"/>
          <w:sz w:val="18"/>
          <w:szCs w:val="18"/>
          <w:color w:val="auto"/>
        </w:rPr>
      </w:pPr>
    </w:p>
    <w:p>
      <w:pPr>
        <w:ind w:left="1800" w:right="919" w:hanging="178"/>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operations in the United States, the United Kingdom and possibly elsewhere.</w:t>
      </w:r>
    </w:p>
    <w:p>
      <w:pPr>
        <w:spacing w:after="0" w:line="158"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103"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We have devoted substantially all of our financial resources and efforts to the research and development and pre-clinical studies and clinical trials of ensifentrine. We are continuing development of ensifentrine, and we have not completed development of any product candidate or any drugs.</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discovering and developing additional product candidates, obtaining regulatory approval for ensifentrine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11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125"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Even if we do generate product royalties or product sales, we may never achieve or sustain profitability on a quarterly or annual basis. Our failure to sustain profitability would depress the market price of our ADSs and ordinary shares and could impair our ability to raise capital, expand our business, diversify our product offerings or continue our operations. A decline in the market price of our ADSs or ordinary shares also could cause our ADS holders and shareholders to lose all or a part of their investment.</w:t>
      </w:r>
    </w:p>
    <w:p>
      <w:pPr>
        <w:spacing w:after="0" w:line="176" w:lineRule="exact"/>
        <w:rPr>
          <w:sz w:val="20"/>
          <w:szCs w:val="20"/>
          <w:color w:val="auto"/>
        </w:rPr>
      </w:pPr>
    </w:p>
    <w:p>
      <w:pPr>
        <w:jc w:val="both"/>
        <w:ind w:left="1260" w:right="719"/>
        <w:spacing w:after="0" w:line="340" w:lineRule="auto"/>
        <w:rPr>
          <w:sz w:val="20"/>
          <w:szCs w:val="20"/>
          <w:color w:val="auto"/>
        </w:rPr>
      </w:pPr>
      <w:r>
        <w:rPr>
          <w:rFonts w:ascii="Arial" w:cs="Arial" w:eastAsia="Arial" w:hAnsi="Arial"/>
          <w:sz w:val="15"/>
          <w:szCs w:val="15"/>
          <w:b w:val="1"/>
          <w:bCs w:val="1"/>
          <w:i w:val="1"/>
          <w:iCs w:val="1"/>
          <w:color w:val="auto"/>
        </w:rPr>
        <w:t>We will need additional funding to complete development of ensifentrine and any future product candidates, and to commercialize our products, if approved. If we are unable to raise capital when needed, we could be forced to delay, reduce or eliminate our product development programs or commercialization efforts.</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expect our expenses to increase in connection with our ongoing and planned activities, particularly as we conduct our ongoing Phase 2 and our planned Phase 3 clinical trials of ensifentrine, and develop ensifentrine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Kingdom and the United States and maintaining a listing on both AIM, a market of the London Stock Exchange,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01"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If we obtain regulatory approval for ensifentrine, we estimate that our existing cash resources and short-term investments will not be sufficient to commercialize ensifentrine. We will require additional funds to conduct any post-marketing studies to support the commercial positioning of ensifentrine for the treatment of COPD, if regulatory approval is received.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800" w:right="759" w:hanging="178"/>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progress and results of our planned Phase 3 clinical trials for the maintenance treatment of COPD;</w:t>
      </w:r>
    </w:p>
    <w:p>
      <w:pPr>
        <w:spacing w:after="0" w:line="62" w:lineRule="exact"/>
        <w:rPr>
          <w:rFonts w:ascii="Arial" w:cs="Arial" w:eastAsia="Arial" w:hAnsi="Arial"/>
          <w:sz w:val="18"/>
          <w:szCs w:val="18"/>
          <w:color w:val="auto"/>
        </w:rPr>
      </w:pPr>
    </w:p>
    <w:p>
      <w:pPr>
        <w:ind w:left="1800" w:right="759" w:hanging="178"/>
        <w:spacing w:after="0" w:line="308"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timing and outcome of the regulatory review of ensifentrine, including any post-marketing studies that could be required by regulatory authorities, if regulatory approval is received;</w:t>
      </w:r>
    </w:p>
    <w:p>
      <w:pPr>
        <w:spacing w:after="0" w:line="38" w:lineRule="exact"/>
        <w:rPr>
          <w:rFonts w:ascii="Arial" w:cs="Arial" w:eastAsia="Arial" w:hAnsi="Arial"/>
          <w:sz w:val="17"/>
          <w:szCs w:val="17"/>
          <w:color w:val="auto"/>
        </w:rPr>
      </w:pPr>
    </w:p>
    <w:p>
      <w:pPr>
        <w:ind w:left="1800" w:right="819" w:hanging="178"/>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progress and results of any other studies required to support the commercial positioning of ensifentrine for the treatment of COPD, if regulatory approval is received;</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23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progress and results of any clinical trials for the treatment of CF, COVID-19 or other indications;</w:t>
      </w:r>
    </w:p>
    <w:p>
      <w:pPr>
        <w:spacing w:after="0" w:line="62"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the ensifentrine active ingredient and derived formulated drug products;</w:t>
      </w:r>
    </w:p>
    <w:p>
      <w:pPr>
        <w:spacing w:after="0" w:line="62" w:lineRule="exact"/>
        <w:rPr>
          <w:rFonts w:ascii="Arial" w:cs="Arial" w:eastAsia="Arial" w:hAnsi="Arial"/>
          <w:sz w:val="18"/>
          <w:szCs w:val="18"/>
          <w:color w:val="auto"/>
        </w:rPr>
      </w:pPr>
    </w:p>
    <w:p>
      <w:pPr>
        <w:ind w:left="1800" w:right="919" w:hanging="178"/>
        <w:spacing w:after="0" w:line="259"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ensifentrine in other indications and of the development of DPI and MDI formulations of ensifentrine for the maintenance treatment of COPD and potentially asthma and other respiratory diseases;</w:t>
      </w:r>
    </w:p>
    <w:p>
      <w:pPr>
        <w:spacing w:after="0" w:line="78" w:lineRule="exact"/>
        <w:rPr>
          <w:rFonts w:ascii="Arial" w:cs="Arial" w:eastAsia="Arial" w:hAnsi="Arial"/>
          <w:sz w:val="18"/>
          <w:szCs w:val="18"/>
          <w:color w:val="auto"/>
        </w:rPr>
      </w:pPr>
    </w:p>
    <w:p>
      <w:pPr>
        <w:ind w:left="1800" w:right="167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ensifentrine;</w:t>
      </w:r>
    </w:p>
    <w:p>
      <w:pPr>
        <w:spacing w:after="0" w:line="62" w:lineRule="exact"/>
        <w:rPr>
          <w:rFonts w:ascii="Arial" w:cs="Arial" w:eastAsia="Arial" w:hAnsi="Arial"/>
          <w:sz w:val="18"/>
          <w:szCs w:val="18"/>
          <w:color w:val="auto"/>
        </w:rPr>
      </w:pPr>
    </w:p>
    <w:p>
      <w:pPr>
        <w:ind w:left="1800" w:right="959" w:hanging="178"/>
        <w:spacing w:after="0" w:line="286" w:lineRule="auto"/>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7" w:lineRule="exact"/>
        <w:rPr>
          <w:rFonts w:ascii="Arial" w:cs="Arial" w:eastAsia="Arial" w:hAnsi="Arial"/>
          <w:sz w:val="17"/>
          <w:szCs w:val="17"/>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ensifentrine;</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sales price and availability of adequate third-party coverage and reimbursement for ensifentrine;</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800" w:right="739" w:hanging="178"/>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10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12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171" w:lineRule="exact"/>
        <w:rPr>
          <w:sz w:val="20"/>
          <w:szCs w:val="20"/>
          <w:color w:val="auto"/>
        </w:rPr>
      </w:pPr>
    </w:p>
    <w:p>
      <w:pPr>
        <w:ind w:left="1260" w:right="759"/>
        <w:spacing w:after="0" w:line="379" w:lineRule="auto"/>
        <w:rPr>
          <w:sz w:val="20"/>
          <w:szCs w:val="20"/>
          <w:color w:val="auto"/>
        </w:rPr>
      </w:pPr>
      <w:r>
        <w:rPr>
          <w:rFonts w:ascii="Arial" w:cs="Arial" w:eastAsia="Arial" w:hAnsi="Arial"/>
          <w:sz w:val="13"/>
          <w:szCs w:val="13"/>
          <w:b w:val="1"/>
          <w:bCs w:val="1"/>
          <w:i w:val="1"/>
          <w:iCs w:val="1"/>
          <w:color w:val="auto"/>
        </w:rPr>
        <w:t>We depend heavily on the success of ensifentrine, our only product candidate under development. We cannot give any assurance that ensifentrine will receive regulatory approval for any indication, which is necessary before it can be commercialized. If we, and any collaborators with whom we may enter into agreements for the development and commercialization of ensifentrine, are unable to commercialize ensifentrine, or experience significant delays in doing so, our ability to generate revenue and our financial condition will be adversely affected.</w:t>
      </w:r>
    </w:p>
    <w:p>
      <w:pPr>
        <w:spacing w:after="0" w:line="48"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ensifentrine, if approved, which may never occur. Ensifentrine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EMA or comparable foreign regulatory authorities, and we may never receive such regulatory approval for ensifentrine or any future product candidate. We have not submitted a New Drug Application, or NDA, to the FDA, a Marketing Authorization Application, or MAA, to the EMA or comparable applications to other regulatory</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559"/>
        <w:spacing w:after="0" w:line="277" w:lineRule="auto"/>
        <w:rPr>
          <w:sz w:val="20"/>
          <w:szCs w:val="20"/>
          <w:color w:val="auto"/>
        </w:rPr>
      </w:pPr>
      <w:r>
        <w:rPr>
          <w:rFonts w:ascii="Arial" w:cs="Arial" w:eastAsia="Arial" w:hAnsi="Arial"/>
          <w:sz w:val="18"/>
          <w:szCs w:val="18"/>
          <w:color w:val="auto"/>
        </w:rPr>
        <w:t>authorities and do not expect to be in a position to do so in the foreseeable future. The success of ensifentrine will depend on many factors, including the following:</w:t>
      </w:r>
    </w:p>
    <w:p>
      <w:pPr>
        <w:spacing w:after="0" w:line="62" w:lineRule="exact"/>
        <w:rPr>
          <w:sz w:val="20"/>
          <w:szCs w:val="20"/>
          <w:color w:val="auto"/>
        </w:rPr>
      </w:pPr>
    </w:p>
    <w:p>
      <w:pPr>
        <w:ind w:left="1800" w:right="121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that ensifentrine is safe and effective as a treatment for our targeted indications to the satisfaction of the applicable regulatory authorities;</w:t>
      </w:r>
    </w:p>
    <w:p>
      <w:pPr>
        <w:spacing w:after="0" w:line="62"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additional pre-clinical or clinical trials, which would increase our costs and prolong our development;</w:t>
      </w:r>
    </w:p>
    <w:p>
      <w:pPr>
        <w:spacing w:after="0" w:line="75" w:lineRule="exact"/>
        <w:rPr>
          <w:rFonts w:ascii="Arial" w:cs="Arial" w:eastAsia="Arial" w:hAnsi="Arial"/>
          <w:sz w:val="18"/>
          <w:szCs w:val="18"/>
          <w:color w:val="auto"/>
        </w:rPr>
      </w:pPr>
    </w:p>
    <w:p>
      <w:pPr>
        <w:ind w:left="1800" w:right="1619" w:hanging="178"/>
        <w:spacing w:after="0" w:line="308"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of clinical trials of ensifentrine may not meet the level of statistical or clinical significance required by the applicable regulatory authorities for marketing approval;</w:t>
      </w:r>
    </w:p>
    <w:p>
      <w:pPr>
        <w:spacing w:after="0" w:line="38" w:lineRule="exact"/>
        <w:rPr>
          <w:rFonts w:ascii="Arial" w:cs="Arial" w:eastAsia="Arial" w:hAnsi="Arial"/>
          <w:sz w:val="17"/>
          <w:szCs w:val="17"/>
          <w:color w:val="auto"/>
        </w:rPr>
      </w:pPr>
    </w:p>
    <w:p>
      <w:pPr>
        <w:ind w:left="1800" w:right="141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the number, design, size, conduct or implementation of our planned clinical trials;</w:t>
      </w:r>
    </w:p>
    <w:p>
      <w:pPr>
        <w:spacing w:after="0" w:line="62"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89"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demonstrate a non-clinical safety profile that is acceptable to the applicable regulatory authorities;</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operational or clinical issues may prevent completion or interpretation of clinical study results;</w:t>
      </w:r>
    </w:p>
    <w:p>
      <w:pPr>
        <w:spacing w:after="0" w:line="62" w:lineRule="exact"/>
        <w:rPr>
          <w:rFonts w:ascii="Arial" w:cs="Arial" w:eastAsia="Arial" w:hAnsi="Arial"/>
          <w:sz w:val="18"/>
          <w:szCs w:val="18"/>
          <w:color w:val="auto"/>
        </w:rPr>
      </w:pPr>
    </w:p>
    <w:p>
      <w:pPr>
        <w:ind w:left="1800" w:right="127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manufacturing issues, product performance issues or stability issues may delay or otherwise adversely affect the progress of our clinical development program;</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not accept data generated at our clinical trial sites;</w:t>
      </w:r>
    </w:p>
    <w:p>
      <w:pPr>
        <w:spacing w:after="0" w:line="130" w:lineRule="exact"/>
        <w:rPr>
          <w:rFonts w:ascii="Arial" w:cs="Arial" w:eastAsia="Arial" w:hAnsi="Arial"/>
          <w:sz w:val="18"/>
          <w:szCs w:val="18"/>
          <w:color w:val="auto"/>
        </w:rPr>
      </w:pPr>
    </w:p>
    <w:p>
      <w:pPr>
        <w:ind w:left="1800" w:right="759" w:hanging="178"/>
        <w:spacing w:after="0" w:line="25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9"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62" w:lineRule="exact"/>
        <w:rPr>
          <w:rFonts w:ascii="Arial" w:cs="Arial" w:eastAsia="Arial" w:hAnsi="Arial"/>
          <w:sz w:val="18"/>
          <w:szCs w:val="18"/>
          <w:color w:val="auto"/>
        </w:rPr>
      </w:pPr>
    </w:p>
    <w:p>
      <w:pPr>
        <w:ind w:left="1800" w:right="105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applicable regulatory authorities may change their approval policies or adopt new regulations;</w:t>
      </w:r>
    </w:p>
    <w:p>
      <w:pPr>
        <w:spacing w:after="0" w:line="142" w:lineRule="exact"/>
        <w:rPr>
          <w:rFonts w:ascii="Arial" w:cs="Arial" w:eastAsia="Arial" w:hAnsi="Arial"/>
          <w:sz w:val="17"/>
          <w:szCs w:val="17"/>
          <w:color w:val="auto"/>
        </w:rPr>
      </w:pPr>
    </w:p>
    <w:p>
      <w:pPr>
        <w:ind w:left="1800" w:right="127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license ensifentrine to others, the efforts of those parties in completing clinical trials of, receiving regulatory approval for, and commercializing ensifentrine;</w:t>
      </w:r>
    </w:p>
    <w:p>
      <w:pPr>
        <w:spacing w:after="0" w:line="62"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our clinical trials, we may discover factors that limit the commercial viability of ensifentrine or make the commercialization of ensifentrine unfeasible;</w:t>
      </w:r>
    </w:p>
    <w:p>
      <w:pPr>
        <w:spacing w:after="0" w:line="62" w:lineRule="exact"/>
        <w:rPr>
          <w:rFonts w:ascii="Arial" w:cs="Arial" w:eastAsia="Arial" w:hAnsi="Arial"/>
          <w:sz w:val="18"/>
          <w:szCs w:val="18"/>
          <w:color w:val="auto"/>
        </w:rPr>
      </w:pPr>
    </w:p>
    <w:p>
      <w:pPr>
        <w:ind w:left="1800" w:right="97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89" w:lineRule="exact"/>
        <w:rPr>
          <w:rFonts w:ascii="Arial" w:cs="Arial" w:eastAsia="Arial" w:hAnsi="Arial"/>
          <w:sz w:val="18"/>
          <w:szCs w:val="18"/>
          <w:color w:val="auto"/>
        </w:rPr>
      </w:pPr>
    </w:p>
    <w:p>
      <w:pPr>
        <w:ind w:left="1800" w:right="779" w:hanging="178"/>
        <w:spacing w:after="0" w:line="286"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8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An unfavorable outcome in any of these factors could result in our experiencing significant delays or an inability to successfully commercialize ensifentrine.</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10"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We plan to seek regulatory approval to commercialize ensifentrine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189" w:lineRule="exact"/>
        <w:rPr>
          <w:sz w:val="20"/>
          <w:szCs w:val="20"/>
          <w:color w:val="auto"/>
        </w:rPr>
      </w:pPr>
    </w:p>
    <w:p>
      <w:pPr>
        <w:ind w:left="1260" w:right="1099"/>
        <w:spacing w:after="0" w:line="261" w:lineRule="auto"/>
        <w:rPr>
          <w:sz w:val="20"/>
          <w:szCs w:val="20"/>
          <w:color w:val="auto"/>
        </w:rPr>
      </w:pPr>
      <w:r>
        <w:rPr>
          <w:rFonts w:ascii="Arial" w:cs="Arial" w:eastAsia="Arial" w:hAnsi="Arial"/>
          <w:sz w:val="18"/>
          <w:szCs w:val="18"/>
          <w:b w:val="1"/>
          <w:bCs w:val="1"/>
          <w:i w:val="1"/>
          <w:iCs w:val="1"/>
          <w:color w:val="auto"/>
        </w:rPr>
        <w:t>The COVID-19 coronavirus has and may continue to adversely impact our business, including our preclinical studies and clinical trials.</w:t>
      </w:r>
    </w:p>
    <w:p>
      <w:pPr>
        <w:spacing w:after="0" w:line="103"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In December 2019, a novel strain of coronavirus, which causes COVID-19, was reported to have surfaced in Wuhan, China. Since then, the COVID-19 coronavirus has spread to multiple countries, including the United Kingdom and the United States, where we have planned or ongoing preclinical studies and clinical trials. On March 11, 2020, the World Health Organization declared the outbreak of COVID-19 as a global pandemic. Since then, governments from many countries have established stay at home measures including, among other things, the prohibition of public gatherings of more than two people and restrictions on domestic and international travel.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office in the UK and our office in the US with all employees continuing their work outside of our offices. . In addition, whilst we have previously reported that we anticipate initiating our Phase 3 program in the third quarter of 2020, we are investigating the potential impact of the COVID-19 pandemic on the program, including the planned design, cost and timelines.</w:t>
      </w:r>
    </w:p>
    <w:p>
      <w:pPr>
        <w:spacing w:after="0" w:line="120"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If the COVID-19 coronavirus continues to spread in the United Kingdom, United States and elsewhere, or if the outbreak continues for a significant length of time, we may experience additional disruptions that could severely impact our business, preclinical studies and clinical trials, including in particular initiation of our Phase 3 program and:</w:t>
      </w:r>
    </w:p>
    <w:p>
      <w:pPr>
        <w:spacing w:after="0" w:line="66" w:lineRule="exact"/>
        <w:rPr>
          <w:sz w:val="20"/>
          <w:szCs w:val="20"/>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800" w:right="1359" w:hanging="178"/>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jc w:val="both"/>
        <w:ind w:left="1800" w:right="1119" w:hanging="178"/>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disruption to manufacturers that could affect the supply of drug product for our clinical trials or difficulty sourcing key components necessary for the manufacture of ensifentrine drug product;</w:t>
      </w:r>
    </w:p>
    <w:p>
      <w:pPr>
        <w:spacing w:after="0" w:line="24" w:lineRule="exact"/>
        <w:rPr>
          <w:rFonts w:ascii="Arial" w:cs="Arial" w:eastAsia="Arial" w:hAnsi="Arial"/>
          <w:sz w:val="17"/>
          <w:szCs w:val="17"/>
          <w:color w:val="auto"/>
        </w:rPr>
      </w:pPr>
    </w:p>
    <w:p>
      <w:pPr>
        <w:jc w:val="both"/>
        <w:ind w:left="1800" w:right="1119" w:hanging="178"/>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in clinical sites receiving the supplies and materials needed to conduct our clinical trials, including interruption in global shipping that may affect the transport of clinical trial materials;</w:t>
      </w:r>
    </w:p>
    <w:p>
      <w:pPr>
        <w:spacing w:after="0" w:line="38" w:lineRule="exact"/>
        <w:rPr>
          <w:rFonts w:ascii="Arial" w:cs="Arial" w:eastAsia="Arial" w:hAnsi="Arial"/>
          <w:sz w:val="17"/>
          <w:szCs w:val="17"/>
          <w:color w:val="auto"/>
        </w:rPr>
      </w:pPr>
    </w:p>
    <w:p>
      <w:pPr>
        <w:ind w:left="1800" w:right="699" w:hanging="178"/>
        <w:spacing w:after="0" w:line="286"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coronavirus pandemic which may require us to undertake additional testing or change the ways in which our clinical trials are conducted, which may result in unexpected costs, or to discontinue the clinical trials altogether;</w:t>
      </w:r>
    </w:p>
    <w:p>
      <w:pPr>
        <w:spacing w:after="0" w:line="57" w:lineRule="exact"/>
        <w:rPr>
          <w:rFonts w:ascii="Arial" w:cs="Arial" w:eastAsia="Arial" w:hAnsi="Arial"/>
          <w:sz w:val="17"/>
          <w:szCs w:val="17"/>
          <w:color w:val="auto"/>
        </w:rPr>
      </w:pPr>
    </w:p>
    <w:p>
      <w:pPr>
        <w:ind w:left="1800" w:right="779" w:hanging="178"/>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78"/>
        <w:spacing w:after="0" w:line="259"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51" w:lineRule="exact"/>
        <w:rPr>
          <w:rFonts w:ascii="Arial" w:cs="Arial" w:eastAsia="Arial" w:hAnsi="Arial"/>
          <w:sz w:val="18"/>
          <w:szCs w:val="18"/>
          <w:color w:val="auto"/>
        </w:rPr>
      </w:pPr>
    </w:p>
    <w:p>
      <w:pPr>
        <w:jc w:val="both"/>
        <w:ind w:left="1800" w:right="87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our third party research and development services;</w:t>
      </w:r>
    </w:p>
    <w:p>
      <w:pPr>
        <w:spacing w:after="0" w:line="48"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jc w:val="both"/>
        <w:ind w:left="1800" w:right="759" w:hanging="178"/>
        <w:spacing w:after="0" w:line="286"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diversion of or limitations on employee resources that would otherwise be focused on the operations of our business and the conduct of our clinical trials, including because of sickness of employees or their families or the desire of employees to avoid contact with large groups of people;</w:t>
      </w:r>
    </w:p>
    <w:p>
      <w:pPr>
        <w:spacing w:after="0" w:line="43" w:lineRule="exact"/>
        <w:rPr>
          <w:rFonts w:ascii="Arial" w:cs="Arial" w:eastAsia="Arial" w:hAnsi="Arial"/>
          <w:sz w:val="17"/>
          <w:szCs w:val="17"/>
          <w:color w:val="auto"/>
        </w:rPr>
      </w:pPr>
    </w:p>
    <w:p>
      <w:pPr>
        <w:ind w:left="1800" w:right="87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clinical trial insurance costs and/or delays in operations at insurance agencies, which may impact timelines for the issuance of insurance coverage policies and local coverage determinations delays; and</w:t>
      </w:r>
    </w:p>
    <w:p>
      <w:pPr>
        <w:spacing w:after="0" w:line="62" w:lineRule="exact"/>
        <w:rPr>
          <w:rFonts w:ascii="Arial" w:cs="Arial" w:eastAsia="Arial" w:hAnsi="Arial"/>
          <w:sz w:val="18"/>
          <w:szCs w:val="18"/>
          <w:color w:val="auto"/>
        </w:rPr>
      </w:pPr>
    </w:p>
    <w:p>
      <w:pPr>
        <w:ind w:left="1800" w:right="123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the EMA or comparable foreign regulatory authorities to accept data from clinical trials in affected geographies.</w:t>
      </w:r>
    </w:p>
    <w:p>
      <w:pPr>
        <w:spacing w:after="0" w:line="89" w:lineRule="exact"/>
        <w:rPr>
          <w:sz w:val="20"/>
          <w:szCs w:val="20"/>
          <w:color w:val="auto"/>
        </w:rPr>
      </w:pPr>
    </w:p>
    <w:p>
      <w:pPr>
        <w:ind w:left="1260" w:right="719" w:firstLine="360"/>
        <w:spacing w:after="0" w:line="236" w:lineRule="auto"/>
        <w:rPr>
          <w:sz w:val="20"/>
          <w:szCs w:val="20"/>
          <w:color w:val="auto"/>
        </w:rPr>
      </w:pPr>
      <w:r>
        <w:rPr>
          <w:rFonts w:ascii="Arial" w:cs="Arial" w:eastAsia="Arial" w:hAnsi="Arial"/>
          <w:sz w:val="18"/>
          <w:szCs w:val="18"/>
          <w:color w:val="auto"/>
        </w:rPr>
        <w:t>Health regulatory agencies globally may also experience disruptions in their operations as a result of the COVID-19 pandemic. The FDA, EMA and comparable foreign regulatory agencies may have slower response times or be under-resourced to review or meet to discuss our regulatory submissions, or to continue to monitor our clinical trials and, as a result, review, inspection and other timelines may be materially delayed. For example, as a result of the COVID-19 pandemic, the FDA has advised that it will provide a written response to our End-of-Phase 2 package, rather than hold a meeting. This may impact our timelines and our ability to obtain clear guidance from the FDA on the design of our Phase 3 program for nebulized ensifentrine. Furthermore, in response to the COVID- 19 pandemic, on March 10, 2020 the FDA announced its intention to postpone most foreign inspections of manufacturing facilities and products through April 2020, and subsequently,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It is unknown how long such delays or disruptions could last. Any elongation or de-prioritization of our clinical trials or delay in regulatory review resulting from such disruptions could materially affect the development and study of our product candidates.</w:t>
      </w:r>
    </w:p>
    <w:p>
      <w:pPr>
        <w:spacing w:after="0" w:line="133"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7"/>
          <w:szCs w:val="17"/>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Kingdom and other countries, business closures or business disruptions and the effectiveness of actions taken in the United Kingdom and other countries to contain and treat the disease.</w:t>
      </w:r>
    </w:p>
    <w:p>
      <w:pPr>
        <w:spacing w:after="0" w:line="94"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which could in the future negatively affect our liquidity. In addition, the recession or market correction resulting from the spread of COVID-19 could materially affect our business.</w:t>
      </w:r>
    </w:p>
    <w:p>
      <w:pPr>
        <w:spacing w:after="0" w:line="189"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Our limited operating history may make it difficult for investors to evaluate the success of our business to date and to assess our future viability.</w:t>
      </w:r>
    </w:p>
    <w:p>
      <w:pPr>
        <w:spacing w:after="0" w:line="103" w:lineRule="exact"/>
        <w:rPr>
          <w:sz w:val="20"/>
          <w:szCs w:val="20"/>
          <w:color w:val="auto"/>
        </w:rPr>
      </w:pPr>
    </w:p>
    <w:p>
      <w:pPr>
        <w:ind w:left="1260" w:right="1379" w:firstLine="360"/>
        <w:spacing w:after="0" w:line="248" w:lineRule="auto"/>
        <w:rPr>
          <w:sz w:val="20"/>
          <w:szCs w:val="20"/>
          <w:color w:val="auto"/>
        </w:rPr>
      </w:pPr>
      <w:r>
        <w:rPr>
          <w:rFonts w:ascii="Arial" w:cs="Arial" w:eastAsia="Arial" w:hAnsi="Arial"/>
          <w:sz w:val="18"/>
          <w:szCs w:val="18"/>
          <w:color w:val="auto"/>
        </w:rPr>
        <w:t>Since our inception in 2005, we have devoted substantially all of our resources to developing ensifentrine, building our intellectual property portfolio, developing our supply chain, planning our business, raising</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color w:val="auto"/>
        </w:rPr>
        <w:t>capital and providing general and administrative support for these operations. We have completed multiple Phase 1 and 2 clinical trials for ensifentrine, but we have not yet demonstrated our ability to successfully complete any Phase 3 or other pivotal clinical trials, obtain regulatory approvals, manufacture a commercial-scale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184" w:lineRule="exact"/>
        <w:rPr>
          <w:sz w:val="20"/>
          <w:szCs w:val="20"/>
          <w:color w:val="auto"/>
        </w:rPr>
      </w:pPr>
    </w:p>
    <w:p>
      <w:pPr>
        <w:ind w:left="1260" w:right="109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90"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or ordinary shares to decline.</w:t>
      </w:r>
    </w:p>
    <w:p>
      <w:pPr>
        <w:spacing w:after="0" w:line="185"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103"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80" w:lineRule="exact"/>
        <w:rPr>
          <w:sz w:val="20"/>
          <w:szCs w:val="20"/>
          <w:color w:val="auto"/>
        </w:rPr>
      </w:pPr>
    </w:p>
    <w:p>
      <w:pPr>
        <w:ind w:left="1800" w:right="73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non-U.S. currency exchange rates of the euro and currency controls;</w:t>
      </w:r>
    </w:p>
    <w:p>
      <w:pPr>
        <w:spacing w:after="0" w:line="117" w:lineRule="exact"/>
        <w:rPr>
          <w:rFonts w:ascii="Arial" w:cs="Arial" w:eastAsia="Arial" w:hAnsi="Arial"/>
          <w:sz w:val="18"/>
          <w:szCs w:val="18"/>
          <w:color w:val="auto"/>
        </w:rPr>
      </w:pPr>
    </w:p>
    <w:p>
      <w:pPr>
        <w:ind w:left="1800" w:right="141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the withdrawal of the United Kingdom from the EU;</w:t>
      </w:r>
    </w:p>
    <w:p>
      <w:pPr>
        <w:spacing w:after="0" w:line="48"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28" w:lineRule="exact"/>
        <w:rPr>
          <w:rFonts w:ascii="Arial" w:cs="Arial" w:eastAsia="Arial" w:hAnsi="Arial"/>
          <w:sz w:val="17"/>
          <w:szCs w:val="17"/>
          <w:color w:val="auto"/>
        </w:rPr>
      </w:pPr>
    </w:p>
    <w:p>
      <w:pPr>
        <w:ind w:left="1800" w:right="79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62"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62"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or public health emergencies, such as the novel coronavirus (COVID-19).</w:t>
      </w:r>
    </w:p>
    <w:p>
      <w:pPr>
        <w:spacing w:after="0" w:line="184" w:lineRule="exact"/>
        <w:rPr>
          <w:sz w:val="20"/>
          <w:szCs w:val="20"/>
          <w:color w:val="auto"/>
        </w:rPr>
      </w:pPr>
    </w:p>
    <w:p>
      <w:pPr>
        <w:ind w:left="1260" w:right="679"/>
        <w:spacing w:after="0" w:line="342" w:lineRule="auto"/>
        <w:rPr>
          <w:sz w:val="20"/>
          <w:szCs w:val="20"/>
          <w:color w:val="auto"/>
        </w:rPr>
      </w:pPr>
      <w:r>
        <w:rPr>
          <w:rFonts w:ascii="Arial" w:cs="Arial" w:eastAsia="Arial" w:hAnsi="Arial"/>
          <w:sz w:val="16"/>
          <w:szCs w:val="16"/>
          <w:b w:val="1"/>
          <w:bCs w:val="1"/>
          <w:i w:val="1"/>
          <w:iCs w:val="1"/>
          <w:color w:val="auto"/>
        </w:rPr>
        <w:t>The United Kingdom’s withdrawal from the EU may have a negative effect on global economic conditions, financial markets and our business, which could reduce the price of our ADSs and ordinary shares.</w:t>
      </w:r>
    </w:p>
    <w:p>
      <w:pPr>
        <w:spacing w:after="0" w:line="56"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 on January 31, 2020 and entered into a transition period during which it will continue its ongoing and complex negotiations with the EU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w:t>
      </w:r>
    </w:p>
    <w:p>
      <w:pPr>
        <w:spacing w:after="0" w:line="127"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These developments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financial laws and regulations, tax and free trade agreements, intellectual property rights, supply chain logistics, environmental, health and safety laws and regulations, immigration laws and employment laws, could further decrease foreign direct investment in the United Kingdom, increase costs, depress economic activity and restrict our access to capital.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11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Further, the United Kingdom’s withdrawal from the EU has resulted in the relocation of the EMA from the United Kingdom to the Netherlands. This relocation has caused, and may continue to cause, disruption in the administrative and medical scientific links between the EMA and the U.K. Medicines and Healthcare products Regulatory Agency,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United Kingdom.</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Exchange rate fluctuations may materially affect our results of operations and financial condition.</w:t>
      </w:r>
    </w:p>
    <w:p>
      <w:pPr>
        <w:spacing w:after="0" w:line="169"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 States. As a result, our business and the price of our ADSs and ordinary shares may be affected by</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70" w:lineRule="auto"/>
        <w:rPr>
          <w:sz w:val="20"/>
          <w:szCs w:val="20"/>
          <w:color w:val="auto"/>
        </w:rPr>
      </w:pPr>
      <w:r>
        <w:rPr>
          <w:rFonts w:ascii="Arial" w:cs="Arial" w:eastAsia="Arial" w:hAnsi="Arial"/>
          <w:sz w:val="17"/>
          <w:szCs w:val="17"/>
          <w:color w:val="auto"/>
        </w:rPr>
        <w:t>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Development, Clinical Testing and Regulatory Approval</w:t>
      </w:r>
    </w:p>
    <w:p>
      <w:pPr>
        <w:spacing w:after="0" w:line="229" w:lineRule="exact"/>
        <w:rPr>
          <w:sz w:val="20"/>
          <w:szCs w:val="20"/>
          <w:color w:val="auto"/>
        </w:rPr>
      </w:pPr>
    </w:p>
    <w:p>
      <w:pPr>
        <w:ind w:left="1260" w:right="839"/>
        <w:spacing w:after="0" w:line="259" w:lineRule="auto"/>
        <w:rPr>
          <w:sz w:val="20"/>
          <w:szCs w:val="20"/>
          <w:color w:val="auto"/>
        </w:rPr>
      </w:pPr>
      <w:r>
        <w:rPr>
          <w:rFonts w:ascii="Arial" w:cs="Arial" w:eastAsia="Arial" w:hAnsi="Arial"/>
          <w:sz w:val="17"/>
          <w:szCs w:val="17"/>
          <w:b w:val="1"/>
          <w:bCs w:val="1"/>
          <w:i w:val="1"/>
          <w:iCs w:val="1"/>
          <w:color w:val="auto"/>
        </w:rPr>
        <w:t>Our only product candidate, ensifentrine, is in clinical development. Clinical drug development is a lengthy and expensive process with uncertain timelines and uncertain outcomes. If clinical trials of ensifentrine are prolonged or delayed, or if ensifentrine in later stage clinical trials fails to show the desired safety and efficacy, we or our collaborators may be unable to obtain required regulatory approvals and be unable to commercialize ensifentrine on a timely basis, or at all.</w:t>
      </w:r>
    </w:p>
    <w:p>
      <w:pPr>
        <w:spacing w:after="0" w:line="93"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7"/>
          <w:szCs w:val="17"/>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13"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80" w:lineRule="exact"/>
        <w:rPr>
          <w:sz w:val="20"/>
          <w:szCs w:val="20"/>
          <w:color w:val="auto"/>
        </w:rPr>
      </w:pPr>
    </w:p>
    <w:p>
      <w:pPr>
        <w:ind w:left="1800" w:right="6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obtain regulatory agreement on appropriate Phase 3 trial design, including dose and frequency of administration;</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of failure to obtain regulatory approval to commence a trial;</w:t>
      </w:r>
    </w:p>
    <w:p>
      <w:pPr>
        <w:spacing w:after="0" w:line="103"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approval at each site;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03"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 or committing gross misconduct or fraud;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or maintain double blinding of ensifentrine;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unexpected technical issues during manufacture of ensifentrine and the corresponding drug products;</w:t>
      </w:r>
    </w:p>
    <w:p>
      <w:pPr>
        <w:spacing w:after="0" w:line="115" w:lineRule="exact"/>
        <w:rPr>
          <w:rFonts w:ascii="Arial" w:cs="Arial" w:eastAsia="Arial" w:hAnsi="Arial"/>
          <w:sz w:val="17"/>
          <w:szCs w:val="17"/>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variability in drug product performance and/or stability;</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ensifentrine for use in clinical trials;</w:t>
      </w:r>
    </w:p>
    <w:p>
      <w:pPr>
        <w:spacing w:after="0" w:line="103"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actions claiming infringement by ensifentrine in clinical trials and obtaining injunctions interfering with our progress;</w:t>
      </w:r>
    </w:p>
    <w:p>
      <w:pPr>
        <w:spacing w:after="0" w:line="48"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48" w:lineRule="exact"/>
        <w:rPr>
          <w:rFonts w:ascii="Arial" w:cs="Arial" w:eastAsia="Arial" w:hAnsi="Arial"/>
          <w:sz w:val="18"/>
          <w:szCs w:val="18"/>
          <w:color w:val="auto"/>
        </w:rPr>
      </w:pPr>
    </w:p>
    <w:p>
      <w:pPr>
        <w:ind w:left="1800" w:right="759" w:hanging="178"/>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03"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62"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or frequency of dosing or treatment in clinical trials;</w:t>
      </w:r>
    </w:p>
    <w:p>
      <w:pPr>
        <w:spacing w:after="0" w:line="62" w:lineRule="exact"/>
        <w:rPr>
          <w:rFonts w:ascii="Arial" w:cs="Arial" w:eastAsia="Arial" w:hAnsi="Arial"/>
          <w:sz w:val="18"/>
          <w:szCs w:val="18"/>
          <w:color w:val="auto"/>
        </w:rPr>
      </w:pPr>
    </w:p>
    <w:p>
      <w:pPr>
        <w:ind w:left="1800" w:right="1239" w:hanging="178"/>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certain countries in identifying the sub-populations that we are trying to treat in a particular trial, which may delay enrollment and reduce the power of a clinical trial to detect statistically significant results;</w:t>
      </w:r>
    </w:p>
    <w:p>
      <w:pPr>
        <w:spacing w:after="0" w:line="75"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or stability of ensifentrine falling below acceptable standards for either safety or efficacy;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discoveries that may reduce the commercial viability of ensifentrine.</w:t>
      </w:r>
    </w:p>
    <w:p>
      <w:pPr>
        <w:spacing w:after="0" w:line="14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11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116"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If we experience delays in the completion of any clinical trial of ensifentrine or any clinical trial of ensifentrine is terminated, the commercial prospects of ensifentrine may be harmed, and our ability to generate product revenues from ensifentrine, if any, will be delayed. Moreover, any delays in completing our clinical trials will increase our costs, slow down the development and approval process of ensifentrine and jeopardize our ability to commence product sales and generate revenue, if any. Significant clinical trial delays could also allow our competitors to bring products to market before we do or shorten any periods during which we have the exclusive right to commercialize ensifentrine and could impair our ability to commercialize ensifentrine. In addition, many of the factors that cause, or lead to, a delay in the commencement or completion of clinical trials may also ultimately lead to the denial of regulatory approval of ensifentrine.</w:t>
      </w:r>
    </w:p>
    <w:p>
      <w:pPr>
        <w:spacing w:after="0" w:line="11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ensifentrine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74" w:lineRule="exact"/>
        <w:rPr>
          <w:sz w:val="20"/>
          <w:szCs w:val="20"/>
          <w:color w:val="auto"/>
        </w:rPr>
      </w:pPr>
    </w:p>
    <w:p>
      <w:pPr>
        <w:ind w:left="1260" w:right="719"/>
        <w:spacing w:after="0" w:line="368" w:lineRule="auto"/>
        <w:rPr>
          <w:sz w:val="20"/>
          <w:szCs w:val="20"/>
          <w:color w:val="auto"/>
        </w:rPr>
      </w:pPr>
      <w:r>
        <w:rPr>
          <w:rFonts w:ascii="Arial" w:cs="Arial" w:eastAsia="Arial" w:hAnsi="Arial"/>
          <w:sz w:val="13"/>
          <w:szCs w:val="13"/>
          <w:b w:val="1"/>
          <w:bCs w:val="1"/>
          <w:i w:val="1"/>
          <w:i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2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Undesirable side effects that may be caused by ensifentrine could cause us or regulatory authorities to interrupt, delay or halt clinical trials and could result in a more restrictive label or the delay or denial of regulatory approval by the FDA, EMA or other comparable foreign authorities. We have completed 16 Phase 1 and 2 clinical trials of ensifentrine. In these trials, some patients have experienced mild to moderate adverse reactions, including headache, dizziness, cough, heart palpitation, nausea, dry mouth, throat irritation, paresthesia (tingling) and rash.</w:t>
      </w:r>
    </w:p>
    <w:p>
      <w:pPr>
        <w:spacing w:after="0" w:line="122"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To date, thirteen patients have reported in aggregate sixteen serious adverse events (including a suicide); eleven of these serious adverse events were assessed as not related to study drug and five of which were assessed by the investigators as possibly related although relevant mitigating factors were subsequently considered.</w:t>
      </w:r>
    </w:p>
    <w:p>
      <w:pPr>
        <w:spacing w:after="0" w:line="120"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ensifentrine for any or all targeted indications. The drug- 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72" w:lineRule="exact"/>
        <w:rPr>
          <w:sz w:val="20"/>
          <w:szCs w:val="20"/>
          <w:color w:val="auto"/>
        </w:rPr>
      </w:pPr>
    </w:p>
    <w:p>
      <w:pPr>
        <w:ind w:left="1800" w:right="89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ensifentrine off the market;</w:t>
      </w:r>
    </w:p>
    <w:p>
      <w:pPr>
        <w:spacing w:after="0" w:line="35" w:lineRule="exact"/>
        <w:rPr>
          <w:rFonts w:ascii="Arial" w:cs="Arial" w:eastAsia="Arial" w:hAnsi="Arial"/>
          <w:sz w:val="18"/>
          <w:szCs w:val="18"/>
          <w:color w:val="auto"/>
        </w:rPr>
      </w:pPr>
    </w:p>
    <w:p>
      <w:pPr>
        <w:ind w:left="1800" w:right="151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35" w:lineRule="exact"/>
        <w:rPr>
          <w:rFonts w:ascii="Arial" w:cs="Arial" w:eastAsia="Arial" w:hAnsi="Arial"/>
          <w:sz w:val="18"/>
          <w:szCs w:val="18"/>
          <w:color w:val="auto"/>
        </w:rPr>
      </w:pPr>
    </w:p>
    <w:p>
      <w:pPr>
        <w:ind w:left="1800" w:right="739" w:hanging="178"/>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ensifentrine outweigh its risks;</w:t>
      </w:r>
    </w:p>
    <w:p>
      <w:pPr>
        <w:spacing w:after="0" w:line="48"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ensifentrine is administered, conduct additional clinical trials or change the labeling of ensifentrine;</w:t>
      </w:r>
    </w:p>
    <w:p>
      <w:pPr>
        <w:spacing w:after="0" w:line="35"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ensifentrine;</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ensifentrine may decrease significantly;</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left="1260" w:right="899" w:firstLine="360"/>
        <w:spacing w:after="0" w:line="270" w:lineRule="auto"/>
        <w:rPr>
          <w:sz w:val="20"/>
          <w:szCs w:val="20"/>
          <w:color w:val="auto"/>
        </w:rPr>
      </w:pPr>
      <w:r>
        <w:rPr>
          <w:rFonts w:ascii="Arial" w:cs="Arial" w:eastAsia="Arial" w:hAnsi="Arial"/>
          <w:sz w:val="17"/>
          <w:szCs w:val="17"/>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164"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101" w:lineRule="exact"/>
        <w:rPr>
          <w:sz w:val="20"/>
          <w:szCs w:val="20"/>
          <w:color w:val="auto"/>
        </w:rPr>
      </w:pPr>
    </w:p>
    <w:p>
      <w:pPr>
        <w:ind w:left="1260" w:right="1059" w:firstLine="360"/>
        <w:spacing w:after="0" w:line="248" w:lineRule="auto"/>
        <w:rPr>
          <w:sz w:val="20"/>
          <w:szCs w:val="20"/>
          <w:color w:val="auto"/>
        </w:rPr>
      </w:pPr>
      <w:r>
        <w:rPr>
          <w:rFonts w:ascii="Arial" w:cs="Arial" w:eastAsia="Arial" w:hAnsi="Arial"/>
          <w:sz w:val="18"/>
          <w:szCs w:val="18"/>
          <w:color w:val="auto"/>
        </w:rPr>
        <w:t>Successful and timely completion of clinical trials for ensifentrine will require that we enroll a sufficient number of patient candidates. Trials may be subject to delays as a result of patient enrollment taking longer</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200"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1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102" w:lineRule="exact"/>
        <w:rPr>
          <w:sz w:val="20"/>
          <w:szCs w:val="20"/>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ensifentrine;</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related litigation;</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800" w:right="1199" w:hanging="178"/>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investigation, product recalls or withdrawals, or labeling, marketing or promotional restrictions;</w:t>
      </w:r>
    </w:p>
    <w:p>
      <w:pPr>
        <w:spacing w:after="0" w:line="102"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7" w:lineRule="exact"/>
        <w:rPr>
          <w:rFonts w:ascii="Arial" w:cs="Arial" w:eastAsia="Arial" w:hAnsi="Arial"/>
          <w:sz w:val="18"/>
          <w:szCs w:val="18"/>
          <w:color w:val="auto"/>
        </w:rPr>
      </w:pPr>
    </w:p>
    <w:p>
      <w:pPr>
        <w:ind w:left="1800" w:hanging="178"/>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or promote ensifentrine.</w:t>
      </w:r>
    </w:p>
    <w:p>
      <w:pPr>
        <w:spacing w:after="0" w:line="14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83"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The time required to obtain approval by the FDA, the EMA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Ensifentrine could fail to receive regulatory approval for many reasons, including the following:</w:t>
      </w:r>
    </w:p>
    <w:p>
      <w:pPr>
        <w:spacing w:after="0" w:line="104" w:lineRule="exact"/>
        <w:rPr>
          <w:sz w:val="20"/>
          <w:szCs w:val="20"/>
          <w:color w:val="auto"/>
        </w:rPr>
      </w:pPr>
    </w:p>
    <w:p>
      <w:pPr>
        <w:ind w:left="1800" w:right="101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35"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ensifentrine’s clinical and other benefits outweigh its safety risks;</w:t>
      </w:r>
    </w:p>
    <w:p>
      <w:pPr>
        <w:spacing w:after="0" w:line="21" w:lineRule="exact"/>
        <w:rPr>
          <w:rFonts w:ascii="Arial" w:cs="Arial" w:eastAsia="Arial" w:hAnsi="Arial"/>
          <w:sz w:val="18"/>
          <w:szCs w:val="18"/>
          <w:color w:val="auto"/>
        </w:rPr>
      </w:pPr>
    </w:p>
    <w:p>
      <w:pPr>
        <w:ind w:left="1800" w:right="719" w:hanging="178"/>
        <w:spacing w:after="0" w:line="308"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our interpretation of data from pre-clinical studies or clinical trials or may find the data to be unacceptable;</w:t>
      </w:r>
    </w:p>
    <w:p>
      <w:pPr>
        <w:spacing w:after="0" w:line="11" w:lineRule="exact"/>
        <w:rPr>
          <w:rFonts w:ascii="Arial" w:cs="Arial" w:eastAsia="Arial" w:hAnsi="Arial"/>
          <w:sz w:val="17"/>
          <w:szCs w:val="17"/>
          <w:color w:val="auto"/>
        </w:rPr>
      </w:pPr>
    </w:p>
    <w:p>
      <w:pPr>
        <w:ind w:left="1800" w:right="111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that the dose or doses evaluated in Phase 3 clinical trials or the way in which double blinding was effected to be unacceptable;</w:t>
      </w:r>
    </w:p>
    <w:p>
      <w:pPr>
        <w:spacing w:after="0" w:line="35" w:lineRule="exact"/>
        <w:rPr>
          <w:rFonts w:ascii="Arial" w:cs="Arial" w:eastAsia="Arial" w:hAnsi="Arial"/>
          <w:sz w:val="18"/>
          <w:szCs w:val="18"/>
          <w:color w:val="auto"/>
        </w:rPr>
      </w:pPr>
    </w:p>
    <w:p>
      <w:pPr>
        <w:ind w:left="1800" w:right="101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ensifentrine may, for other reasons, not be sufficient to support the submission of an NDA in the United States, an MMA in the EU, or other comparable submission to obtain regulatory approval in other countries;</w:t>
      </w:r>
    </w:p>
    <w:p>
      <w:pPr>
        <w:spacing w:after="0" w:line="35"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w:t>
      </w:r>
    </w:p>
    <w:p>
      <w:pPr>
        <w:spacing w:after="0" w:line="35" w:lineRule="exact"/>
        <w:rPr>
          <w:rFonts w:ascii="Arial" w:cs="Arial" w:eastAsia="Arial" w:hAnsi="Arial"/>
          <w:sz w:val="18"/>
          <w:szCs w:val="18"/>
          <w:color w:val="auto"/>
        </w:rPr>
      </w:pPr>
    </w:p>
    <w:p>
      <w:pPr>
        <w:ind w:left="1800" w:right="679" w:hanging="178"/>
        <w:spacing w:after="0" w:line="306"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approval policies or regulations of the FDA, the EMA or comparable foreign regulatory authorities may significantly change in a manner rendering our clinical data insufficient for approval;</w:t>
      </w:r>
    </w:p>
    <w:p>
      <w:pPr>
        <w:spacing w:after="0" w:line="1" w:lineRule="exact"/>
        <w:rPr>
          <w:rFonts w:ascii="Arial" w:cs="Arial" w:eastAsia="Arial" w:hAnsi="Arial"/>
          <w:sz w:val="17"/>
          <w:szCs w:val="17"/>
          <w:color w:val="auto"/>
        </w:rPr>
      </w:pPr>
    </w:p>
    <w:p>
      <w:pPr>
        <w:ind w:left="1800" w:right="105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 and</w:t>
      </w:r>
    </w:p>
    <w:p>
      <w:pPr>
        <w:spacing w:after="0" w:line="21"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proposed product specifications and performance characteristics.</w:t>
      </w:r>
    </w:p>
    <w:p>
      <w:pPr>
        <w:spacing w:after="0" w:line="76"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EMA or any other regulatory authority.</w:t>
      </w:r>
    </w:p>
    <w:p>
      <w:pPr>
        <w:spacing w:after="0" w:line="122"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189" w:lineRule="exact"/>
        <w:rPr>
          <w:sz w:val="20"/>
          <w:szCs w:val="20"/>
          <w:color w:val="auto"/>
        </w:rPr>
      </w:pPr>
    </w:p>
    <w:p>
      <w:pPr>
        <w:ind w:left="1260" w:right="699"/>
        <w:spacing w:after="0" w:line="308" w:lineRule="auto"/>
        <w:rPr>
          <w:sz w:val="20"/>
          <w:szCs w:val="20"/>
          <w:color w:val="auto"/>
        </w:rPr>
      </w:pPr>
      <w:r>
        <w:rPr>
          <w:rFonts w:ascii="Arial" w:cs="Arial" w:eastAsia="Arial" w:hAnsi="Arial"/>
          <w:sz w:val="15"/>
          <w:szCs w:val="15"/>
          <w:b w:val="1"/>
          <w:bCs w:val="1"/>
          <w:i w:val="1"/>
          <w:i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73"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If the FDA, the EMA or a comparable foreign regulatory authority approves ensifentrine, the manufacturing processes, labeling, packaging, distribution, adverse event reporting, storage, advertising,</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requirements for the manufacture of ensifentrine and GCP requirements for any clinical trials that we conduct post-approval, all of which may result in significant expense and limit our ability to commercialize ensifentrine. We and our contract manufacturers will also be subject to periodic inspection by the FDA, the EMA and other regulatory authorities to monitor compliance with these requirements and the terms of any product approval we may obtain. In addition, any regulatory approvals that we receive for ensifentrine may also be subject to limitations on the approved indicated uses for which ensifentrine may be marketed or to the conditions of approval, or contain requirements for potentially costly post-marketing testing, including Phase 4 clinical trials, and surveillance to monitor the safety and efficacy of ensifentrine.</w:t>
      </w:r>
    </w:p>
    <w:p>
      <w:pPr>
        <w:spacing w:after="0" w:line="112"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If problems are discovered with the drug product or manufacture of ensifentrine, or if we or one of our distributors, licensees or co -marketers fails to comply with regulatory requirements, the regulators could take various actions. These include imposing fines on us, imposing restrictions on ensifentrine or its manufacture and requiring us to recall or remove ensifentrine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ensifentrine may be impaired, and we may incur substantial additional expense to comply with regulatory requirements.</w:t>
      </w:r>
    </w:p>
    <w:p>
      <w:pPr>
        <w:spacing w:after="0" w:line="126"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develop ensifentrine for multiple indications, including asthma, CF, COVID-19 or other respiratory diseases.</w:t>
      </w:r>
    </w:p>
    <w:p>
      <w:pPr>
        <w:spacing w:after="0" w:line="103"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Part of our strategy is to continue to develop ensifentrine in indications other than COPD, such as CF. Although our research and development efforts to date have suggested that ensifentrine has the potential to treat CF, we may not be able to develop ensifentrine in CF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we will face difficulty in obtaining product revenues in future periods, which could significantly harm our financial position.</w:t>
      </w:r>
    </w:p>
    <w:p>
      <w:pPr>
        <w:spacing w:after="0" w:line="181" w:lineRule="exact"/>
        <w:rPr>
          <w:sz w:val="20"/>
          <w:szCs w:val="20"/>
          <w:color w:val="auto"/>
        </w:rPr>
      </w:pPr>
    </w:p>
    <w:p>
      <w:pPr>
        <w:ind w:left="1260" w:right="659"/>
        <w:spacing w:after="0" w:line="286" w:lineRule="auto"/>
        <w:rPr>
          <w:sz w:val="20"/>
          <w:szCs w:val="20"/>
          <w:color w:val="auto"/>
        </w:rPr>
      </w:pPr>
      <w:r>
        <w:rPr>
          <w:rFonts w:ascii="Arial" w:cs="Arial" w:eastAsia="Arial" w:hAnsi="Arial"/>
          <w:sz w:val="17"/>
          <w:szCs w:val="17"/>
          <w:b w:val="1"/>
          <w:bCs w:val="1"/>
          <w:i w:val="1"/>
          <w:i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8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37" w:lineRule="auto"/>
        <w:rPr>
          <w:sz w:val="20"/>
          <w:szCs w:val="20"/>
          <w:color w:val="auto"/>
        </w:rPr>
      </w:pPr>
      <w:r>
        <w:rPr>
          <w:rFonts w:ascii="Arial" w:cs="Arial" w:eastAsia="Arial" w:hAnsi="Arial"/>
          <w:sz w:val="18"/>
          <w:szCs w:val="18"/>
          <w:color w:val="auto"/>
        </w:rPr>
        <w:t>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189" w:lineRule="exact"/>
        <w:rPr>
          <w:sz w:val="20"/>
          <w:szCs w:val="20"/>
          <w:color w:val="auto"/>
        </w:rPr>
      </w:pPr>
    </w:p>
    <w:p>
      <w:pPr>
        <w:ind w:left="1260" w:right="1179"/>
        <w:spacing w:after="0" w:line="270" w:lineRule="auto"/>
        <w:rPr>
          <w:sz w:val="20"/>
          <w:szCs w:val="20"/>
          <w:color w:val="auto"/>
        </w:rPr>
      </w:pPr>
      <w:r>
        <w:rPr>
          <w:rFonts w:ascii="Arial" w:cs="Arial" w:eastAsia="Arial" w:hAnsi="Arial"/>
          <w:sz w:val="17"/>
          <w:szCs w:val="17"/>
          <w:b w:val="1"/>
          <w:bCs w:val="1"/>
          <w:i w:val="1"/>
          <w:i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83"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EMA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86" w:lineRule="exact"/>
        <w:rPr>
          <w:sz w:val="20"/>
          <w:szCs w:val="20"/>
          <w:color w:val="auto"/>
        </w:rPr>
      </w:pPr>
    </w:p>
    <w:p>
      <w:pPr>
        <w:jc w:val="both"/>
        <w:ind w:left="1260" w:right="759"/>
        <w:spacing w:after="0" w:line="248"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4"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7" w:lineRule="auto"/>
        <w:rPr>
          <w:sz w:val="20"/>
          <w:szCs w:val="20"/>
          <w:color w:val="auto"/>
        </w:rPr>
      </w:pPr>
      <w:r>
        <w:rPr>
          <w:rFonts w:ascii="Arial" w:cs="Arial" w:eastAsia="Arial" w:hAnsi="Arial"/>
          <w:sz w:val="18"/>
          <w:szCs w:val="18"/>
          <w:color w:val="auto"/>
        </w:rPr>
        <w:t>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0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 after this offering.</w:t>
      </w:r>
    </w:p>
    <w:p>
      <w:pPr>
        <w:spacing w:after="0" w:line="12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27"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7"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b w:val="1"/>
          <w:bCs w:val="1"/>
          <w:i w:val="1"/>
          <w:iCs w:val="1"/>
          <w:color w:val="auto"/>
        </w:rPr>
        <w:t>The ability of the FDA to review and approve new products can be affected by a variety of factors and can lead to delays or otherwise prevent new products and services from being developed or commercialized in a timely manner, which could negatively impact our business.</w:t>
      </w:r>
    </w:p>
    <w:p>
      <w:pPr>
        <w:spacing w:after="0" w:line="10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25"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29" w:lineRule="exact"/>
        <w:rPr>
          <w:sz w:val="20"/>
          <w:szCs w:val="20"/>
          <w:color w:val="auto"/>
        </w:rPr>
      </w:pPr>
    </w:p>
    <w:p>
      <w:pPr>
        <w:ind w:left="1260" w:right="1159"/>
        <w:spacing w:after="0" w:line="308" w:lineRule="auto"/>
        <w:rPr>
          <w:sz w:val="20"/>
          <w:szCs w:val="20"/>
          <w:color w:val="auto"/>
        </w:rPr>
      </w:pPr>
      <w:r>
        <w:rPr>
          <w:rFonts w:ascii="Arial" w:cs="Arial" w:eastAsia="Arial" w:hAnsi="Arial"/>
          <w:sz w:val="17"/>
          <w:szCs w:val="17"/>
          <w:b w:val="1"/>
          <w:bCs w:val="1"/>
          <w:i w:val="1"/>
          <w:iCs w:val="1"/>
          <w:color w:val="auto"/>
        </w:rPr>
        <w:t>Enacted and future legislation may increase the difficulty and cost for us to obtain marketing approval of and commercialize ensifentrine and may affect the prices we may set.</w:t>
      </w:r>
    </w:p>
    <w:p>
      <w:pPr>
        <w:spacing w:after="0" w:line="7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the provisions of the ACA, those of greatest importance to the pharmaceutical and biotechnology industries include the following:</w:t>
      </w:r>
    </w:p>
    <w:p>
      <w:pPr>
        <w:spacing w:after="0" w:line="49" w:lineRule="exact"/>
        <w:rPr>
          <w:sz w:val="20"/>
          <w:szCs w:val="20"/>
          <w:color w:val="auto"/>
        </w:rPr>
      </w:pPr>
    </w:p>
    <w:p>
      <w:pPr>
        <w:ind w:left="1800" w:right="79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1800" w:right="679" w:hanging="178"/>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78" w:lineRule="exact"/>
        <w:rPr>
          <w:rFonts w:ascii="Arial" w:cs="Arial" w:eastAsia="Arial" w:hAnsi="Arial"/>
          <w:sz w:val="18"/>
          <w:szCs w:val="18"/>
          <w:color w:val="auto"/>
        </w:rPr>
      </w:pPr>
    </w:p>
    <w:p>
      <w:pPr>
        <w:jc w:val="both"/>
        <w:ind w:left="1800" w:right="109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5" w:lineRule="exact"/>
        <w:rPr>
          <w:rFonts w:ascii="Arial" w:cs="Arial" w:eastAsia="Arial" w:hAnsi="Arial"/>
          <w:sz w:val="18"/>
          <w:szCs w:val="18"/>
          <w:color w:val="auto"/>
        </w:rPr>
      </w:pPr>
    </w:p>
    <w:p>
      <w:pPr>
        <w:ind w:left="1800" w:right="1199" w:hanging="178"/>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24" w:lineRule="exact"/>
        <w:rPr>
          <w:rFonts w:ascii="Arial" w:cs="Arial" w:eastAsia="Arial" w:hAnsi="Arial"/>
          <w:sz w:val="17"/>
          <w:szCs w:val="17"/>
          <w:color w:val="auto"/>
        </w:rPr>
      </w:pPr>
    </w:p>
    <w:p>
      <w:pPr>
        <w:ind w:left="1800" w:right="101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8"/>
          <w:szCs w:val="18"/>
          <w:color w:val="auto"/>
        </w:rPr>
      </w:pPr>
    </w:p>
    <w:p>
      <w:pPr>
        <w:ind w:left="1800" w:right="919" w:hanging="178"/>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24" w:lineRule="exact"/>
        <w:rPr>
          <w:rFonts w:ascii="Arial" w:cs="Arial" w:eastAsia="Arial" w:hAnsi="Arial"/>
          <w:sz w:val="17"/>
          <w:szCs w:val="17"/>
          <w:color w:val="auto"/>
        </w:rPr>
      </w:pPr>
    </w:p>
    <w:p>
      <w:pPr>
        <w:ind w:left="1800" w:right="71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11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The current presidential administration and Congress will likely continue to seek to modify, repeal, or otherwise invalidate all, or certain provisions of, the ACA. Further, on December 14, 2018, a U.S. District Court Judge in the Northern District of Texas ruled that the individual mandate is a critical and inseverable feature of the ACA, and therefore, because it was repealed as part of the 2017 Tax Cuts and Jobs Act, the remaining provisions of the ACA are invalid as well. On December 18, 2019, the U.S. Court of Appeals for the 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and other efforts to challenge, repeal or replace the ACA or our business or financial condition.</w:t>
      </w:r>
    </w:p>
    <w:p>
      <w:pPr>
        <w:spacing w:after="0" w:line="119"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the Budget Control Act of 2011 has, among other things, led to aggregate reductions of Medicare payments to providers of 2% per fiscal year, which, due to subsequent legislative amendments to the statute, will remain in effect through 2029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laws and any laws enacted in the future may result in additional reductions in Medicare and other health care funding, which could have a material adverse effect on our customers and accordingly, our financial operations.</w:t>
      </w:r>
    </w:p>
    <w:p>
      <w:pPr>
        <w:spacing w:after="0" w:line="99"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19"/>
        <w:spacing w:after="0" w:line="261" w:lineRule="auto"/>
        <w:rPr>
          <w:sz w:val="20"/>
          <w:szCs w:val="20"/>
          <w:color w:val="auto"/>
        </w:rPr>
      </w:pPr>
      <w:r>
        <w:rPr>
          <w:rFonts w:ascii="Arial" w:cs="Arial" w:eastAsia="Arial" w:hAnsi="Arial"/>
          <w:sz w:val="18"/>
          <w:szCs w:val="18"/>
          <w:color w:val="auto"/>
        </w:rPr>
        <w:t>government will pay for healthcare products and services, which could result in reduced demand for ensifentrine or additional pricing pressures.</w:t>
      </w:r>
    </w:p>
    <w:p>
      <w:pPr>
        <w:spacing w:after="0" w:line="9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12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121"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174"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103"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80" w:lineRule="exact"/>
        <w:rPr>
          <w:sz w:val="20"/>
          <w:szCs w:val="20"/>
          <w:color w:val="auto"/>
        </w:rPr>
      </w:pPr>
    </w:p>
    <w:p>
      <w:pPr>
        <w:ind w:left="1800" w:right="699" w:hanging="178"/>
        <w:spacing w:after="0" w:line="254"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3" w:lineRule="exact"/>
        <w:rPr>
          <w:rFonts w:ascii="Arial" w:cs="Arial" w:eastAsia="Arial" w:hAnsi="Arial"/>
          <w:sz w:val="18"/>
          <w:szCs w:val="18"/>
          <w:color w:val="auto"/>
        </w:rPr>
      </w:pPr>
    </w:p>
    <w:p>
      <w:pPr>
        <w:ind w:left="1800" w:right="719" w:hanging="178"/>
        <w:spacing w:after="0" w:line="25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spacing w:after="0" w:line="259" w:lineRule="auto"/>
        <w:rPr>
          <w:sz w:val="20"/>
          <w:szCs w:val="20"/>
          <w:color w:val="auto"/>
        </w:rPr>
      </w:pPr>
      <w:r>
        <w:rPr>
          <w:rFonts w:ascii="Arial" w:cs="Arial" w:eastAsia="Arial" w:hAnsi="Arial"/>
          <w:sz w:val="17"/>
          <w:szCs w:val="17"/>
          <w:color w:val="auto"/>
        </w:rPr>
        <w:t>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52" w:lineRule="exact"/>
        <w:rPr>
          <w:sz w:val="20"/>
          <w:szCs w:val="20"/>
          <w:color w:val="auto"/>
        </w:rPr>
      </w:pPr>
    </w:p>
    <w:p>
      <w:pPr>
        <w:ind w:left="1800" w:right="819" w:hanging="178"/>
        <w:spacing w:after="0" w:line="272"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ind w:left="1800" w:right="759" w:hanging="178"/>
        <w:spacing w:after="0" w:line="254"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86"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800" w:right="779" w:hanging="178"/>
        <w:spacing w:after="0" w:line="271"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health care professionals beginning in 2022, and teaching hospitals, as well as ownership and investment interests held by the physicians described above and their immediate family members;</w:t>
      </w:r>
    </w:p>
    <w:p>
      <w:pPr>
        <w:spacing w:after="0" w:line="70" w:lineRule="exact"/>
        <w:rPr>
          <w:rFonts w:ascii="Arial" w:cs="Arial" w:eastAsia="Arial" w:hAnsi="Arial"/>
          <w:sz w:val="17"/>
          <w:szCs w:val="17"/>
          <w:color w:val="auto"/>
        </w:rPr>
      </w:pPr>
    </w:p>
    <w:p>
      <w:pPr>
        <w:ind w:left="1800" w:right="739" w:hanging="178"/>
        <w:spacing w:after="0" w:line="267"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78" w:lineRule="exact"/>
        <w:rPr>
          <w:rFonts w:ascii="Arial" w:cs="Arial" w:eastAsia="Arial" w:hAnsi="Arial"/>
          <w:sz w:val="17"/>
          <w:szCs w:val="17"/>
          <w:color w:val="auto"/>
        </w:rPr>
      </w:pPr>
    </w:p>
    <w:p>
      <w:pPr>
        <w:ind w:left="1800" w:right="759" w:hanging="178"/>
        <w:spacing w:after="0" w:line="279"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European and other foreign law equivalents of each of the laws, including reporting requirements detailing interactions with and payments to healthcare providers and laws governing the privacy and security of certain protected information, such as Regulation 2016/679, known as the General Data Protection Regulation, or GDPR, which imposes obligations and restrictions on the collection</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spacing w:after="0" w:line="255" w:lineRule="auto"/>
        <w:rPr>
          <w:sz w:val="20"/>
          <w:szCs w:val="20"/>
          <w:color w:val="auto"/>
        </w:rPr>
      </w:pPr>
      <w:r>
        <w:rPr>
          <w:rFonts w:ascii="Arial" w:cs="Arial" w:eastAsia="Arial" w:hAnsi="Arial"/>
          <w:sz w:val="17"/>
          <w:szCs w:val="17"/>
          <w:color w:val="auto"/>
        </w:rPr>
        <w:t>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99" w:lineRule="exact"/>
        <w:rPr>
          <w:sz w:val="20"/>
          <w:szCs w:val="20"/>
          <w:color w:val="auto"/>
        </w:rPr>
      </w:pPr>
    </w:p>
    <w:p>
      <w:pPr>
        <w:ind w:left="1260" w:right="759" w:firstLine="360"/>
        <w:spacing w:after="0" w:line="251"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in the EU and European Economic Area, or EEA, related to privacy, data protection and data security. Our actual or perceived failure to comply with such obligations could harm our business.</w:t>
      </w:r>
    </w:p>
    <w:p>
      <w:pPr>
        <w:spacing w:after="0" w:line="114"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are subject to diverse laws and regulations relating to data privacy and security in the EU and eventually in the EEA, including Regulation 2016/679, known as the GDPR. The GDPR applies extra-territorially and implements stringent operational requirements for controllers and processors of personal data. New global privacy rules are being enacted and existing ones are being updated and strengthened. We are likely to be required to expend capital and other resources to ensure ongoing compliance with these laws and regulations.</w:t>
      </w:r>
    </w:p>
    <w:p>
      <w:pPr>
        <w:spacing w:after="0" w:line="122" w:lineRule="exact"/>
        <w:rPr>
          <w:sz w:val="20"/>
          <w:szCs w:val="20"/>
          <w:color w:val="auto"/>
        </w:rPr>
      </w:pPr>
    </w:p>
    <w:p>
      <w:pPr>
        <w:ind w:left="1260" w:right="959" w:firstLine="360"/>
        <w:spacing w:after="0" w:line="238" w:lineRule="auto"/>
        <w:rPr>
          <w:sz w:val="20"/>
          <w:szCs w:val="20"/>
          <w:color w:val="auto"/>
        </w:rPr>
      </w:pPr>
      <w:r>
        <w:rPr>
          <w:rFonts w:ascii="Arial" w:cs="Arial" w:eastAsia="Arial" w:hAnsi="Arial"/>
          <w:sz w:val="18"/>
          <w:szCs w:val="18"/>
          <w:color w:val="auto"/>
        </w:rPr>
        <w:t>Complying with these numerous, complex and often changing regulations is expensive and difficult. Failure by us, any partners, our service providers, or our employees or contractors to comply with the GDPR could result in regulatory investigations, enforcement notices and/or fines of up to the higher of €20 million or up to 4% of our total worldwide annual turnover. In addition to the foregoing, a breach of privacy laws or data security laws, particularly those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113"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As a data controller, we are accountable for any third-party service providers we engage to process personal data on our behalf, including our CROs. We attempt to mitigate the associated risks by performing security assessments and due diligence of our vendors and requiring all such third-party providers with data access to sign agreements, and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24"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Where we transfer personal data out of the EU and EEA, we do so in compliance with the relevant data export requirements from time to time. There is currently ongoing litigation challenging the commonly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used transfer mechanism, the EU Commission approved model clauses. In addition, the U.S. Privacy Shield is currently under review by the European Commission. As such, it is uncertain whether the Privacy Shield framework and/or model clauses will be invalidated in the near future. These changes may require us to find alternative bases for the compliant transfer of personal data outside the EEA and we are monitoring developments in this area. Further, the withdrawal of the United Kingdom from the EU has created uncertainty with regard to the status of the United Kingdom as an “adequate country” for the purposes of data transfers outside the EEA. In particular, it is unclear how data transfers to and from the United Kingdom will be regulated. These changes may require us to find alternative bases for the compliant transfer of personal data outside the United Kingdom and we are monitoring developments in this area.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112"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We are also subject to evolving European privacy laws on cookies, and if we commence any EU marketing campaigns, also on e -marketing.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 party cookies, web beacons and similar technology and significantly increases fining powers to the greater of € 20 million or 4% of total global annual revenue. While the e -Privacy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188" w:lineRule="exact"/>
        <w:rPr>
          <w:sz w:val="20"/>
          <w:szCs w:val="20"/>
          <w:color w:val="auto"/>
        </w:rPr>
      </w:pPr>
    </w:p>
    <w:p>
      <w:pPr>
        <w:ind w:left="1260" w:right="939"/>
        <w:spacing w:after="0" w:line="362" w:lineRule="auto"/>
        <w:rPr>
          <w:sz w:val="20"/>
          <w:szCs w:val="20"/>
          <w:color w:val="auto"/>
        </w:rPr>
      </w:pPr>
      <w:r>
        <w:rPr>
          <w:rFonts w:ascii="Arial" w:cs="Arial" w:eastAsia="Arial" w:hAnsi="Arial"/>
          <w:sz w:val="15"/>
          <w:szCs w:val="15"/>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33"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123"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192"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8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62" w:lineRule="auto"/>
        <w:rPr>
          <w:sz w:val="20"/>
          <w:szCs w:val="20"/>
          <w:color w:val="auto"/>
        </w:rPr>
      </w:pPr>
      <w:r>
        <w:rPr>
          <w:rFonts w:ascii="Arial" w:cs="Arial" w:eastAsia="Arial" w:hAnsi="Arial"/>
          <w:sz w:val="17"/>
          <w:szCs w:val="17"/>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91"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 corruption laws or Trade Control laws by U.K., U.S. or other authorities, even if it is ultimately determined that we did not violate such laws, could be costly and time consuming, require significant personnel resources and harm our reputation.</w:t>
      </w:r>
    </w:p>
    <w:p>
      <w:pPr>
        <w:spacing w:after="0" w:line="126" w:lineRule="exact"/>
        <w:rPr>
          <w:sz w:val="20"/>
          <w:szCs w:val="20"/>
          <w:color w:val="auto"/>
        </w:rPr>
      </w:pPr>
    </w:p>
    <w:p>
      <w:pPr>
        <w:ind w:left="1260" w:right="859" w:firstLine="360"/>
        <w:spacing w:after="0" w:line="241"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29" w:lineRule="exact"/>
        <w:rPr>
          <w:sz w:val="20"/>
          <w:szCs w:val="20"/>
          <w:color w:val="auto"/>
        </w:rPr>
      </w:pPr>
    </w:p>
    <w:p>
      <w:pPr>
        <w:ind w:left="1260" w:right="1419"/>
        <w:spacing w:after="0" w:line="444" w:lineRule="auto"/>
        <w:rPr>
          <w:sz w:val="20"/>
          <w:szCs w:val="20"/>
          <w:color w:val="auto"/>
        </w:rPr>
      </w:pPr>
      <w:r>
        <w:rPr>
          <w:rFonts w:ascii="Arial" w:cs="Arial" w:eastAsia="Arial" w:hAnsi="Arial"/>
          <w:sz w:val="13"/>
          <w:szCs w:val="13"/>
          <w:b w:val="1"/>
          <w:bCs w:val="1"/>
          <w:i w:val="1"/>
          <w:iCs w:val="1"/>
          <w:color w:val="auto"/>
        </w:rPr>
        <w:t>We operate in a highly competitive and rapidly changing industry, which may result in others discovering, developing or commercializing competing products before or more successfully than we do.</w:t>
      </w:r>
    </w:p>
    <w:p>
      <w:pPr>
        <w:ind w:left="1260" w:right="739" w:firstLine="360"/>
        <w:spacing w:after="0" w:line="238"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107"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Given the number of products already on the market to treat COPD and CF, we expect to face intense competition if ensifentrine is approved for these indications. Companies including Boehringer Ingelheim, GlaxoSmithKline, AstraZeneca, Mylan, Novartis, Vertex and Sunovion currently have treatments on the market 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70" w:lineRule="exact"/>
        <w:rPr>
          <w:sz w:val="20"/>
          <w:szCs w:val="20"/>
          <w:color w:val="auto"/>
        </w:rPr>
      </w:pPr>
    </w:p>
    <w:p>
      <w:pPr>
        <w:ind w:left="1800" w:right="739" w:hanging="178"/>
        <w:spacing w:after="0" w:line="259"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78"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more convenient or easier to administer, or have fewer or less severe side effects;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products and technologies;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195" w:lineRule="exact"/>
        <w:rPr>
          <w:sz w:val="20"/>
          <w:szCs w:val="20"/>
          <w:color w:val="auto"/>
        </w:rPr>
      </w:pPr>
    </w:p>
    <w:p>
      <w:pPr>
        <w:ind w:left="1260" w:right="739"/>
        <w:spacing w:after="0" w:line="294" w:lineRule="auto"/>
        <w:rPr>
          <w:sz w:val="20"/>
          <w:szCs w:val="20"/>
          <w:color w:val="auto"/>
        </w:rPr>
      </w:pPr>
      <w:r>
        <w:rPr>
          <w:rFonts w:ascii="Arial" w:cs="Arial" w:eastAsia="Arial" w:hAnsi="Arial"/>
          <w:sz w:val="16"/>
          <w:szCs w:val="16"/>
          <w:b w:val="1"/>
          <w:bCs w:val="1"/>
          <w:i w:val="1"/>
          <w:iCs w:val="1"/>
          <w:color w:val="auto"/>
        </w:rPr>
        <w:t>We may be unable to obtain orphan drug designation from the FDA or EU for ensifentrine for the treatment of CF, and even if we do obtain such designations, we may be unable to obtain or maintain the benefits associated with orphan drug designation, including the potential for orphan drug exclusivity.</w:t>
      </w:r>
    </w:p>
    <w:p>
      <w:pPr>
        <w:spacing w:after="0" w:line="66"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 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24"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120"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We plan to seek orphan drug designation from the FDA and the EMA for ensifentrine for the treatment of CF. Even if we are able to obtain orphan designation for ensifentrine in the United States and/or the EU, we may not be the first to obtain marketing approval for any particular orphan indication due to the uncertainties associated with developing pharmaceutical products, which could prevent us from marketing ensifentrine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In addition, the FDA or the EMA can subsequently approve products with the same active moiety for the same condition if the FDA or the EMA concludes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spacing w:after="0" w:line="97"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response to lawsuits against the FDA in 2014 and 2016, Congress included a provision in the Food and Drug Administration Reauthorization Act, or FDARA, enacted in August 2017, that amended the FDCA to require that, as a condition to awarding exclusivity to a designated orphan drug that is the same as a previously approved drug, such drug must demonstrate clinical superiority over the previously approved drug upon approval. In the future, there is the potential for additional legal challenges to the FDA’s orphan drug framework, and it is uncertain how new challenges, regulations, or Congressional actions in the orphan drug space might affect our business.</w:t>
      </w:r>
    </w:p>
    <w:p>
      <w:pPr>
        <w:spacing w:after="0" w:line="194" w:lineRule="exact"/>
        <w:rPr>
          <w:sz w:val="20"/>
          <w:szCs w:val="20"/>
          <w:color w:val="auto"/>
        </w:rPr>
      </w:pPr>
    </w:p>
    <w:p>
      <w:pPr>
        <w:ind w:left="1260" w:right="1039"/>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7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11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11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ectPr>
          <w:pgSz w:w="11900" w:h="16838" w:orient="portrait"/>
          <w:cols w:equalWidth="0" w:num="1">
            <w:col w:w="10139"/>
          </w:cols>
          <w:pgMar w:left="320" w:top="131"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97"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12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ind w:left="1260" w:right="1259"/>
        <w:spacing w:after="0" w:line="277" w:lineRule="auto"/>
        <w:rPr>
          <w:sz w:val="20"/>
          <w:szCs w:val="20"/>
          <w:color w:val="auto"/>
        </w:rPr>
      </w:pPr>
      <w:r>
        <w:rPr>
          <w:rFonts w:ascii="Arial" w:cs="Arial" w:eastAsia="Arial" w:hAnsi="Arial"/>
          <w:sz w:val="18"/>
          <w:szCs w:val="18"/>
          <w:b w:val="1"/>
          <w:bCs w:val="1"/>
          <w:i w:val="1"/>
          <w:iCs w:val="1"/>
          <w:color w:val="auto"/>
        </w:rPr>
        <w:t>Ensifentrine may not gain market acceptance, in which case our ability to generate product revenues will be compromised.</w:t>
      </w:r>
    </w:p>
    <w:p>
      <w:pPr>
        <w:spacing w:after="0" w:line="103"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Even if the FDA, the EMA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68" w:lineRule="exact"/>
        <w:rPr>
          <w:sz w:val="20"/>
          <w:szCs w:val="20"/>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ensifentrine is approved;</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frequency, and ease of administration;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effectiveness;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17"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15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99"/>
        <w:spacing w:after="0" w:line="248"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If we are unable to develop sales, marketing and distribution capabilities on our own or through collaborations, we may not be successful in commercializing ensifentrine.</w:t>
      </w:r>
    </w:p>
    <w:p>
      <w:pPr>
        <w:spacing w:after="0" w:line="101" w:lineRule="exact"/>
        <w:rPr>
          <w:sz w:val="20"/>
          <w:szCs w:val="20"/>
          <w:color w:val="auto"/>
        </w:rPr>
      </w:pPr>
    </w:p>
    <w:p>
      <w:pPr>
        <w:ind w:left="1260" w:right="899" w:firstLine="360"/>
        <w:spacing w:after="0" w:line="238"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If ensifentrine is approved, we intend either to establish a sales and marketing organization with technical expertise and supporting distribution capabilities to commercialize ensifentrine, or to outsource this function to a third party. Either of these options would be expensive and time consuming. Some or all of these costs may be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spacing w:after="0" w:line="124" w:lineRule="exact"/>
        <w:rPr>
          <w:sz w:val="20"/>
          <w:szCs w:val="20"/>
          <w:color w:val="auto"/>
        </w:rPr>
      </w:pPr>
    </w:p>
    <w:p>
      <w:pPr>
        <w:ind w:left="1260" w:right="859" w:firstLine="360"/>
        <w:spacing w:after="0" w:line="238" w:lineRule="auto"/>
        <w:rPr>
          <w:sz w:val="20"/>
          <w:szCs w:val="20"/>
          <w:color w:val="auto"/>
        </w:rPr>
      </w:pPr>
      <w:r>
        <w:rPr>
          <w:rFonts w:ascii="Arial" w:cs="Arial" w:eastAsia="Arial" w:hAnsi="Arial"/>
          <w:sz w:val="18"/>
          <w:szCs w:val="18"/>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1260" w:right="879"/>
        <w:spacing w:after="0" w:line="284"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8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0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0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182"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b w:val="1"/>
          <w:bCs w:val="1"/>
          <w:i w:val="1"/>
          <w:iCs w:val="1"/>
          <w:color w:val="auto"/>
        </w:rPr>
        <w:t>If we fail to enter into new strategic relationships for ensifentrine, our business, research and development and commercialization prospects could be adversely affected.</w:t>
      </w:r>
    </w:p>
    <w:p>
      <w:pPr>
        <w:spacing w:after="0" w:line="103"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MDI formulation of ensifentrine for the maintenance treatment of COPD and potentially asthma and other respiratory diseases.</w:t>
      </w:r>
    </w:p>
    <w:p>
      <w:pPr>
        <w:spacing w:after="0" w:line="10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71" w:lineRule="exact"/>
        <w:rPr>
          <w:sz w:val="20"/>
          <w:szCs w:val="20"/>
          <w:color w:val="auto"/>
        </w:rPr>
      </w:pPr>
    </w:p>
    <w:p>
      <w:pPr>
        <w:ind w:left="1800" w:right="71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development of ensifentrine;</w:t>
      </w:r>
    </w:p>
    <w:p>
      <w:pPr>
        <w:spacing w:after="0" w:line="102"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collaborator may experience financial difficulties;</w:t>
      </w:r>
    </w:p>
    <w:p>
      <w:pPr>
        <w:spacing w:after="0" w:line="144"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89"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89"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 or</w:t>
      </w:r>
    </w:p>
    <w:p>
      <w:pPr>
        <w:spacing w:after="0" w:line="102"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2" w:lineRule="auto"/>
        <w:rPr>
          <w:sz w:val="20"/>
          <w:szCs w:val="20"/>
          <w:color w:val="auto"/>
        </w:rPr>
      </w:pPr>
      <w:r>
        <w:rPr>
          <w:rFonts w:ascii="Arial" w:cs="Arial" w:eastAsia="Arial" w:hAnsi="Arial"/>
          <w:sz w:val="16"/>
          <w:szCs w:val="16"/>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87"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have limited personnel with experience in manufacturing, and we do not own facilities for manufacturing ensifentrine and its derived formulated products. Instead, we rely on and expect to continue to rely on third-party contract manufacturing organizations, or CMOs, for the supply of cGMP-grade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316" w:lineRule="exact"/>
        <w:rPr>
          <w:sz w:val="20"/>
          <w:szCs w:val="20"/>
          <w:color w:val="auto"/>
        </w:rPr>
      </w:pPr>
    </w:p>
    <w:p>
      <w:pPr>
        <w:ind w:left="1260" w:right="719" w:firstLine="360"/>
        <w:spacing w:after="0" w:line="236" w:lineRule="auto"/>
        <w:rPr>
          <w:sz w:val="20"/>
          <w:szCs w:val="20"/>
          <w:color w:val="auto"/>
        </w:rPr>
      </w:pPr>
      <w:r>
        <w:rPr>
          <w:rFonts w:ascii="Arial" w:cs="Arial" w:eastAsia="Arial" w:hAnsi="Arial"/>
          <w:sz w:val="18"/>
          <w:szCs w:val="18"/>
          <w:color w:val="auto"/>
        </w:rPr>
        <w:t>We rely on and will continue to rely on CMOs to purchase from third -party suppliers the materials necessary to produce ensifentrine and its derived formulated products and the inhalation and nebulization devices to deliver ensifentrine. We do not and will not have any control over the process or timing of the acquisition of these supplies by any CMO or its third-party suppliers, or the quality or quantity of such supplies. Moreover, we currently do not have any agreements for the commercial production of these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inhalation and nebulization devices we use for delivery of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w:t>
      </w:r>
    </w:p>
    <w:p>
      <w:pPr>
        <w:sectPr>
          <w:pgSz w:w="11900" w:h="16838" w:orient="portrait"/>
          <w:cols w:equalWidth="0" w:num="1">
            <w:col w:w="10139"/>
          </w:cols>
          <w:pgMar w:left="32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w:t>
      </w:r>
    </w:p>
    <w:p>
      <w:pPr>
        <w:spacing w:after="0" w:line="106"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Intellectual Property and Information Technology</w:t>
      </w:r>
    </w:p>
    <w:p>
      <w:pPr>
        <w:spacing w:after="0" w:line="229" w:lineRule="exact"/>
        <w:rPr>
          <w:sz w:val="20"/>
          <w:szCs w:val="20"/>
          <w:color w:val="auto"/>
        </w:rPr>
      </w:pPr>
    </w:p>
    <w:p>
      <w:pPr>
        <w:ind w:left="1260" w:right="939"/>
        <w:spacing w:after="0" w:line="286" w:lineRule="auto"/>
        <w:rPr>
          <w:sz w:val="20"/>
          <w:szCs w:val="20"/>
          <w:color w:val="auto"/>
        </w:rPr>
      </w:pPr>
      <w:r>
        <w:rPr>
          <w:rFonts w:ascii="Arial" w:cs="Arial" w:eastAsia="Arial" w:hAnsi="Arial"/>
          <w:sz w:val="17"/>
          <w:szCs w:val="17"/>
          <w:b w:val="1"/>
          <w:bCs w:val="1"/>
          <w:i w:val="1"/>
          <w:i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9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MDI, and the methods for treating patients with respiratory diseases using ensifentrine alone or in combination with other available products, or on in-licensing such rights. Our ensifentrine development program relies on the patents and patent applications assigned and know-how licensed from Ligand.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114"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ectPr>
          <w:pgSz w:w="11900" w:h="16838" w:orient="portrait"/>
          <w:cols w:equalWidth="0" w:num="1">
            <w:col w:w="10139"/>
          </w:cols>
          <w:pgMar w:left="32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 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95" w:lineRule="exact"/>
        <w:rPr>
          <w:sz w:val="20"/>
          <w:szCs w:val="20"/>
          <w:color w:val="auto"/>
        </w:rPr>
      </w:pPr>
    </w:p>
    <w:p>
      <w:pPr>
        <w:ind w:left="1260" w:right="799"/>
        <w:spacing w:after="0" w:line="362" w:lineRule="auto"/>
        <w:rPr>
          <w:sz w:val="20"/>
          <w:szCs w:val="20"/>
          <w:color w:val="auto"/>
        </w:rPr>
      </w:pPr>
      <w:r>
        <w:rPr>
          <w:rFonts w:ascii="Arial" w:cs="Arial" w:eastAsia="Arial" w:hAnsi="Arial"/>
          <w:sz w:val="15"/>
          <w:szCs w:val="15"/>
          <w:b w:val="1"/>
          <w:bCs w:val="1"/>
          <w:i w:val="1"/>
          <w:i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20"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126"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91" w:lineRule="exact"/>
        <w:rPr>
          <w:sz w:val="20"/>
          <w:szCs w:val="20"/>
          <w:color w:val="auto"/>
        </w:rPr>
      </w:pPr>
    </w:p>
    <w:p>
      <w:pPr>
        <w:ind w:left="1260" w:right="859"/>
        <w:spacing w:after="0" w:line="444" w:lineRule="auto"/>
        <w:rPr>
          <w:sz w:val="20"/>
          <w:szCs w:val="20"/>
          <w:color w:val="auto"/>
        </w:rPr>
      </w:pPr>
      <w:r>
        <w:rPr>
          <w:rFonts w:ascii="Arial" w:cs="Arial" w:eastAsia="Arial" w:hAnsi="Arial"/>
          <w:sz w:val="13"/>
          <w:szCs w:val="13"/>
          <w:b w:val="1"/>
          <w:bCs w:val="1"/>
          <w:i w:val="1"/>
          <w:iCs w:val="1"/>
          <w:color w:val="auto"/>
        </w:rPr>
        <w:t>We may be involved in lawsuits to protect or enforce patents covering ensifentrine, which could be expensive, time consuming and unsuccessful, and issued patents could be found invalid or unenforceable if challenged in court.</w:t>
      </w:r>
    </w:p>
    <w:p>
      <w:pPr>
        <w:ind w:left="1260" w:right="719" w:firstLine="360"/>
        <w:spacing w:after="0" w:line="238"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48" w:lineRule="auto"/>
        <w:rPr>
          <w:sz w:val="20"/>
          <w:szCs w:val="20"/>
          <w:color w:val="auto"/>
        </w:rPr>
      </w:pPr>
      <w:r>
        <w:rPr>
          <w:rFonts w:ascii="Arial" w:cs="Arial" w:eastAsia="Arial" w:hAnsi="Arial"/>
          <w:sz w:val="18"/>
          <w:szCs w:val="18"/>
          <w:color w:val="auto"/>
        </w:rPr>
        <w:t>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10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121"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 and ordinary shares.</w:t>
      </w:r>
    </w:p>
    <w:p>
      <w:pPr>
        <w:spacing w:after="0" w:line="189" w:lineRule="exact"/>
        <w:rPr>
          <w:sz w:val="20"/>
          <w:szCs w:val="20"/>
          <w:color w:val="auto"/>
        </w:rPr>
      </w:pPr>
    </w:p>
    <w:p>
      <w:pPr>
        <w:ind w:left="1260" w:right="101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33"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spacing w:after="0" w:line="110"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11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13"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4"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8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ectPr>
          <w:pgSz w:w="11900" w:h="16838" w:orient="portrait"/>
          <w:cols w:equalWidth="0" w:num="1">
            <w:col w:w="10139"/>
          </w:cols>
          <w:pgMar w:left="320" w:top="132"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91" w:lineRule="auto"/>
        <w:rPr>
          <w:sz w:val="20"/>
          <w:szCs w:val="20"/>
          <w:color w:val="auto"/>
        </w:rPr>
      </w:pPr>
      <w:r>
        <w:rPr>
          <w:rFonts w:ascii="Arial" w:cs="Arial" w:eastAsia="Arial" w:hAnsi="Arial"/>
          <w:sz w:val="17"/>
          <w:szCs w:val="17"/>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66"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We are party to a license agreement with Ligand, under which we in- 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185" w:lineRule="exact"/>
        <w:rPr>
          <w:sz w:val="20"/>
          <w:szCs w:val="20"/>
          <w:color w:val="auto"/>
        </w:rPr>
      </w:pPr>
    </w:p>
    <w:p>
      <w:pPr>
        <w:ind w:left="1260" w:right="699"/>
        <w:spacing w:after="0" w:line="291" w:lineRule="auto"/>
        <w:rPr>
          <w:sz w:val="20"/>
          <w:szCs w:val="20"/>
          <w:color w:val="auto"/>
        </w:rPr>
      </w:pPr>
      <w:r>
        <w:rPr>
          <w:rFonts w:ascii="Arial" w:cs="Arial" w:eastAsia="Arial" w:hAnsi="Arial"/>
          <w:sz w:val="17"/>
          <w:szCs w:val="17"/>
          <w:b w:val="1"/>
          <w:bCs w:val="1"/>
          <w:i w:val="1"/>
          <w:iCs w:val="1"/>
          <w:color w:val="auto"/>
        </w:rPr>
        <w:t>We may not be successful in maintaining the necessary rights to ensifentrine or obtaining other intellectual property rights important to our business through acquisitions and in-licenses.</w:t>
      </w:r>
    </w:p>
    <w:p>
      <w:pPr>
        <w:spacing w:after="0" w:line="79"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 -party intellectual property rights that we identify as necessary for ensifentrine. The licensing and acquisition of third-party intellectual property rights is a competitive area, and a number of more established companies also are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w:t>
      </w:r>
    </w:p>
    <w:p>
      <w:pPr>
        <w:spacing w:after="0" w:line="126"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192"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65"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w:t>
      </w:r>
    </w:p>
    <w:p>
      <w:pPr>
        <w:sectPr>
          <w:pgSz w:w="11900" w:h="16838" w:orient="portrait"/>
          <w:cols w:equalWidth="0" w:num="1">
            <w:col w:w="10139"/>
          </w:cols>
          <w:pgMar w:left="32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effectively and our business may be adversely affected. If other entities use trademarks similar to ours in different jurisdictions, or have senior rights to ours, it could interfere with our use of our current trademarks throughout the world.</w:t>
      </w:r>
    </w:p>
    <w:p>
      <w:pPr>
        <w:spacing w:after="0" w:line="182" w:lineRule="exact"/>
        <w:rPr>
          <w:sz w:val="20"/>
          <w:szCs w:val="20"/>
          <w:color w:val="auto"/>
        </w:rPr>
      </w:pPr>
    </w:p>
    <w:p>
      <w:pPr>
        <w:ind w:left="1260" w:right="1259"/>
        <w:spacing w:after="0" w:line="24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101"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 -provisional filing date. The issued patents covering the composition of matter for ensifentrine expire in 2020, and our other issued patents will expire in 2031,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16"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3" w:lineRule="exact"/>
        <w:rPr>
          <w:sz w:val="20"/>
          <w:szCs w:val="20"/>
          <w:color w:val="auto"/>
        </w:rPr>
      </w:pPr>
    </w:p>
    <w:p>
      <w:pPr>
        <w:ind w:left="1260" w:right="999"/>
        <w:spacing w:after="0" w:line="362" w:lineRule="auto"/>
        <w:rPr>
          <w:sz w:val="20"/>
          <w:szCs w:val="20"/>
          <w:color w:val="auto"/>
        </w:rPr>
      </w:pPr>
      <w:r>
        <w:rPr>
          <w:rFonts w:ascii="Arial" w:cs="Arial" w:eastAsia="Arial" w:hAnsi="Arial"/>
          <w:sz w:val="15"/>
          <w:szCs w:val="15"/>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33"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100"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Competitors may use our or our licensors’ or collaborators’ technologies in jurisdictions where we have not obtained patent protection to develop their own products and, further, may export otherwise infringing</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43" w:lineRule="auto"/>
        <w:rPr>
          <w:sz w:val="20"/>
          <w:szCs w:val="20"/>
          <w:color w:val="auto"/>
        </w:rPr>
      </w:pPr>
      <w:r>
        <w:rPr>
          <w:rFonts w:ascii="Arial" w:cs="Arial" w:eastAsia="Arial" w:hAnsi="Arial"/>
          <w:sz w:val="18"/>
          <w:szCs w:val="18"/>
          <w:color w:val="auto"/>
        </w:rPr>
        <w:t>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07"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1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our competitive advantage.</w:t>
      </w:r>
    </w:p>
    <w:p>
      <w:pPr>
        <w:spacing w:after="0" w:line="181"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1800" w:right="759" w:hanging="178"/>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be able to make compounds that are the same as or similar to our product candidates but that are not covered by the claims of the patents that we own or have exclusively licensed;</w:t>
      </w:r>
    </w:p>
    <w:p>
      <w:pPr>
        <w:spacing w:after="0" w:line="38" w:lineRule="exact"/>
        <w:rPr>
          <w:rFonts w:ascii="Arial" w:cs="Arial" w:eastAsia="Arial" w:hAnsi="Arial"/>
          <w:sz w:val="17"/>
          <w:szCs w:val="17"/>
          <w:color w:val="auto"/>
        </w:rPr>
      </w:pPr>
    </w:p>
    <w:p>
      <w:pPr>
        <w:ind w:left="1800" w:right="143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patents of third parties may impair our ability to develop or commercialize our product candidates.</w:t>
      </w:r>
    </w:p>
    <w:p>
      <w:pPr>
        <w:spacing w:after="0" w:line="62" w:lineRule="exact"/>
        <w:rPr>
          <w:rFonts w:ascii="Arial" w:cs="Arial" w:eastAsia="Arial" w:hAnsi="Arial"/>
          <w:sz w:val="18"/>
          <w:szCs w:val="18"/>
          <w:color w:val="auto"/>
        </w:rPr>
      </w:pPr>
    </w:p>
    <w:p>
      <w:pPr>
        <w:jc w:val="both"/>
        <w:ind w:left="1800" w:right="779" w:hanging="178"/>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75" w:lineRule="exact"/>
        <w:rPr>
          <w:rFonts w:ascii="Arial" w:cs="Arial" w:eastAsia="Arial" w:hAnsi="Arial"/>
          <w:sz w:val="18"/>
          <w:szCs w:val="18"/>
          <w:color w:val="auto"/>
        </w:rPr>
      </w:pPr>
    </w:p>
    <w:p>
      <w:pPr>
        <w:ind w:left="1800" w:right="157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licensors or any future collaborators might not have been the first to file patent applications covering certain of our inventions.</w:t>
      </w:r>
    </w:p>
    <w:p>
      <w:pPr>
        <w:spacing w:after="0" w:line="62" w:lineRule="exact"/>
        <w:rPr>
          <w:rFonts w:ascii="Arial" w:cs="Arial" w:eastAsia="Arial" w:hAnsi="Arial"/>
          <w:sz w:val="18"/>
          <w:szCs w:val="18"/>
          <w:color w:val="auto"/>
        </w:rPr>
      </w:pPr>
    </w:p>
    <w:p>
      <w:pPr>
        <w:ind w:left="1800" w:right="131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800" w:right="979" w:hanging="178"/>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79" w:hanging="178"/>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1800" w:right="1379" w:hanging="178"/>
        <w:spacing w:after="0" w:line="30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Third parties performing manufacturing or testing for us using our product candidates or technologies could use the intellectual property of others without obtaining a proper license.</w:t>
      </w:r>
    </w:p>
    <w:p>
      <w:pPr>
        <w:spacing w:after="0" w:line="38" w:lineRule="exact"/>
        <w:rPr>
          <w:rFonts w:ascii="Arial" w:cs="Arial" w:eastAsia="Arial" w:hAnsi="Arial"/>
          <w:sz w:val="17"/>
          <w:szCs w:val="17"/>
          <w:color w:val="auto"/>
        </w:rPr>
      </w:pPr>
    </w:p>
    <w:p>
      <w:pPr>
        <w:ind w:left="1800" w:hanging="178"/>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w:t>
      </w:r>
    </w:p>
    <w:p>
      <w:pPr>
        <w:spacing w:after="0" w:line="225"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ensifentrine or any future product candidates.</w:t>
      </w:r>
    </w:p>
    <w:p>
      <w:pPr>
        <w:spacing w:after="0" w:line="79" w:lineRule="exact"/>
        <w:rPr>
          <w:sz w:val="20"/>
          <w:szCs w:val="20"/>
          <w:color w:val="auto"/>
        </w:rPr>
      </w:pPr>
    </w:p>
    <w:p>
      <w:pPr>
        <w:ind w:left="1260" w:right="699" w:firstLine="360"/>
        <w:spacing w:after="0" w:line="29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8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127"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10"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11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92"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trade secrets and protect other proprietary information.</w:t>
      </w:r>
    </w:p>
    <w:p>
      <w:pPr>
        <w:spacing w:after="0" w:line="103"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We consider proprietary trade secrets and confidential know-how and unpatented know-how to be important to our business. We may rely on trade secrets or confidential know-how to protect our technology,</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especially where patent protection is believed to be of limited value. However, trade secrets and confidential know-how are difficult to maintain as confidential.</w:t>
      </w:r>
    </w:p>
    <w:p>
      <w:pPr>
        <w:spacing w:after="0" w:line="9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16"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189" w:lineRule="exact"/>
        <w:rPr>
          <w:sz w:val="20"/>
          <w:szCs w:val="20"/>
          <w:color w:val="auto"/>
        </w:rPr>
      </w:pPr>
    </w:p>
    <w:p>
      <w:pPr>
        <w:ind w:left="1260" w:right="1359"/>
        <w:spacing w:after="0" w:line="362"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3"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 -competition agreements in connection with such previous employment. Although we try to ensure that our employees do not use the proprietary information or know- 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13"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89" w:lineRule="exact"/>
        <w:rPr>
          <w:sz w:val="20"/>
          <w:szCs w:val="20"/>
          <w:color w:val="auto"/>
        </w:rPr>
      </w:pPr>
    </w:p>
    <w:p>
      <w:pPr>
        <w:ind w:left="1260" w:right="1199"/>
        <w:spacing w:after="0" w:line="322"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2"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 compliance events that could result in abandonment or lapse of a patent or patent application include failure to respond to</w:t>
      </w: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57" w:lineRule="auto"/>
        <w:rPr>
          <w:sz w:val="20"/>
          <w:szCs w:val="20"/>
          <w:color w:val="auto"/>
        </w:rPr>
      </w:pPr>
      <w:r>
        <w:rPr>
          <w:rFonts w:ascii="Arial" w:cs="Arial" w:eastAsia="Arial" w:hAnsi="Arial"/>
          <w:sz w:val="18"/>
          <w:szCs w:val="18"/>
          <w:color w:val="auto"/>
        </w:rPr>
        <w:t>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188" w:lineRule="exact"/>
        <w:rPr>
          <w:sz w:val="20"/>
          <w:szCs w:val="20"/>
          <w:color w:val="auto"/>
        </w:rPr>
      </w:pPr>
    </w:p>
    <w:p>
      <w:pPr>
        <w:ind w:left="1260" w:right="879"/>
        <w:spacing w:after="0" w:line="381" w:lineRule="auto"/>
        <w:rPr>
          <w:sz w:val="20"/>
          <w:szCs w:val="20"/>
          <w:color w:val="auto"/>
        </w:rPr>
      </w:pPr>
      <w:r>
        <w:rPr>
          <w:rFonts w:ascii="Arial" w:cs="Arial" w:eastAsia="Arial" w:hAnsi="Arial"/>
          <w:sz w:val="15"/>
          <w:szCs w:val="15"/>
          <w:b w:val="1"/>
          <w:bCs w:val="1"/>
          <w:i w:val="1"/>
          <w:iCs w:val="1"/>
          <w:color w:val="auto"/>
        </w:rPr>
        <w:t>Our proprietary information, or that of our manufacturers, suppliers and other parties that we use to conduct our pre-clinical and clinical trials and any future collaborators, may be lost or we may suffer security breaches.</w:t>
      </w:r>
    </w:p>
    <w:p>
      <w:pPr>
        <w:spacing w:after="0" w:line="19"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In the ordinary course of our business, we and our manufacturers, suppliers and third parties that we use to conduct our pre-clinical and clinical trials,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including the GDPR, regulatory penalties, disrupt our operations, damage our reputation, and cause a loss of confidence in us and our ability to conduct clinical trials, which could adversely affect our reputation and delay clinical development of our product candidates.</w:t>
      </w:r>
    </w:p>
    <w:p>
      <w:pPr>
        <w:spacing w:after="0" w:line="197" w:lineRule="exact"/>
        <w:rPr>
          <w:sz w:val="20"/>
          <w:szCs w:val="20"/>
          <w:color w:val="auto"/>
        </w:rPr>
      </w:pPr>
    </w:p>
    <w:p>
      <w:pPr>
        <w:ind w:left="1260" w:right="719"/>
        <w:spacing w:after="0" w:line="311" w:lineRule="auto"/>
        <w:rPr>
          <w:sz w:val="20"/>
          <w:szCs w:val="20"/>
          <w:color w:val="auto"/>
        </w:rPr>
      </w:pPr>
      <w:r>
        <w:rPr>
          <w:rFonts w:ascii="Arial" w:cs="Arial" w:eastAsia="Arial" w:hAnsi="Arial"/>
          <w:sz w:val="16"/>
          <w:szCs w:val="16"/>
          <w:b w:val="1"/>
          <w:bCs w:val="1"/>
          <w:i w:val="1"/>
          <w:iCs w:val="1"/>
          <w:color w:val="auto"/>
        </w:rPr>
        <w:t>Our information technology systems, and that of our manufacturers, suppliers and other third parties that we use to conduct our pre-clinical and clinical trials, could experience serious disruptions that could distract our operations and cause delays in our research and development work.</w:t>
      </w:r>
    </w:p>
    <w:p>
      <w:pPr>
        <w:spacing w:after="0" w:line="81"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information technology and other internal infrastructure systems, including corporate firewalls, servers, leased lines and connection to the Internet, and that of our manufacturers, suppliers and other third parties that we use to conduct our pre-clinical and clinical trials,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b w:val="1"/>
          <w:bCs w:val="1"/>
          <w:i w:val="1"/>
          <w:iCs w:val="1"/>
          <w:color w:val="auto"/>
        </w:rPr>
        <w:t>Our future growth and ability to compete depends on the successful transition of our CEO and CFO roles, retaining our key personnel and recruiting additional qualified personnel.</w:t>
      </w:r>
    </w:p>
    <w:p>
      <w:pPr>
        <w:spacing w:after="0" w:line="10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Our success depends upon the contributions of our key management, scientific and technical personnel, many of whom have been instrumental for us and have substantial experience with ensifentrine and related technologies. On February 3, 2020 we announced the appointment of David Zaccardelli as chief executive officer with effect from February 1, 2020, following the retirement of Jan-Anders Karlsson, PhD. We also announced the appointment of Mark Hahn as chief financial officer with effect from March 1, 2020, as successor to Piers Morgan. We anticipate that we will experience a transitional period until our new chief executive officer and chief financial officer are fully integrated into their new roles and the transition may not be successful. Moreover, we cannot provide any assurance that the transition in leadership will not result in a disruption that adversely impacts our business and employee morale, or that successful working relationships between our other key management individuals and the new chief executive officer and chief financial officer will be developed.</w:t>
      </w:r>
    </w:p>
    <w:p>
      <w:pPr>
        <w:spacing w:after="0" w:line="111"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7"/>
          <w:szCs w:val="17"/>
          <w:color w:val="auto"/>
        </w:rPr>
        <w:t>Our other key management individuals include our general counsel, Claire Poll, our chief medical officer, Kathleen Rickard, our senior vice president, chemistry manufacturing and controls, Peter Spargo, our vice president, regulatory affairs, Desiree Luthman, our vice president of commercial, Christopher Martin, and our vice president, R&amp;D operations and global project management, Tara Rheault.</w:t>
      </w:r>
    </w:p>
    <w:p>
      <w:pPr>
        <w:sectPr>
          <w:pgSz w:w="11900" w:h="16838" w:orient="portrait"/>
          <w:cols w:equalWidth="0" w:num="1">
            <w:col w:w="10139"/>
          </w:cols>
          <w:pgMar w:left="32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180" w:lineRule="exact"/>
        <w:rPr>
          <w:sz w:val="20"/>
          <w:szCs w:val="20"/>
          <w:color w:val="auto"/>
        </w:rPr>
      </w:pPr>
    </w:p>
    <w:p>
      <w:pPr>
        <w:ind w:left="1260" w:right="1059"/>
        <w:spacing w:after="0" w:line="324" w:lineRule="auto"/>
        <w:rPr>
          <w:sz w:val="20"/>
          <w:szCs w:val="20"/>
          <w:color w:val="auto"/>
        </w:rPr>
      </w:pPr>
      <w:r>
        <w:rPr>
          <w:rFonts w:ascii="Arial" w:cs="Arial" w:eastAsia="Arial" w:hAnsi="Arial"/>
          <w:sz w:val="16"/>
          <w:szCs w:val="16"/>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43"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ADSs and Ordinary Shares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price of our ADSs and ordinary shares may be volatile and may fluctuate due to factors beyond our control.</w:t>
      </w:r>
    </w:p>
    <w:p>
      <w:pPr>
        <w:spacing w:after="0" w:line="192"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The trading market for publicly traded emerging biopharmaceutical and drug discovery and development companies has been highly volatile and is likely to remain highly volatile in the future. The market price of our ADSs and ordinary shares may fluctuate significantly due to a variety of factors, including:</w:t>
      </w:r>
    </w:p>
    <w:p>
      <w:pPr>
        <w:spacing w:after="0" w:line="79" w:lineRule="exact"/>
        <w:rPr>
          <w:sz w:val="20"/>
          <w:szCs w:val="20"/>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positive or negative results from, or delays in, clinical trials of ensifentrine;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our competitors’ businesses;</w:t>
      </w:r>
    </w:p>
    <w:p>
      <w:pPr>
        <w:spacing w:after="0" w:line="117" w:lineRule="exact"/>
        <w:rPr>
          <w:rFonts w:ascii="Arial" w:cs="Arial" w:eastAsia="Arial" w:hAnsi="Arial"/>
          <w:sz w:val="18"/>
          <w:szCs w:val="18"/>
          <w:color w:val="auto"/>
        </w:rPr>
      </w:pPr>
    </w:p>
    <w:p>
      <w:pPr>
        <w:ind w:left="1800" w:right="959" w:hanging="178"/>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ensifentrine;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 or commentators;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117" w:lineRule="exact"/>
        <w:rPr>
          <w:rFonts w:ascii="Arial" w:cs="Arial" w:eastAsia="Arial" w:hAnsi="Arial"/>
          <w:sz w:val="18"/>
          <w:szCs w:val="18"/>
          <w:color w:val="auto"/>
        </w:rPr>
      </w:pPr>
    </w:p>
    <w:p>
      <w:pPr>
        <w:ind w:left="1800" w:right="1459" w:hanging="178"/>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ADSs or ordinary shares by us, our senior management or board members, and significant holders of our ADSs or ordinary shares; or</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5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affect the liquidity of our ADSs and ordinary shares.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94" w:lineRule="exact"/>
        <w:rPr>
          <w:sz w:val="20"/>
          <w:szCs w:val="20"/>
          <w:color w:val="auto"/>
        </w:rPr>
      </w:pPr>
    </w:p>
    <w:p>
      <w:pPr>
        <w:jc w:val="both"/>
        <w:ind w:left="1260" w:right="759"/>
        <w:spacing w:after="0" w:line="24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101"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As a U.S. public company, and particularly after we no longer qualify as an emerging growth company, or EGC, we will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 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121"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2" w:lineRule="exact"/>
        <w:rPr>
          <w:sz w:val="20"/>
          <w:szCs w:val="20"/>
          <w:color w:val="auto"/>
        </w:rPr>
      </w:pPr>
    </w:p>
    <w:p>
      <w:pPr>
        <w:ind w:left="1260" w:right="799" w:firstLine="360"/>
        <w:spacing w:after="0" w:line="251"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senior management on our internal control over financial reporting. However, while we remain an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89"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b w:val="1"/>
          <w:bCs w:val="1"/>
          <w:i w:val="1"/>
          <w:iCs w:val="1"/>
          <w:color w:val="auto"/>
        </w:rPr>
        <w:t>The dual listing of our ordinary shares and our ADSs may adversely affect the liquidity and value of our ordinary shares and ADSs.</w:t>
      </w:r>
    </w:p>
    <w:p>
      <w:pPr>
        <w:spacing w:after="0" w:line="90"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Our ADSs are listed on Nasdaq, and our ordinary shares are admitted to trading on AIM. The dual listing of our ADSs and ordinary shares may dilute the liquidity of these securities in one or both markets and may adversely affect the trading market or price for our ADSs or ordinary shares.</w:t>
      </w:r>
    </w:p>
    <w:p>
      <w:pPr>
        <w:spacing w:after="0" w:line="182" w:lineRule="exact"/>
        <w:rPr>
          <w:sz w:val="20"/>
          <w:szCs w:val="20"/>
          <w:color w:val="auto"/>
        </w:rPr>
      </w:pPr>
    </w:p>
    <w:p>
      <w:pPr>
        <w:ind w:left="1260" w:right="759"/>
        <w:spacing w:after="0" w:line="248" w:lineRule="auto"/>
        <w:rPr>
          <w:sz w:val="20"/>
          <w:szCs w:val="20"/>
          <w:color w:val="auto"/>
        </w:rPr>
      </w:pPr>
      <w:r>
        <w:rPr>
          <w:rFonts w:ascii="Arial" w:cs="Arial" w:eastAsia="Arial" w:hAnsi="Arial"/>
          <w:sz w:val="18"/>
          <w:szCs w:val="18"/>
          <w:b w:val="1"/>
          <w:bCs w:val="1"/>
          <w:i w:val="1"/>
          <w:i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114" w:lineRule="exact"/>
        <w:rPr>
          <w:sz w:val="20"/>
          <w:szCs w:val="20"/>
          <w:color w:val="auto"/>
        </w:rPr>
      </w:pPr>
    </w:p>
    <w:p>
      <w:pPr>
        <w:jc w:val="both"/>
        <w:ind w:left="1260" w:right="859" w:firstLine="360"/>
        <w:spacing w:after="0" w:line="294" w:lineRule="auto"/>
        <w:rPr>
          <w:sz w:val="20"/>
          <w:szCs w:val="20"/>
          <w:color w:val="auto"/>
        </w:rPr>
      </w:pPr>
      <w:r>
        <w:rPr>
          <w:rFonts w:ascii="Arial" w:cs="Arial" w:eastAsia="Arial" w:hAnsi="Arial"/>
          <w:sz w:val="16"/>
          <w:szCs w:val="16"/>
          <w:color w:val="auto"/>
        </w:rPr>
        <w:t>As of July 31, 2020, our senior management, board of directors and greater than 5% shareholders and their respective affiliates, in the aggregate, owned approximately 64.5% of our ordinary shares (including ordinary shares represented by ADSs) assuming no exercise of outstanding options or warrants, and</w:t>
      </w: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38" w:lineRule="auto"/>
        <w:rPr>
          <w:sz w:val="20"/>
          <w:szCs w:val="20"/>
          <w:color w:val="auto"/>
        </w:rPr>
      </w:pPr>
      <w:r>
        <w:rPr>
          <w:rFonts w:ascii="Arial" w:cs="Arial" w:eastAsia="Arial" w:hAnsi="Arial"/>
          <w:sz w:val="18"/>
          <w:szCs w:val="18"/>
          <w:color w:val="auto"/>
        </w:rPr>
        <w:t>approximately 65.4% of our ordinary shares, assuming exercise of all options available for exercise and outstanding warrants.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188"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ADSs or ordinary shares could adversely affect the price of our ADSs and ordinary shares.</w:t>
      </w:r>
    </w:p>
    <w:p>
      <w:pPr>
        <w:spacing w:after="0" w:line="90"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Future sales of a substantial number of our ADSs, or the perception that such sales will occur, could cause a decline in the market price of our ADSs and ordinary shares.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or ordinary shares and our ability to raise capital through an issue of equity securities in the future could be adversely affected.</w:t>
      </w:r>
    </w:p>
    <w:p>
      <w:pPr>
        <w:spacing w:after="0" w:line="175"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114"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191"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our investors’ investments.</w:t>
      </w:r>
    </w:p>
    <w:p>
      <w:pPr>
        <w:spacing w:after="0" w:line="103"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ordinary shares, our ADSs, or of the ordinary shares underlying our ADSs, may not reflect the underlying value of our company.</w:t>
      </w:r>
    </w:p>
    <w:p>
      <w:pPr>
        <w:spacing w:after="0" w:line="182"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89"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w:t>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174"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9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Holders of our ADSs may be subject to limitations on transfer of their ADSs.</w:t>
      </w:r>
    </w:p>
    <w:p>
      <w:pPr>
        <w:spacing w:after="0" w:line="15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rights of our shareholders may differ from the rights typically offered to shareholders of a U.S. corporation.</w:t>
      </w:r>
    </w:p>
    <w:p>
      <w:pPr>
        <w:spacing w:after="0" w:line="19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44"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257" w:lineRule="auto"/>
        <w:rPr>
          <w:sz w:val="20"/>
          <w:szCs w:val="20"/>
          <w:color w:val="auto"/>
        </w:rPr>
      </w:pPr>
      <w:r>
        <w:rPr>
          <w:rFonts w:ascii="Arial" w:cs="Arial" w:eastAsia="Arial" w:hAnsi="Arial"/>
          <w:sz w:val="18"/>
          <w:szCs w:val="18"/>
          <w:color w:val="auto"/>
        </w:rPr>
        <w:t>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07"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7"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b w:val="1"/>
          <w:bCs w:val="1"/>
          <w:i w:val="1"/>
          <w:iCs w:val="1"/>
          <w:color w:val="auto"/>
        </w:rPr>
        <w:t>We have determined that we no longer meet the requirements for being a foreign private issuer and, as of January 1, 2021, we will be required to comply with the provisions of the Exchange Act, and the rules of Nasdaq, applicable to U.S. domestic issuers, which will require us to incur significant expenses and expend time and resources.</w:t>
      </w:r>
    </w:p>
    <w:p>
      <w:pPr>
        <w:spacing w:after="0" w:line="11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As we announced in our Report 6-K filed with the SEC on July 22, 2020 (File No. 001-38067), we did not meet the requirements for being a foreign private issuer. As a result, as of January 1, 2021, we will be required to comply with all of the provisions applicable to a U.S. domestic issuer under the Exchange Act, including filing an annual report on Form 10-K, quarterly periodic reports and current reports for certain events, complying with the sections of the Exchange Act regulating the solicitation of proxies, requiring insiders to file public reports of their share ownership and trading activities and insiders being liable for profit from trades made in a short period of time. We will also be required to comply with the rules of Nasdaq applicable to U.S. domestic issuers, including that our articles of association specify a quorum of no less than one-third of our outstanding voting common shares for meetings of our common shareholders, the solicitation of proxies and the approval by our shareholders in connection with certain events such as the acquisition of stock or assets of another company, the establishment of or amendments to equity-based compensation plans for employees, a change of control and certain private placements. In addition, we will be required to report our financial results under U.S. generally accepted accounting principles, including our historical financial results, which have previously been prepared in accordance with IFRS. We expect to incur significant legal, accounting, insurance and other expenses and to expend greater time and resources, as we prepare for compliance, and comply, with these requirements.</w:t>
      </w:r>
    </w:p>
    <w:p>
      <w:pPr>
        <w:spacing w:after="0" w:line="180" w:lineRule="exact"/>
        <w:rPr>
          <w:sz w:val="20"/>
          <w:szCs w:val="20"/>
          <w:color w:val="auto"/>
        </w:rPr>
      </w:pPr>
    </w:p>
    <w:p>
      <w:pPr>
        <w:ind w:left="1260" w:right="1019"/>
        <w:spacing w:after="0" w:line="263" w:lineRule="auto"/>
        <w:rPr>
          <w:sz w:val="20"/>
          <w:szCs w:val="20"/>
          <w:color w:val="auto"/>
        </w:rPr>
      </w:pPr>
      <w:r>
        <w:rPr>
          <w:rFonts w:ascii="Arial" w:cs="Arial" w:eastAsia="Arial" w:hAnsi="Arial"/>
          <w:sz w:val="18"/>
          <w:szCs w:val="18"/>
          <w:b w:val="1"/>
          <w:bCs w:val="1"/>
          <w:i w:val="1"/>
          <w:iCs w:val="1"/>
          <w:color w:val="auto"/>
        </w:rPr>
        <w:t>We currently qualify as a foreign private issuer and, as a result, we are not subject to U.S. proxy rules and are subject to reporting obligations under the Exchange Act that, to some extent, are more lenient and less frequent than those of a U.S. domestic public company.</w:t>
      </w:r>
    </w:p>
    <w:p>
      <w:pPr>
        <w:spacing w:after="0" w:line="116"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We currently report under the Exchange Act as a non-U.S. company with foreign private issuer status. However, we have determined that we will no longer qualify as a foreign private issuer as of January 1, 2021. Foreign private issuers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currently qualify as a foreign private issuer, we furnish quarterly unaudited financial information to the SEC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our investors may not have the same protections afforded to shareholders of companies that are not foreign private issuers.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324" w:lineRule="auto"/>
        <w:rPr>
          <w:sz w:val="20"/>
          <w:szCs w:val="20"/>
          <w:color w:val="auto"/>
        </w:rPr>
      </w:pPr>
      <w:r>
        <w:rPr>
          <w:rFonts w:ascii="Arial" w:cs="Arial" w:eastAsia="Arial" w:hAnsi="Arial"/>
          <w:sz w:val="16"/>
          <w:szCs w:val="16"/>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43"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As a foreign private issuer, in accordance with the listing requirements of Nasdaq, we follow our home country governance requirements and certain exemptions thereunder rather than the corporate governance requirements of Nasdaq. However, we have determined that we will no longer qualify as a foreign private issuer as of January 1, 2021.</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currently exempt from Nasdaq regulations that require a listed U.S. company to:</w:t>
      </w:r>
    </w:p>
    <w:p>
      <w:pPr>
        <w:spacing w:after="0" w:line="117" w:lineRule="exact"/>
        <w:rPr>
          <w:sz w:val="20"/>
          <w:szCs w:val="20"/>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promptly disclose any waivers of its code of conduct for directors or executive officers;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an independent nominating committee and compensation committee;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 and</w:t>
      </w:r>
    </w:p>
    <w:p>
      <w:pPr>
        <w:spacing w:after="0" w:line="103"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103"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122" w:lineRule="exact"/>
        <w:rPr>
          <w:sz w:val="20"/>
          <w:szCs w:val="20"/>
          <w:color w:val="auto"/>
        </w:rPr>
      </w:pPr>
    </w:p>
    <w:p>
      <w:pPr>
        <w:ind w:left="1260" w:right="799" w:firstLine="360"/>
        <w:spacing w:after="0" w:line="324" w:lineRule="auto"/>
        <w:rPr>
          <w:sz w:val="20"/>
          <w:szCs w:val="20"/>
          <w:color w:val="auto"/>
        </w:rPr>
      </w:pPr>
      <w:r>
        <w:rPr>
          <w:rFonts w:ascii="Arial" w:cs="Arial" w:eastAsia="Arial" w:hAnsi="Arial"/>
          <w:sz w:val="16"/>
          <w:szCs w:val="16"/>
          <w:color w:val="auto"/>
        </w:rPr>
        <w:t>Because we are exempt from certain Nasdaq governance requirements, our ADS holders may not have the same protections afforded to shareholders of companies that are subject to these Nasdaq requirements.</w:t>
      </w:r>
    </w:p>
    <w:p>
      <w:pPr>
        <w:spacing w:after="0" w:line="124" w:lineRule="exact"/>
        <w:rPr>
          <w:sz w:val="20"/>
          <w:szCs w:val="20"/>
          <w:color w:val="auto"/>
        </w:rPr>
      </w:pPr>
    </w:p>
    <w:p>
      <w:pPr>
        <w:ind w:left="1260" w:right="739"/>
        <w:spacing w:after="0" w:line="362"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requirements applicable to “emerging growth companies” will make our ADSs or ordinary shares less attractive to investors.</w:t>
      </w:r>
    </w:p>
    <w:p>
      <w:pPr>
        <w:spacing w:after="0" w:line="20"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For as long as we continue to be an EGC, we may take advantage of exemptions from various reporting requirements that are applicable to other public companies that are not EGCs, including not being required to comply with the auditor attestation requirements of Section 404, not being required to present selected financial data for any period prior to the earliest audited period presented in our first registration statement, and exemptions from the requirement of holding a shareholder nonbinding advisory vote on executive compensation and golden parachute payments and from having to disclose the ratio of compensation of our chief executive officer to the median compensation of our employee. We may take advantage of these exemptions until we are no longer an EGC. We could be an EGC for up to five years, although circumstances could cause us to lose that status earlier, including if the aggregate market value of our ADSs and ordinary shares held by non- affiliates exceeds $700 million as of any June 30 (the end of our second fiscal quarter), in which case we would no longer be an emerging growth company as of the following December 31 (our fiscal year-end) .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187"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120"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11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connection with the preparation for the initial public offering of our ADSs, we reassessed our critical accounting policies to ensure compliance with International Financial Reporting Standards. As part of this reassessment, we identified errors relating to the recognition of assumed liabilities and goodwill in connection with the acquisition of Rhinopharma in September 2006. We concluded that, for the year ended December 31, 2016, a lack of adequate controls surrounding our historical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addressed the underlying causes of the material weakness by hiring a new chief financial officer, enhancing our financial reporting team’s technical accounting knowledge associated with the accounting rules for business combinations, implementing additional internal controls and engaging expert external consultants for additional technical support. However, we cannot be certain that these efforts will be sufficient to prevent future material weaknesses or significant deficiencies from occurring.</w:t>
      </w:r>
    </w:p>
    <w:p>
      <w:pPr>
        <w:spacing w:after="0" w:line="114"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Management will be required to assess the effectiveness of our internal controls annually. However, for as long as we are an EGC,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77"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b w:val="1"/>
          <w:bCs w:val="1"/>
          <w:i w:val="1"/>
          <w:iCs w:val="1"/>
          <w:color w:val="auto"/>
        </w:rPr>
        <w:t>We may have inadvertently violated Section 13(k) of the Exchange Act (implementing Section 402 of the Sarbanes-Oxley Act of 2002) and may be subject to sanctions as a result.</w:t>
      </w:r>
    </w:p>
    <w:p>
      <w:pPr>
        <w:spacing w:after="0" w:line="10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spacing w:after="0" w:line="185" w:lineRule="exact"/>
        <w:rPr>
          <w:sz w:val="20"/>
          <w:szCs w:val="20"/>
          <w:color w:val="auto"/>
        </w:rPr>
      </w:pPr>
    </w:p>
    <w:p>
      <w:pPr>
        <w:ind w:left="1260" w:right="799"/>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43"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The trading market for our ADSs and ordinary shares depends in part on the research and reports that securities or industry analysts or commentators publish about us or our business. If one or more of the analysts who cover us downgrade our ADSs or ordinary shares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87"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We carry out research and development activities including, but not limited to, developing ensifentrine for various indications and delivery methods, and as a result we benefit in the U.K. from the HM Revenue and Customs, or HMRC, small and medium sized enterprises research and development relief, or SME R&amp;D Relief, which provides relief against U.K. Corporation Tax.</w:t>
      </w:r>
    </w:p>
    <w:p>
      <w:pPr>
        <w:spacing w:after="0" w:line="120"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Broadly, SME R&amp;D Relief comprises two elements, (a) allowing qualifying SMEs to deduct a total of 230% (an additional 130% deduction plus the usual 100% deduction) of their “qualifying expenditure” from their yearly profit for U.K. Corporation Tax purposes, or the SME R&amp;D Additional Deduction and,</w:t>
      </w:r>
    </w:p>
    <w:p>
      <w:pPr>
        <w:ind w:left="1260" w:right="699" w:firstLine="2"/>
        <w:spacing w:after="0" w:line="238" w:lineRule="auto"/>
        <w:tabs>
          <w:tab w:leader="none" w:pos="15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there are not sufficient profits for U.K. Corporation Tax purposes to fully utilise the SME R&amp;D Additional Deduction, the excess (“surrenderable losses”) can be carried forward to offset against future taxable profits, or a tax credit currently equal to 14.5% of such surrenderable loss can be claimed in cash, or the SME R&amp;D Tax Credit.</w:t>
      </w:r>
    </w:p>
    <w:p>
      <w:pPr>
        <w:spacing w:after="0" w:line="108"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105" w:lineRule="exact"/>
        <w:rPr>
          <w:sz w:val="20"/>
          <w:szCs w:val="20"/>
          <w:color w:val="auto"/>
        </w:rPr>
      </w:pPr>
    </w:p>
    <w:p>
      <w:pPr>
        <w:jc w:val="both"/>
        <w:ind w:left="1260" w:right="719" w:firstLine="360"/>
        <w:spacing w:after="0" w:line="243" w:lineRule="auto"/>
        <w:rPr>
          <w:sz w:val="20"/>
          <w:szCs w:val="20"/>
          <w:color w:val="auto"/>
        </w:rPr>
      </w:pPr>
      <w:r>
        <w:rPr>
          <w:rFonts w:ascii="Arial" w:cs="Arial" w:eastAsia="Arial" w:hAnsi="Arial"/>
          <w:sz w:val="18"/>
          <w:szCs w:val="18"/>
          <w:color w:val="auto"/>
        </w:rPr>
        <w:t>In our latest accounts for the year ended December 31, 2019, we recorded an SME R&amp;D Tax Credit of £7.3 million ($9.7 million) which was subsequently received in cash in the six months ended June 30, 2020. We estimate that in the financial years 2021-2023 we could be eligible to receive £20 million – £28 million ($25 million – $35 million) in cash from HMRC in SME R&amp;D Tax Credits.</w:t>
      </w:r>
    </w:p>
    <w:p>
      <w:pPr>
        <w:spacing w:after="0" w:line="120"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If, however, there are unexpected adverse changes to the SME R&amp;D Relief, or for any reason we are unable to qualify for such advantageous tax legislation, then our business, results of operations and financial condition may be adversely affected.</w:t>
      </w:r>
    </w:p>
    <w:p>
      <w:pPr>
        <w:spacing w:after="0" w:line="182" w:lineRule="exact"/>
        <w:rPr>
          <w:sz w:val="20"/>
          <w:szCs w:val="20"/>
          <w:color w:val="auto"/>
        </w:rPr>
      </w:pPr>
    </w:p>
    <w:p>
      <w:pPr>
        <w:jc w:val="both"/>
        <w:ind w:left="1260" w:right="699"/>
        <w:spacing w:after="0" w:line="248" w:lineRule="auto"/>
        <w:rPr>
          <w:sz w:val="20"/>
          <w:szCs w:val="20"/>
          <w:color w:val="auto"/>
        </w:rPr>
      </w:pPr>
      <w:r>
        <w:rPr>
          <w:rFonts w:ascii="Arial" w:cs="Arial" w:eastAsia="Arial" w:hAnsi="Arial"/>
          <w:sz w:val="18"/>
          <w:szCs w:val="18"/>
          <w:b w:val="1"/>
          <w:bCs w:val="1"/>
          <w:i w:val="1"/>
          <w:iCs w:val="1"/>
          <w:color w:val="auto"/>
        </w:rPr>
        <w:t>We believe we will likely be classified as a passive foreign investment company for U.S. federal income tax purposes for the current taxable year, which could result in adverse U.S. federal income tax consequences to U.S. investors in our ordinary shares or ADSs.</w:t>
      </w:r>
    </w:p>
    <w:p>
      <w:pPr>
        <w:spacing w:after="0" w:line="87"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Because we do not earn revenue from our business operations,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whois a citizen or individual resident of the United States, a corporation, or other entity taxable as a corporation, created or organized in or under the laws of the United States, any state therein or the District of Columbia; or an estate or trust the income of which is subject to U.S. federal income taxation regardless of its source. See “Certain Material Tax Considerations for U.S. Holders”.</w:t>
      </w:r>
    </w:p>
    <w:p>
      <w:pPr>
        <w:spacing w:after="0" w:line="194"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If a U.S. Holder is treated as owning at least 10% of our ordinary shares or ADSs, such holder may be subject to adverse U.S. federal income tax consequences.</w:t>
      </w:r>
    </w:p>
    <w:p>
      <w:pPr>
        <w:spacing w:after="0" w:line="9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7"/>
          <w:szCs w:val="17"/>
          <w:color w:val="auto"/>
        </w:rPr>
        <w:t>If a U.S. Holder is treated as owning, directly, indirectly or constructively, at least 10% of the value or voting power of our ordinary shares or ADSs, such U.S. Holder may be treated as a “United States</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shareholder” with respect to each “controlled foreign corporation” in our group, if any.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the reporting and tax paying obligations described in this risk factor. United States shareholders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7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62" w:lineRule="exact"/>
        <w:rPr>
          <w:sz w:val="20"/>
          <w:szCs w:val="20"/>
          <w:color w:val="auto"/>
        </w:rPr>
      </w:pPr>
    </w:p>
    <w:p>
      <w:pPr>
        <w:ind w:left="1260" w:right="759" w:firstLine="360"/>
        <w:spacing w:after="0" w:line="242"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We will not receive any of the proceeds from the sale of our ordinary shares (including in the form of ADSs) in this offering. The selling shareholders will receive all of the proceeds from this offering.</w:t>
      </w:r>
    </w:p>
    <w:p>
      <w:pPr>
        <w:spacing w:after="0" w:line="7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selling shareholders will pay any underwriting discounts, selling commissions and share transfer taxes or any other expenses incurred by the selling shareholders in connection with the sale of the ordinary shares. We will bear all other costs, fees and expenses incurred in effecting the registration of the shares covered by this prospectus, including, without limitation, all registration and filing fees, fees and expenses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2020:</w:t>
      </w:r>
    </w:p>
    <w:p>
      <w:pPr>
        <w:spacing w:after="0" w:line="129" w:lineRule="exact"/>
        <w:rPr>
          <w:sz w:val="20"/>
          <w:szCs w:val="20"/>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 pro forma basis to give effect to the 2020 Private Placement and the Concurrent Placement.</w:t>
      </w:r>
    </w:p>
    <w:p>
      <w:pPr>
        <w:spacing w:after="0" w:line="169"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Investors should read this table in conjunction with our audited annual financial statements and unaudited interim financial statements incorporated by reference in this prospectus, as well as “Use of Proceeds,” “Selected Financial Data” and “Management’s Discussion and Analysis of Financial Condition and Results of Operations.”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As of June 30, 2020,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Actual</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Pro Forma</w:t>
            </w:r>
          </w:p>
        </w:tc>
      </w:tr>
      <w:tr>
        <w:trPr>
          <w:trHeight w:val="26"/>
        </w:trPr>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22,364</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£ 164,398</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$ 207,009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Derivative financial instrument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0"/>
                <w:szCs w:val="20"/>
                <w:color w:val="auto"/>
              </w:rPr>
            </w:pPr>
          </w:p>
        </w:tc>
      </w:tr>
      <w:tr>
        <w:trPr>
          <w:trHeight w:val="25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Share capital</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6,585</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23,116</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29,037</w:t>
            </w:r>
          </w:p>
        </w:tc>
        <w:tc>
          <w:tcPr>
            <w:tcW w:w="120" w:type="dxa"/>
            <w:vAlign w:val="bottom"/>
          </w:tcPr>
          <w:p>
            <w:pPr>
              <w:spacing w:after="0"/>
              <w:rPr>
                <w:sz w:val="22"/>
                <w:szCs w:val="22"/>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premium</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118,862</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147,020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249,459</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311,827</w:t>
            </w:r>
          </w:p>
        </w:tc>
        <w:tc>
          <w:tcPr>
            <w:tcW w:w="12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Share-based payments reserve</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12,572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15,550</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12,572</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15,550</w:t>
            </w:r>
          </w:p>
        </w:tc>
        <w:tc>
          <w:tcPr>
            <w:tcW w:w="120" w:type="dxa"/>
            <w:vAlign w:val="bottom"/>
          </w:tcPr>
          <w:p>
            <w:pPr>
              <w:spacing w:after="0"/>
              <w:rPr>
                <w:sz w:val="22"/>
                <w:szCs w:val="22"/>
                <w:color w:val="auto"/>
              </w:rPr>
            </w:pPr>
          </w:p>
        </w:tc>
      </w:tr>
      <w:tr>
        <w:trPr>
          <w:trHeight w:val="263"/>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loss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(117,565)</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(145,416)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(119,637)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(148,030)</w:t>
            </w:r>
          </w:p>
        </w:tc>
      </w:tr>
      <w:tr>
        <w:trPr>
          <w:trHeight w:val="263"/>
        </w:trPr>
        <w:tc>
          <w:tcPr>
            <w:tcW w:w="4480" w:type="dxa"/>
            <w:vAlign w:val="bottom"/>
            <w:tcBorders>
              <w:top w:val="single" w:sz="8" w:color="CCEEFF"/>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2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23,739</w:t>
            </w:r>
          </w:p>
        </w:tc>
        <w:tc>
          <w:tcPr>
            <w:tcW w:w="220" w:type="dxa"/>
            <w:vAlign w:val="bottom"/>
            <w:tcBorders>
              <w:top w:val="single" w:sz="8" w:color="CCEEFF"/>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165,510</w:t>
            </w:r>
          </w:p>
        </w:tc>
        <w:tc>
          <w:tcPr>
            <w:tcW w:w="220" w:type="dxa"/>
            <w:vAlign w:val="bottom"/>
            <w:tcBorders>
              <w:top w:val="single" w:sz="8" w:color="CCEEFF"/>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208,384</w:t>
            </w:r>
          </w:p>
        </w:tc>
        <w:tc>
          <w:tcPr>
            <w:tcW w:w="120" w:type="dxa"/>
            <w:vAlign w:val="bottom"/>
            <w:tcBorders>
              <w:top w:val="single" w:sz="8" w:color="CCEEFF"/>
              <w:bottom w:val="single" w:sz="8" w:color="CCEEFF"/>
            </w:tcBorders>
          </w:tcPr>
          <w:p>
            <w:pPr>
              <w:spacing w:after="0"/>
              <w:rPr>
                <w:sz w:val="22"/>
                <w:szCs w:val="22"/>
                <w:color w:val="auto"/>
              </w:rPr>
            </w:pPr>
          </w:p>
        </w:tc>
      </w:tr>
      <w:tr>
        <w:trPr>
          <w:trHeight w:val="26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24,618</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£ 166,221</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$ 209,263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-205105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-205105</wp:posOffset>
            </wp:positionV>
            <wp:extent cx="146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446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-1713865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information presented above excludes the following:</w:t>
      </w:r>
    </w:p>
    <w:p>
      <w:pPr>
        <w:spacing w:after="0" w:line="117" w:lineRule="exact"/>
        <w:rPr>
          <w:sz w:val="20"/>
          <w:szCs w:val="20"/>
          <w:color w:val="auto"/>
        </w:rPr>
      </w:pPr>
    </w:p>
    <w:p>
      <w:pPr>
        <w:ind w:left="1800" w:right="69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12,902,320 ordinary shares issuable upon the exercise of options outstanding as of June 30, 2020 at a weighted average exercise price of £0.99 per share;</w:t>
      </w:r>
    </w:p>
    <w:p>
      <w:pPr>
        <w:spacing w:after="0" w:line="62" w:lineRule="exact"/>
        <w:rPr>
          <w:rFonts w:ascii="Arial" w:cs="Arial" w:eastAsia="Arial" w:hAnsi="Arial"/>
          <w:sz w:val="18"/>
          <w:szCs w:val="18"/>
          <w:color w:val="auto"/>
        </w:rPr>
      </w:pPr>
    </w:p>
    <w:p>
      <w:pPr>
        <w:ind w:left="1800" w:right="125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8,750,760 ordinary shares issuable upon the vesting of restricted share units outstanding as of June 30, 2020;</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5,133,949 ordinary shares reserved for future issuance under our 2017 Plan as of June 30, 2020 and ordinary shares that may become available pursuant to provisions in the 2017 Plan that automatically increase the share reserve under the 2017 Plan; and</w:t>
      </w:r>
    </w:p>
    <w:p>
      <w:pPr>
        <w:spacing w:after="0" w:line="75"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12,401,262 ordinary shares issuable upon the exercise of warrants outstanding as of June 30, 2020 at a weighted average exercise price of £1.7328 per share.</w:t>
      </w:r>
    </w:p>
    <w:p>
      <w:pPr>
        <w:spacing w:after="0" w:line="8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Unless otherwise indicated, all information contained in this prospectus assumes no exercise of the outstanding options and warrants and no vesting of the restricted share units described above after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section of this prospectus. We have derived the consolidated statement of comprehensive income data and the consolidated statement of financial position data as of December 31, 2019 and 2018 from our audited financial statements incorporated by reference in this prospectus. We have derived the consolidated statement of comprehensive income data and the consolidated statement of financial position data as of December 31, 2017, 2016 and 2015 from our audited financial statements that are not incorporated by reference in this prospectus. Our historical results are not necessarily indicative of the results that should be expected in the future. We have derived the consolidated statement of comprehensive income data and the consolidated statement of financial position data as of June 30, 2020 and 2019 from our unaudited financial statements incorporated by reference in this prospectus. Our historical results are not necessarily indicative of the results that should be expected in the future.</w:t>
      </w:r>
    </w:p>
    <w:p>
      <w:pPr>
        <w:spacing w:after="0" w:line="132"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The restatement is due to a change in accounting policy relating to movements in the assumed contingent obligation (see note 2.17 to our audited financial statements incorporated by reference in this prospectus).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r>
      <w:tr>
        <w:trPr>
          <w:trHeight w:val="173"/>
        </w:trPr>
        <w:tc>
          <w:tcPr>
            <w:tcW w:w="1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Restated</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Restated</w:t>
            </w:r>
          </w:p>
        </w:tc>
      </w:t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(£’000s)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(£’000s)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Consolidated statement of comprehensive</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8"/>
        </w:trPr>
        <w:tc>
          <w:tcPr>
            <w:tcW w:w="3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income data:</w:t>
            </w: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56"/>
        </w:trPr>
        <w:tc>
          <w:tcPr>
            <w:tcW w:w="3340" w:type="dxa"/>
            <w:vAlign w:val="bottom"/>
            <w:gridSpan w:val="2"/>
          </w:tcPr>
          <w:p>
            <w:pPr>
              <w:spacing w:after="0"/>
              <w:rPr>
                <w:sz w:val="20"/>
                <w:szCs w:val="20"/>
                <w:color w:val="auto"/>
              </w:rPr>
            </w:pPr>
            <w:r>
              <w:rPr>
                <w:rFonts w:ascii="Arial" w:cs="Arial" w:eastAsia="Arial" w:hAnsi="Arial"/>
                <w:sz w:val="18"/>
                <w:szCs w:val="18"/>
                <w:color w:val="auto"/>
              </w:rPr>
              <w:t>Research and development costs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(12,075)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(15,844)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(33,476)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(19,294)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(23,717)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(4,522)</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(7,270)</w:t>
            </w:r>
          </w:p>
        </w:tc>
      </w:tr>
      <w:tr>
        <w:trPr>
          <w:trHeight w:val="263"/>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(6,297)</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(2,498)</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0"/>
        </w:trPr>
        <w:tc>
          <w:tcPr>
            <w:tcW w:w="19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(19,691)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(19,805)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(41,083)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(25,591)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(29,756)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(7,020)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(8,976)</w:t>
            </w:r>
          </w:p>
        </w:tc>
      </w:tr>
      <w:tr>
        <w:trPr>
          <w:trHeight w:val="256"/>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8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22"/>
                <w:szCs w:val="22"/>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8"/>
                <w:szCs w:val="18"/>
                <w:color w:val="auto"/>
              </w:rPr>
              <w:t>Finance expense</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(2,465)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9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6"/>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taxation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(19,606)</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(17,790)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(39,206)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(24,133)</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(25,203)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(5,849)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(8,995)</w:t>
            </w:r>
          </w:p>
        </w:tc>
      </w:tr>
      <w:tr>
        <w:trPr>
          <w:trHeight w:val="264"/>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Taxation – credit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40" w:type="dxa"/>
            <w:vAlign w:val="bottom"/>
            <w:tcBorders>
              <w:bottom w:val="single" w:sz="8" w:color="CCEEFF"/>
            </w:tcBorders>
          </w:tcPr>
          <w:p>
            <w:pPr>
              <w:spacing w:after="0"/>
              <w:rPr>
                <w:sz w:val="22"/>
                <w:szCs w:val="22"/>
                <w:color w:val="auto"/>
              </w:rPr>
            </w:pPr>
          </w:p>
        </w:tc>
      </w:tr>
      <w:tr>
        <w:trPr>
          <w:trHeight w:val="256"/>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(16,923)</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(31,941)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(19,901)</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(20,497)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(4,895)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(7,486)</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Other comprehensive income / (loss):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9"/>
        </w:trPr>
        <w:tc>
          <w:tcPr>
            <w:tcW w:w="3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Exchange differences on translating</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57"/>
        </w:trPr>
        <w:tc>
          <w:tcPr>
            <w:tcW w:w="334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36"/>
        </w:trPr>
        <w:tc>
          <w:tcPr>
            <w:tcW w:w="33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comprehensive loss attributable to</w:t>
            </w: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owners of the company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(16,880)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(14,377)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(31,974)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(19,863)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(20,526)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(4,852)</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(7,482)</w:t>
            </w:r>
          </w:p>
        </w:tc>
      </w:tr>
      <w:tr>
        <w:trPr>
          <w:trHeight w:val="67"/>
        </w:trPr>
        <w:tc>
          <w:tcPr>
            <w:tcW w:w="19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r>
      <w:tr>
        <w:trPr>
          <w:trHeight w:val="182"/>
        </w:trPr>
        <w:tc>
          <w:tcPr>
            <w:tcW w:w="3340" w:type="dxa"/>
            <w:vAlign w:val="bottom"/>
            <w:tcBorders>
              <w:right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Loss per ordinary share – basic and</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62"/>
        </w:trPr>
        <w:tc>
          <w:tcPr>
            <w:tcW w:w="334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(pence)*</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7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7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-762635</wp:posOffset>
            </wp:positionV>
            <wp:extent cx="25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-1405255</wp:posOffset>
            </wp:positionV>
            <wp:extent cx="25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-1405255</wp:posOffset>
            </wp:positionV>
            <wp:extent cx="1454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-1405255</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-1405255</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-1405255</wp:posOffset>
            </wp:positionV>
            <wp:extent cx="93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-1405255</wp:posOffset>
            </wp:positionV>
            <wp:extent cx="93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-1405255</wp:posOffset>
            </wp:positionV>
            <wp:extent cx="25628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-1748155</wp:posOffset>
            </wp:positionV>
            <wp:extent cx="254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-1748155</wp:posOffset>
            </wp:positionV>
            <wp:extent cx="1454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-1748155</wp:posOffset>
            </wp:positionV>
            <wp:extent cx="120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-1748155</wp:posOffset>
            </wp:positionV>
            <wp:extent cx="111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-1748155</wp:posOffset>
            </wp:positionV>
            <wp:extent cx="93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-1748155</wp:posOffset>
            </wp:positionV>
            <wp:extent cx="93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-1748155</wp:posOffset>
            </wp:positionV>
            <wp:extent cx="25628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-2253615</wp:posOffset>
            </wp:positionV>
            <wp:extent cx="25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-3042920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-3042920</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-3042920</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-3042920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-3042920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ind w:left="1620" w:right="719" w:hanging="358"/>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ADS represents 8 ordinary shares of the Company, so the loss per ADS is any period is equal to 8 times the loss per ordinary share.</w:t>
      </w:r>
    </w:p>
    <w:p>
      <w:pPr>
        <w:spacing w:after="0" w:line="8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Our business is primarily conducted in the United Kingdom and we maintain our books and records in pounds sterling.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73"/>
        </w:trPr>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Restated</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Restated</w:t>
            </w:r>
          </w:p>
        </w:tc>
      </w:tr>
      <w:tr>
        <w:trPr>
          <w:trHeight w:val="186"/>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June 30, 2020</w:t>
            </w: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r>
      <w:tr>
        <w:trPr>
          <w:trHeight w:val="26"/>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(£’000s)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ind w:left="420"/>
              <w:spacing w:after="0"/>
              <w:rPr>
                <w:sz w:val="20"/>
                <w:szCs w:val="20"/>
                <w:color w:val="auto"/>
              </w:rPr>
            </w:pPr>
            <w:r>
              <w:rPr>
                <w:rFonts w:ascii="Arial" w:cs="Arial" w:eastAsia="Arial" w:hAnsi="Arial"/>
                <w:sz w:val="14"/>
                <w:szCs w:val="14"/>
                <w:b w:val="1"/>
                <w:bCs w:val="1"/>
                <w:color w:val="auto"/>
              </w:rPr>
              <w:t>(£’000s)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5"/>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Consolidated statement of financial</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8"/>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position data:</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56"/>
        </w:trPr>
        <w:tc>
          <w:tcPr>
            <w:tcW w:w="2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18,081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22,934</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19,784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31,443</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39,785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2"/>
                <w:szCs w:val="22"/>
                <w:color w:val="auto"/>
              </w:rPr>
            </w:pPr>
          </w:p>
        </w:tc>
      </w:tr>
      <w:tr>
        <w:trPr>
          <w:trHeight w:val="257"/>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48,819</w:t>
            </w: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gridSpan w:val="2"/>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45,135</w:t>
            </w:r>
          </w:p>
        </w:tc>
        <w:tc>
          <w:tcPr>
            <w:tcW w:w="2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74,745</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89,988</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46,627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tcPr>
          <w:p>
            <w:pPr>
              <w:spacing w:after="0"/>
              <w:rPr>
                <w:sz w:val="22"/>
                <w:szCs w:val="22"/>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118,862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118,862</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118,862</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118,862</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58,526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26,650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11,270</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11,327</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9,623</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11,674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22"/>
                <w:szCs w:val="22"/>
                <w:color w:val="auto"/>
              </w:rPr>
            </w:pP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(117,565)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80" w:type="dxa"/>
            <w:vAlign w:val="bottom"/>
            <w:gridSpan w:val="11"/>
            <w:shd w:val="clear" w:color="auto" w:fill="CCEEFF"/>
          </w:tcPr>
          <w:p>
            <w:pPr>
              <w:jc w:val="right"/>
              <w:ind w:right="60"/>
              <w:spacing w:after="0"/>
              <w:rPr>
                <w:sz w:val="20"/>
                <w:szCs w:val="20"/>
                <w:color w:val="auto"/>
              </w:rPr>
            </w:pPr>
            <w:r>
              <w:rPr>
                <w:rFonts w:ascii="Arial" w:cs="Arial" w:eastAsia="Arial" w:hAnsi="Arial"/>
                <w:sz w:val="18"/>
                <w:szCs w:val="18"/>
                <w:color w:val="auto"/>
              </w:rPr>
              <w:t>(100,627)  (68,633)  (48,770)  (28,244)  (23,392)</w:t>
            </w:r>
          </w:p>
        </w:tc>
      </w:tr>
      <w:tr>
        <w:trPr>
          <w:trHeight w:val="264"/>
        </w:trPr>
        <w:tc>
          <w:tcPr>
            <w:tcW w:w="2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CCEEFF"/>
            </w:tcBorders>
            <w:gridSpan w:val="2"/>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19,1932</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33,865</w:t>
            </w:r>
          </w:p>
        </w:tc>
        <w:tc>
          <w:tcPr>
            <w:tcW w:w="220" w:type="dxa"/>
            <w:vAlign w:val="bottom"/>
            <w:tcBorders>
              <w:top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63,418</w:t>
            </w:r>
          </w:p>
        </w:tc>
        <w:tc>
          <w:tcPr>
            <w:tcW w:w="220" w:type="dxa"/>
            <w:vAlign w:val="bottom"/>
            <w:tcBorders>
              <w:top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80,365</w:t>
            </w:r>
          </w:p>
        </w:tc>
        <w:tc>
          <w:tcPr>
            <w:tcW w:w="220" w:type="dxa"/>
            <w:vAlign w:val="bottom"/>
            <w:tcBorders>
              <w:top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34,953</w:t>
            </w: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1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-711200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-711200</wp:posOffset>
            </wp:positionV>
            <wp:extent cx="1460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-711200</wp:posOffset>
            </wp:positionV>
            <wp:extent cx="1454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-711200</wp:posOffset>
            </wp:positionV>
            <wp:extent cx="1460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-711200</wp:posOffset>
            </wp:positionV>
            <wp:extent cx="1460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-711200</wp:posOffset>
            </wp:positionV>
            <wp:extent cx="2691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-1662430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-1662430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-1662430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1260" w:right="1379" w:firstLine="360"/>
        <w:spacing w:after="0" w:line="261" w:lineRule="auto"/>
        <w:rPr>
          <w:sz w:val="20"/>
          <w:szCs w:val="20"/>
          <w:color w:val="auto"/>
        </w:rPr>
      </w:pPr>
      <w:r>
        <w:rPr>
          <w:rFonts w:ascii="Arial" w:cs="Arial" w:eastAsia="Arial" w:hAnsi="Arial"/>
          <w:sz w:val="18"/>
          <w:szCs w:val="18"/>
          <w:color w:val="auto"/>
        </w:rPr>
        <w:t>The following table presents information about our executive officers, directors, and other key members of management, including their ages as of the date of this prospectus: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4280" w:type="dxa"/>
            <w:vAlign w:val="bottom"/>
          </w:tcPr>
          <w:p>
            <w:pPr>
              <w:ind w:left="190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50"/>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80" w:type="dxa"/>
            <w:vAlign w:val="bottom"/>
          </w:tcPr>
          <w:p>
            <w:pPr>
              <w:spacing w:after="0"/>
              <w:rPr>
                <w:sz w:val="21"/>
                <w:szCs w:val="21"/>
                <w:color w:val="auto"/>
              </w:rPr>
            </w:pP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David Zaccardelli, Pharm.D.</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55</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Mark W. Hahn</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57</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Claire Poll</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53</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General Counsel</w:t>
            </w:r>
          </w:p>
        </w:tc>
      </w:tr>
      <w:tr>
        <w:trPr>
          <w:trHeight w:val="256"/>
        </w:trPr>
        <w:tc>
          <w:tcPr>
            <w:tcW w:w="3460" w:type="dxa"/>
            <w:vAlign w:val="bottom"/>
            <w:gridSpan w:val="2"/>
          </w:tcPr>
          <w:p>
            <w:pPr>
              <w:spacing w:after="0"/>
              <w:rPr>
                <w:sz w:val="20"/>
                <w:szCs w:val="20"/>
                <w:color w:val="auto"/>
              </w:rPr>
            </w:pPr>
            <w:r>
              <w:rPr>
                <w:rFonts w:ascii="Arial" w:cs="Arial" w:eastAsia="Arial" w:hAnsi="Arial"/>
                <w:sz w:val="18"/>
                <w:szCs w:val="18"/>
                <w:color w:val="auto"/>
              </w:rPr>
              <w:t>Kathleen Rickard, M.D.</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61</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Chief Medical Officer</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Other Key Management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Christopher Martin</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44</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Vice President, Commercial</w:t>
            </w:r>
          </w:p>
        </w:tc>
      </w:tr>
      <w:tr>
        <w:trPr>
          <w:trHeight w:val="257"/>
        </w:trPr>
        <w:tc>
          <w:tcPr>
            <w:tcW w:w="3460" w:type="dxa"/>
            <w:vAlign w:val="bottom"/>
            <w:gridSpan w:val="2"/>
          </w:tcPr>
          <w:p>
            <w:pPr>
              <w:spacing w:after="0"/>
              <w:rPr>
                <w:sz w:val="20"/>
                <w:szCs w:val="20"/>
                <w:color w:val="auto"/>
              </w:rPr>
            </w:pPr>
            <w:r>
              <w:rPr>
                <w:rFonts w:ascii="Arial" w:cs="Arial" w:eastAsia="Arial" w:hAnsi="Arial"/>
                <w:sz w:val="18"/>
                <w:szCs w:val="18"/>
                <w:color w:val="auto"/>
              </w:rPr>
              <w:t>Desiree Luthman</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61</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Vice President, Regulatory Affairs</w:t>
            </w:r>
          </w:p>
        </w:tc>
      </w:tr>
      <w:tr>
        <w:trPr>
          <w:trHeight w:val="229"/>
        </w:trPr>
        <w:tc>
          <w:tcPr>
            <w:tcW w:w="3460" w:type="dxa"/>
            <w:vAlign w:val="bottom"/>
            <w:gridSpan w:val="2"/>
          </w:tcPr>
          <w:p>
            <w:pPr>
              <w:spacing w:after="0"/>
              <w:rPr>
                <w:sz w:val="20"/>
                <w:szCs w:val="20"/>
                <w:color w:val="auto"/>
              </w:rPr>
            </w:pPr>
            <w:r>
              <w:rPr>
                <w:rFonts w:ascii="Arial" w:cs="Arial" w:eastAsia="Arial" w:hAnsi="Arial"/>
                <w:sz w:val="18"/>
                <w:szCs w:val="18"/>
                <w:color w:val="auto"/>
              </w:rPr>
              <w:t>Tara Rheault</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45</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Vice President, R&amp;D Operations and Global Project</w:t>
            </w:r>
          </w:p>
        </w:tc>
      </w:tr>
      <w:tr>
        <w:trPr>
          <w:trHeight w:val="230"/>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Management</w:t>
            </w:r>
          </w:p>
        </w:tc>
      </w:tr>
      <w:tr>
        <w:trPr>
          <w:trHeight w:val="242"/>
        </w:trPr>
        <w:tc>
          <w:tcPr>
            <w:tcW w:w="3460" w:type="dxa"/>
            <w:vAlign w:val="bottom"/>
            <w:gridSpan w:val="2"/>
          </w:tcPr>
          <w:p>
            <w:pPr>
              <w:spacing w:after="0"/>
              <w:rPr>
                <w:sz w:val="20"/>
                <w:szCs w:val="20"/>
                <w:color w:val="auto"/>
              </w:rPr>
            </w:pPr>
            <w:r>
              <w:rPr>
                <w:rFonts w:ascii="Arial" w:cs="Arial" w:eastAsia="Arial" w:hAnsi="Arial"/>
                <w:sz w:val="18"/>
                <w:szCs w:val="18"/>
                <w:color w:val="auto"/>
              </w:rPr>
              <w:t>Peter Spargo</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58</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Chemistry Manufacturing and</w:t>
            </w:r>
          </w:p>
        </w:tc>
      </w:tr>
      <w:tr>
        <w:trPr>
          <w:trHeight w:val="230"/>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Controls</w:t>
            </w:r>
          </w:p>
        </w:tc>
      </w:tr>
      <w:tr>
        <w:trPr>
          <w:trHeight w:val="270"/>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80" w:type="dxa"/>
            <w:vAlign w:val="bottom"/>
          </w:tcPr>
          <w:p>
            <w:pPr>
              <w:spacing w:after="0"/>
              <w:rPr>
                <w:sz w:val="23"/>
                <w:szCs w:val="23"/>
                <w:color w:val="auto"/>
              </w:rPr>
            </w:pPr>
          </w:p>
        </w:tc>
      </w:tr>
      <w:tr>
        <w:trPr>
          <w:trHeight w:val="286"/>
        </w:trPr>
        <w:tc>
          <w:tcPr>
            <w:tcW w:w="3460" w:type="dxa"/>
            <w:vAlign w:val="bottom"/>
            <w:gridSpan w:val="2"/>
          </w:tcPr>
          <w:p>
            <w:pPr>
              <w:spacing w:after="0" w:line="286" w:lineRule="exact"/>
              <w:rPr>
                <w:sz w:val="20"/>
                <w:szCs w:val="20"/>
                <w:color w:val="auto"/>
              </w:rPr>
            </w:pPr>
            <w:r>
              <w:rPr>
                <w:rFonts w:ascii="Arial" w:cs="Arial" w:eastAsia="Arial" w:hAnsi="Arial"/>
                <w:sz w:val="18"/>
                <w:szCs w:val="18"/>
                <w:color w:val="auto"/>
              </w:rPr>
              <w:t>Ken Cunningham, M.D.</w:t>
            </w:r>
            <w:r>
              <w:rPr>
                <w:rFonts w:ascii="Arial" w:cs="Arial" w:eastAsia="Arial" w:hAnsi="Arial"/>
                <w:sz w:val="26"/>
                <w:szCs w:val="26"/>
                <w:color w:val="auto"/>
                <w:vertAlign w:val="superscript"/>
              </w:rPr>
              <w:t>(2)</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67</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David Ebsworth, Ph.D.</w:t>
            </w:r>
            <w:r>
              <w:rPr>
                <w:rFonts w:ascii="Arial" w:cs="Arial" w:eastAsia="Arial" w:hAnsi="Arial"/>
                <w:sz w:val="26"/>
                <w:szCs w:val="26"/>
                <w:color w:val="auto"/>
                <w:vertAlign w:val="superscript"/>
              </w:rPr>
              <w:t>(1)(2)(3)</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66</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Rishi Gupta</w:t>
            </w:r>
            <w:r>
              <w:rPr>
                <w:rFonts w:ascii="Arial" w:cs="Arial" w:eastAsia="Arial" w:hAnsi="Arial"/>
                <w:sz w:val="26"/>
                <w:szCs w:val="26"/>
                <w:color w:val="auto"/>
                <w:vertAlign w:val="superscript"/>
              </w:rPr>
              <w:t>(2)</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43</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Mahendra Shah, Ph.D.</w:t>
            </w:r>
            <w:r>
              <w:rPr>
                <w:rFonts w:ascii="Arial" w:cs="Arial" w:eastAsia="Arial" w:hAnsi="Arial"/>
                <w:sz w:val="26"/>
                <w:szCs w:val="26"/>
                <w:color w:val="auto"/>
                <w:vertAlign w:val="superscript"/>
              </w:rPr>
              <w:t>(3)</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75</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Andrew Sinclair, Ph.D.</w:t>
            </w:r>
            <w:r>
              <w:rPr>
                <w:rFonts w:ascii="Arial" w:cs="Arial" w:eastAsia="Arial" w:hAnsi="Arial"/>
                <w:sz w:val="26"/>
                <w:szCs w:val="26"/>
                <w:color w:val="auto"/>
                <w:vertAlign w:val="superscript"/>
              </w:rPr>
              <w:t>(1)</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48</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83"/>
        </w:trPr>
        <w:tc>
          <w:tcPr>
            <w:tcW w:w="3460" w:type="dxa"/>
            <w:vAlign w:val="bottom"/>
            <w:gridSpan w:val="2"/>
          </w:tcPr>
          <w:p>
            <w:pPr>
              <w:spacing w:after="0" w:line="283" w:lineRule="exact"/>
              <w:rPr>
                <w:sz w:val="20"/>
                <w:szCs w:val="20"/>
                <w:color w:val="auto"/>
              </w:rPr>
            </w:pPr>
            <w:r>
              <w:rPr>
                <w:rFonts w:ascii="Arial" w:cs="Arial" w:eastAsia="Arial" w:hAnsi="Arial"/>
                <w:sz w:val="18"/>
                <w:szCs w:val="18"/>
                <w:color w:val="auto"/>
              </w:rPr>
              <w:t>Vikas Sinha</w:t>
            </w:r>
            <w:r>
              <w:rPr>
                <w:rFonts w:ascii="Arial" w:cs="Arial" w:eastAsia="Arial" w:hAnsi="Arial"/>
                <w:sz w:val="26"/>
                <w:szCs w:val="26"/>
                <w:color w:val="auto"/>
                <w:vertAlign w:val="superscript"/>
              </w:rPr>
              <w:t>(1)</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57</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320"/>
        </w:trPr>
        <w:tc>
          <w:tcPr>
            <w:tcW w:w="3460" w:type="dxa"/>
            <w:vAlign w:val="bottom"/>
            <w:gridSpan w:val="2"/>
          </w:tcPr>
          <w:p>
            <w:pPr>
              <w:spacing w:after="0"/>
              <w:rPr>
                <w:sz w:val="20"/>
                <w:szCs w:val="20"/>
                <w:color w:val="auto"/>
              </w:rPr>
            </w:pPr>
            <w:r>
              <w:rPr>
                <w:rFonts w:ascii="Arial" w:cs="Arial" w:eastAsia="Arial" w:hAnsi="Arial"/>
                <w:sz w:val="18"/>
                <w:szCs w:val="18"/>
                <w:color w:val="auto"/>
              </w:rPr>
              <w:t>Anders Ullman, Ph.D.</w:t>
            </w:r>
            <w:r>
              <w:rPr>
                <w:rFonts w:ascii="Arial" w:cs="Arial" w:eastAsia="Arial" w:hAnsi="Arial"/>
                <w:sz w:val="26"/>
                <w:szCs w:val="26"/>
                <w:color w:val="auto"/>
                <w:vertAlign w:val="superscript"/>
              </w:rPr>
              <w:t>(3)</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64</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Martin Edwards, M.D.</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64</w:t>
            </w:r>
          </w:p>
        </w:tc>
        <w:tc>
          <w:tcPr>
            <w:tcW w:w="4500" w:type="dxa"/>
            <w:vAlign w:val="bottom"/>
            <w:gridSpan w:val="2"/>
          </w:tcPr>
          <w:p>
            <w:pPr>
              <w:ind w:left="220"/>
              <w:spacing w:after="0"/>
              <w:rPr>
                <w:sz w:val="20"/>
                <w:szCs w:val="20"/>
                <w:color w:val="auto"/>
              </w:rPr>
            </w:pPr>
            <w:r>
              <w:rPr>
                <w:rFonts w:ascii="Arial" w:cs="Arial" w:eastAsia="Arial" w:hAnsi="Arial"/>
                <w:sz w:val="18"/>
                <w:szCs w:val="18"/>
                <w:color w:val="auto"/>
              </w:rPr>
              <w:t>Non-executive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hanging="35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and Risk Committee member</w:t>
      </w:r>
    </w:p>
    <w:p>
      <w:pPr>
        <w:spacing w:after="0" w:line="63" w:lineRule="exact"/>
        <w:rPr>
          <w:rFonts w:ascii="Arial" w:cs="Arial" w:eastAsia="Arial" w:hAnsi="Arial"/>
          <w:sz w:val="18"/>
          <w:szCs w:val="18"/>
          <w:color w:val="auto"/>
        </w:rPr>
      </w:pPr>
    </w:p>
    <w:p>
      <w:pPr>
        <w:ind w:left="1620" w:hanging="35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Remuneration Committee member</w:t>
      </w:r>
    </w:p>
    <w:p>
      <w:pPr>
        <w:spacing w:after="0" w:line="63" w:lineRule="exact"/>
        <w:rPr>
          <w:rFonts w:ascii="Arial" w:cs="Arial" w:eastAsia="Arial" w:hAnsi="Arial"/>
          <w:sz w:val="18"/>
          <w:szCs w:val="18"/>
          <w:color w:val="auto"/>
        </w:rPr>
      </w:pPr>
    </w:p>
    <w:p>
      <w:pPr>
        <w:ind w:left="1620" w:hanging="35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Governance Committee member</w:t>
      </w:r>
    </w:p>
    <w:p>
      <w:pPr>
        <w:spacing w:after="0" w:line="14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following are brief biographies of our executive officers and directors:</w:t>
      </w:r>
    </w:p>
    <w:p>
      <w:pPr>
        <w:spacing w:after="0" w:line="15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b w:val="1"/>
          <w:bCs w:val="1"/>
          <w:i w:val="1"/>
          <w:iCs w:val="1"/>
          <w:color w:val="auto"/>
        </w:rPr>
        <w:t xml:space="preserve">David Zaccardelli, Pharma.D. </w:t>
      </w:r>
      <w:r>
        <w:rPr>
          <w:rFonts w:ascii="Arial" w:cs="Arial" w:eastAsia="Arial" w:hAnsi="Arial"/>
          <w:sz w:val="17"/>
          <w:szCs w:val="17"/>
          <w:color w:val="auto"/>
        </w:rPr>
        <w:t>Dr. Zaccardelli has served as our President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on our board of directors since February 2020. From December 2018 until its acquisition by Swedish Orphan Biovitrum for up to $915 million in November 2019, Dr. Zaccardelli served as President and CEO of Dova Pharmaceuticals, a U.S. company developing therapeutics for rare diseases. Previously, he was Acting CEO of Cempra, from December 2016 until the company’s merger with Melinta Therapeutics in November 2017. From 2004 until 2016, Dr. Zaccardelli served in several senior management roles at United Therapeutics Corporation, including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Glaxo Wellcome, and Bausch &amp; Lomb Pharmaceutical. Dr. Zaccardelli received a Pharm.D. from the University of Michigan.</w:t>
      </w:r>
    </w:p>
    <w:p>
      <w:pPr>
        <w:spacing w:after="0" w:line="118" w:lineRule="exact"/>
        <w:rPr>
          <w:sz w:val="20"/>
          <w:szCs w:val="20"/>
          <w:color w:val="auto"/>
        </w:rPr>
      </w:pPr>
    </w:p>
    <w:p>
      <w:pPr>
        <w:ind w:left="1620"/>
        <w:spacing w:after="0"/>
        <w:tabs>
          <w:tab w:leader="none" w:pos="2640" w:val="left"/>
        </w:tabs>
        <w:rPr>
          <w:sz w:val="20"/>
          <w:szCs w:val="20"/>
          <w:color w:val="auto"/>
        </w:rPr>
      </w:pPr>
      <w:r>
        <w:rPr>
          <w:rFonts w:ascii="Arial" w:cs="Arial" w:eastAsia="Arial" w:hAnsi="Arial"/>
          <w:sz w:val="18"/>
          <w:szCs w:val="18"/>
          <w:b w:val="1"/>
          <w:bCs w:val="1"/>
          <w:i w:val="1"/>
          <w:iCs w:val="1"/>
          <w:color w:val="auto"/>
        </w:rPr>
        <w:t>Mark Hahn.</w:t>
      </w:r>
      <w:r>
        <w:rPr>
          <w:sz w:val="20"/>
          <w:szCs w:val="20"/>
          <w:color w:val="auto"/>
        </w:rPr>
        <w:tab/>
      </w:r>
      <w:r>
        <w:rPr>
          <w:rFonts w:ascii="Arial" w:cs="Arial" w:eastAsia="Arial" w:hAnsi="Arial"/>
          <w:sz w:val="17"/>
          <w:szCs w:val="17"/>
          <w:color w:val="auto"/>
        </w:rPr>
        <w:t>Mr. Hahn has served as our Chief Financial Officer since February 2020. From</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2018 until its acquisition by Swedish Orphan Biovitrum for up to $915 million in November 2019,</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Hahn served as CFO of Dova Pharmaceuticals, a company developing therapeutics for rare diseases.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Previously, from 2010 until its acquisition by Melinta Therapeutics in November 2017, Mr. Hahn was CFO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Cempra, Inc. Mr. Hahn received a B.B.A. degree in Accounting and Finance from the University of</w:t>
      </w:r>
    </w:p>
    <w:p>
      <w:pPr>
        <w:ind w:left="1260"/>
        <w:spacing w:after="0"/>
        <w:rPr>
          <w:sz w:val="20"/>
          <w:szCs w:val="20"/>
          <w:color w:val="auto"/>
        </w:rPr>
      </w:pPr>
      <w:r>
        <w:rPr>
          <w:rFonts w:ascii="Arial" w:cs="Arial" w:eastAsia="Arial" w:hAnsi="Arial"/>
          <w:sz w:val="18"/>
          <w:szCs w:val="18"/>
          <w:color w:val="auto"/>
        </w:rPr>
        <w:t>Wisconsin-Milwaukee and is a Certified Public Accountant in Maryland and North Carolina.</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b w:val="1"/>
          <w:bCs w:val="1"/>
          <w:i w:val="1"/>
          <w:iCs w:val="1"/>
          <w:color w:val="auto"/>
        </w:rPr>
        <w:t xml:space="preserve">Kathleen Rickard, M.D. </w:t>
      </w:r>
      <w:r>
        <w:rPr>
          <w:rFonts w:ascii="Arial" w:cs="Arial" w:eastAsia="Arial" w:hAnsi="Arial"/>
          <w:sz w:val="18"/>
          <w:szCs w:val="18"/>
          <w:color w:val="auto"/>
        </w:rPr>
        <w:t>Dr. Rickard has served as our Chief Medical Officer since February 2019.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joining Verona Pharma, Dr. Rickard served in multiple roles at Aerocrine AB, a medical diagnostics product company, including as Chief Medical Officer from April 2011 to January 2019, and as Chief Compliance Officer from April 2014 to January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111"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b w:val="1"/>
          <w:bCs w:val="1"/>
          <w:i w:val="1"/>
          <w:iCs w:val="1"/>
          <w:color w:val="auto"/>
        </w:rPr>
        <w:t xml:space="preserve">Claire Poll. </w:t>
      </w:r>
      <w:r>
        <w:rPr>
          <w:rFonts w:ascii="Arial" w:cs="Arial" w:eastAsia="Arial" w:hAnsi="Arial"/>
          <w:sz w:val="17"/>
          <w:szCs w:val="17"/>
          <w:color w:val="auto"/>
        </w:rPr>
        <w:t>Ms. Poll has served as General Counsel since September 2016. From September 2015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2016, Ms. Poll served as an advisor to us on legal, general corporate and financing matters. She also served as an Executive Director on our board of directors from September 2006 until September 2015.</w:t>
      </w:r>
    </w:p>
    <w:p>
      <w:pPr>
        <w:ind w:left="1260" w:right="899"/>
        <w:spacing w:after="0" w:line="260" w:lineRule="auto"/>
        <w:rPr>
          <w:sz w:val="20"/>
          <w:szCs w:val="20"/>
          <w:color w:val="auto"/>
        </w:rPr>
      </w:pPr>
      <w:r>
        <w:rPr>
          <w:rFonts w:ascii="Arial" w:cs="Arial" w:eastAsia="Arial" w:hAnsi="Arial"/>
          <w:sz w:val="18"/>
          <w:szCs w:val="18"/>
          <w:color w:val="auto"/>
        </w:rPr>
        <w:t>Ms. Poll received a Bachelor of Laws from the University of Western Australia and a Diploma in Applied Finance and Investment from the Securities Institute of Australia.</w:t>
      </w:r>
    </w:p>
    <w:p>
      <w:pPr>
        <w:spacing w:after="0" w:line="11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b w:val="1"/>
          <w:bCs w:val="1"/>
          <w:i w:val="1"/>
          <w:iCs w:val="1"/>
          <w:color w:val="auto"/>
        </w:rPr>
        <w:t xml:space="preserve">David Ebsworth, Ph.D. </w:t>
      </w:r>
      <w:r>
        <w:rPr>
          <w:rFonts w:ascii="Arial" w:cs="Arial" w:eastAsia="Arial" w:hAnsi="Arial"/>
          <w:sz w:val="17"/>
          <w:szCs w:val="17"/>
          <w:color w:val="auto"/>
        </w:rPr>
        <w:t>Dr. Ebsworth has served as the Non-Executive Chairman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since December 2014. From October 2009 to August 2014, Dr. Ebsworth served as Chief Executive Officer of Vifor Pharma, based in Zürich, the specialty pharma division of Galenica AG Group, a pharmaceutical wholesaler and retailer, and as a member of Galenica’s Executive Committee. In 2012,</w:t>
      </w:r>
    </w:p>
    <w:p>
      <w:pPr>
        <w:spacing w:after="0" w:line="2"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Dr. Ebsworth was also named as Chief Executive Officer of Galenica and as Chairman of Galenica’s Executive Committee, positions he held until August 2014.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in 2003. Dr. Ebsworth received a Ph.D. in industrial relations from the University of Surrey.</w:t>
      </w:r>
    </w:p>
    <w:p>
      <w:pPr>
        <w:spacing w:after="0" w:line="126"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Ken Cunningham, M.D. </w:t>
      </w:r>
      <w:r>
        <w:rPr>
          <w:rFonts w:ascii="Arial" w:cs="Arial" w:eastAsia="Arial" w:hAnsi="Arial"/>
          <w:sz w:val="18"/>
          <w:szCs w:val="18"/>
          <w:color w:val="auto"/>
        </w:rPr>
        <w:t>Dr. Cunningham has served as a Non-Executive Director 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since September 2015. Dr. Cunningham has over 25 years’ experience in the pharmaceutical industry including leadership roles at several companies focused on developing respiratory medicines. Between 2008 and 2010, he was at SkyePharma plc (now part of Vectura Group plc), initially as Chief Operating Officer and subsequently as Chief Executive Officer where he was involved in the late-stage development of flutiform for asthma. Earlier in his career, Dr. Cunningham held a variety of clinical development and commercial strategy roles at GlaxoWellcome plc and Warner-Lambert. Dr. Cunningham serves as the non-executive chairman of the board of directors of Abzena Holdings (US) LLC and of Medherant Ltd. Dr. Cunningham received a degree in medicine from St. Mary’s, Imperial College, London University.</w:t>
      </w:r>
    </w:p>
    <w:p>
      <w:pPr>
        <w:spacing w:after="0" w:line="113"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b w:val="1"/>
          <w:bCs w:val="1"/>
          <w:i w:val="1"/>
          <w:iCs w:val="1"/>
          <w:color w:val="auto"/>
        </w:rPr>
        <w:t xml:space="preserve">Martin Edwards, M.D. </w:t>
      </w:r>
      <w:r>
        <w:rPr>
          <w:rFonts w:ascii="Arial" w:cs="Arial" w:eastAsia="Arial" w:hAnsi="Arial"/>
          <w:sz w:val="18"/>
          <w:szCs w:val="18"/>
          <w:color w:val="auto"/>
        </w:rPr>
        <w:t>Dr. Edwards has served as a Non-Executive Director on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April 2019. Since 2003, Dr. Edwards has held various positions at Novo Holdings, a life sciences investment firm, and most recently employed as part-time Senior Partner. Earlier in his career, he was Corporate VP and Global Head of Drug Development for Novo Nordisk, where he led all aspects of pre-clinical and clinical drug development. Dr. Edwards currently serves on the boards of directors of Kalvista Pharmaceuticals Inc, F2G Ltd, Harmony Biosciences Inc, Karus Therapeutics Ltd, Nuvelution Pharma Inc, and Vantia Therapeutics Ltd. Dr. Edwards trained in physiology and medicine at the University of Manchester. He is a Member of the Royal College of Physicians, a Member with distinction of the Royal College of General Practitioners, a Fellow of the Faculty of Pharmaceutical Medicine and holds a MBA from the University of Warwick.</w:t>
      </w:r>
    </w:p>
    <w:p>
      <w:pPr>
        <w:spacing w:after="0" w:line="127" w:lineRule="exact"/>
        <w:rPr>
          <w:sz w:val="20"/>
          <w:szCs w:val="20"/>
          <w:color w:val="auto"/>
        </w:rPr>
      </w:pPr>
    </w:p>
    <w:p>
      <w:pPr>
        <w:jc w:val="both"/>
        <w:ind w:left="1260" w:right="1299" w:firstLine="360"/>
        <w:spacing w:after="0" w:line="271" w:lineRule="auto"/>
        <w:rPr>
          <w:sz w:val="20"/>
          <w:szCs w:val="20"/>
          <w:color w:val="auto"/>
        </w:rPr>
      </w:pPr>
      <w:r>
        <w:rPr>
          <w:rFonts w:ascii="Arial" w:cs="Arial" w:eastAsia="Arial" w:hAnsi="Arial"/>
          <w:sz w:val="17"/>
          <w:szCs w:val="17"/>
          <w:b w:val="1"/>
          <w:bCs w:val="1"/>
          <w:i w:val="1"/>
          <w:iCs w:val="1"/>
          <w:color w:val="auto"/>
        </w:rPr>
        <w:t xml:space="preserve">Rishi Gupta. </w:t>
      </w:r>
      <w:r>
        <w:rPr>
          <w:rFonts w:ascii="Arial" w:cs="Arial" w:eastAsia="Arial" w:hAnsi="Arial"/>
          <w:sz w:val="17"/>
          <w:szCs w:val="17"/>
          <w:color w:val="auto"/>
        </w:rPr>
        <w:t>Mr. Gupta has served as a Non-Executive Director on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2016. Mr. Gupta was designated for appointment to our board of directors by OrbiMed Private Investments VI, LP, or OrbiMed, pursuant to our relationship agreement with OrbiMed. Since 2002,</w:t>
      </w:r>
    </w:p>
    <w:p>
      <w:pPr>
        <w:ind w:left="1260" w:right="719"/>
        <w:spacing w:after="0" w:line="265" w:lineRule="auto"/>
        <w:rPr>
          <w:sz w:val="20"/>
          <w:szCs w:val="20"/>
          <w:color w:val="auto"/>
        </w:rPr>
      </w:pPr>
      <w:r>
        <w:rPr>
          <w:rFonts w:ascii="Arial" w:cs="Arial" w:eastAsia="Arial" w:hAnsi="Arial"/>
          <w:sz w:val="17"/>
          <w:szCs w:val="17"/>
          <w:color w:val="auto"/>
        </w:rPr>
        <w:t>Mr. Gupta has held various positions at OrbiMed Advisors LLC, an investment firm, where he is currently a Partner. Prior to OrbiMed Advisors LLC, Mr. Gupta was a healthcare investment banker at Raymond James</w:t>
      </w:r>
    </w:p>
    <w:p>
      <w:pPr>
        <w:ind w:left="1260" w:right="679" w:firstLine="2"/>
        <w:spacing w:after="0" w:line="253" w:lineRule="auto"/>
        <w:tabs>
          <w:tab w:leader="none" w:pos="1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Associates, served as manager of corporate development at Veritas Medicine, and was a summer associate at Wachtell, Lipton, Rosen &amp; Katz. Mr. Gupta currently serves on the boards of directors of several private companies. Mr. Gupta received an A.B. in biochemical sciences from Harvard College and a J.D. from Yale Law School.</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Mahendra Shah, Ph.D. </w:t>
      </w:r>
      <w:r>
        <w:rPr>
          <w:rFonts w:ascii="Arial" w:cs="Arial" w:eastAsia="Arial" w:hAnsi="Arial"/>
          <w:sz w:val="17"/>
          <w:szCs w:val="17"/>
          <w:color w:val="auto"/>
        </w:rPr>
        <w:t>Dr. Shah has served as a Non-Executive Director on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2016. Dr. Shah was designated for appointment to our board of directors by funds affiliated with Vivo Capital, a healthcare investment firm, pursuant to a relationship agreement that we entered into with such funds in June 2016. Although such agreement automatically terminated on the closing of the 2020 Private Placement, Dr. Shah continues to serve as a Non-Executive Director. Dr. Shah is a successful pharmaceutical entrepreneur and executive and, since March 2010, has served as a Managing Director of Vivo Capital. Dr. Shah serves as a member of the board of directors of Scilex Pharmaceuticals, Inc. and several other private companies in the biopharmaceutical and biotechnology industries. Dr. Shah received his Ph.D. in industrial pharmacy from St. John’s University and a Master’s Degree in Pharmacy from L.M. College of Pharmacy in Gujarat, India.</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Andrew Sinclair, Ph.D. </w:t>
      </w:r>
      <w:r>
        <w:rPr>
          <w:rFonts w:ascii="Arial" w:cs="Arial" w:eastAsia="Arial" w:hAnsi="Arial"/>
          <w:sz w:val="17"/>
          <w:szCs w:val="17"/>
          <w:color w:val="auto"/>
        </w:rPr>
        <w:t>Dr. Sinclair has served as a Non-Executive Director on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2016. Dr. Sinclair was designated for appointment to our board of directors by Abingworth Bioventures VI, LP, or Abingworth, pursuant to a relationship agreement that we entered into with Abingworth in June 2016. Although such agreement automatically terminated on the closing of the 2020 Private Placement, Dr. Sinclair continues to serve as a Non-Executive Director. Since 2008, Dr. Sinclair has held various positions at Abingworth LLP, a life sciences investment group, where he is currently a Partner and Portfolio Manager. Dr. Sinclair is a member of the Institute of Chartered Accountants in England and Wales and received a Ph.D. in chemistry and genetic engineering at the BBSRC Institute of Plant Science, Norwich, and a B.Sc. in microbiology from King’s College London.</w:t>
      </w:r>
    </w:p>
    <w:p>
      <w:pPr>
        <w:spacing w:after="0" w:line="113" w:lineRule="exact"/>
        <w:rPr>
          <w:sz w:val="20"/>
          <w:szCs w:val="20"/>
          <w:color w:val="auto"/>
        </w:rPr>
      </w:pPr>
    </w:p>
    <w:p>
      <w:pPr>
        <w:ind w:left="1260" w:right="799" w:firstLine="360"/>
        <w:spacing w:after="0" w:line="252" w:lineRule="auto"/>
        <w:rPr>
          <w:sz w:val="20"/>
          <w:szCs w:val="20"/>
          <w:color w:val="auto"/>
        </w:rPr>
      </w:pPr>
      <w:r>
        <w:rPr>
          <w:rFonts w:ascii="Arial" w:cs="Arial" w:eastAsia="Arial" w:hAnsi="Arial"/>
          <w:sz w:val="18"/>
          <w:szCs w:val="18"/>
          <w:b w:val="1"/>
          <w:bCs w:val="1"/>
          <w:i w:val="1"/>
          <w:iCs w:val="1"/>
          <w:color w:val="auto"/>
        </w:rPr>
        <w:t xml:space="preserve">Vikas Sinha. </w:t>
      </w:r>
      <w:r>
        <w:rPr>
          <w:rFonts w:ascii="Arial" w:cs="Arial" w:eastAsia="Arial" w:hAnsi="Arial"/>
          <w:sz w:val="18"/>
          <w:szCs w:val="18"/>
          <w:color w:val="auto"/>
        </w:rPr>
        <w:t>Mr. Sinha has served as a Non-Executive Director on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2016. Mr. Sinha has over 20 years’ experience working in executive finance roles in the life sciences industry. Mr. Sinha is co-founder and Chief Financial Officer of ElevateBio, Inc., a holding company focused on building cell and gene therapy companies. He also serves as President and Chief Financial Officer of AlloVir, Inc., an ElevateBio portfolio company. From 2005 to 2016, Mr. Sinha was the Chief Financial Officer of Alexion Pharmaceuticals, Inc., a biotechnology company, where he was responsible for finance, business development, strategy, investor relations and IT. Prior to joining Alexion, Mr. Sinha held various positions with Bayer AG in the United States, Japan, Germany and Canada, including Vice President and Chief Financial Officer of Bayer Pharmaceuticals Corporation in the United States and Vice President and Chief Financial Officer of Bayer Yakuhin Ltd. in Japan.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13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b w:val="1"/>
          <w:bCs w:val="1"/>
          <w:i w:val="1"/>
          <w:iCs w:val="1"/>
          <w:color w:val="auto"/>
        </w:rPr>
        <w:t xml:space="preserve">Anders Ullman, M.D., Ph.D. </w:t>
      </w:r>
      <w:r>
        <w:rPr>
          <w:rFonts w:ascii="Arial" w:cs="Arial" w:eastAsia="Arial" w:hAnsi="Arial"/>
          <w:sz w:val="18"/>
          <w:szCs w:val="18"/>
          <w:color w:val="auto"/>
        </w:rPr>
        <w:t>Dr. Ullman has served as a Non-Executive Director 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since September 2015. From 2016 to 2018, Dr. Ullman served as Head of the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serves on the board of directors of Pexa AB. Dr. Ullman received a M.D. and a Ph.D. in clinical pharmacology from the University of Gothenburg.</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Senior Management</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are brief biographies of other members of the senior management team that participate in leading ensifentrine’s development.</w:t>
      </w:r>
    </w:p>
    <w:p>
      <w:pPr>
        <w:spacing w:after="0" w:line="10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b w:val="1"/>
          <w:bCs w:val="1"/>
          <w:i w:val="1"/>
          <w:iCs w:val="1"/>
          <w:color w:val="auto"/>
        </w:rPr>
        <w:t xml:space="preserve">Christopher Martin. </w:t>
      </w:r>
      <w:r>
        <w:rPr>
          <w:rFonts w:ascii="Arial" w:cs="Arial" w:eastAsia="Arial" w:hAnsi="Arial"/>
          <w:sz w:val="18"/>
          <w:szCs w:val="18"/>
          <w:color w:val="auto"/>
        </w:rPr>
        <w:t>Mr. Martin has served as our Vice President, Commercial since June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2018 to June 2020 he served as Executive Director of Marketing at SK Life Science, a subsidiary of SK Biopharmaceutical, where he was instrumental in launching the company’s first commercial product, an anti-epileptic medication. From January 2016 to November 2017 Mr. Martin was the Director of Marketing at Cempra, Inc. Mr. Martin received a bachelor’s degree in Financial Management from Clemson University.</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3460" w:val="left"/>
        </w:tabs>
        <w:rPr>
          <w:sz w:val="20"/>
          <w:szCs w:val="20"/>
          <w:color w:val="auto"/>
        </w:rPr>
      </w:pPr>
      <w:r>
        <w:rPr>
          <w:rFonts w:ascii="Arial" w:cs="Arial" w:eastAsia="Arial" w:hAnsi="Arial"/>
          <w:sz w:val="18"/>
          <w:szCs w:val="18"/>
          <w:b w:val="1"/>
          <w:bCs w:val="1"/>
          <w:i w:val="1"/>
          <w:iCs w:val="1"/>
          <w:color w:val="auto"/>
        </w:rPr>
        <w:t>Desiree Luthman, DDS.</w:t>
      </w:r>
      <w:r>
        <w:rPr>
          <w:sz w:val="20"/>
          <w:szCs w:val="20"/>
          <w:color w:val="auto"/>
        </w:rPr>
        <w:tab/>
      </w:r>
      <w:r>
        <w:rPr>
          <w:rFonts w:ascii="Arial" w:cs="Arial" w:eastAsia="Arial" w:hAnsi="Arial"/>
          <w:sz w:val="17"/>
          <w:szCs w:val="17"/>
          <w:color w:val="auto"/>
        </w:rPr>
        <w:t>Dr. Luthman has served as our Vice President, Regulatory Affairs since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June 2017. From 2015 to 2017, Dr. Luthman served as Senior Regulatory Director, Global Inflammation —</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Immunoncology Therapeutic Area at Sanofi S.A., a multinational pharmaceutical company. From 2013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2015, Dr. Luthman was a Director, Global Regulatory Strategy and Science at Bristol, Meyers &amp; Squibb</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a pharmaceutical company. Dr. Luthman received a doctorate in dentistry from the Karolinska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Institute, Stockholm, Sweden.</w:t>
      </w:r>
    </w:p>
    <w:p>
      <w:pPr>
        <w:spacing w:after="0" w:line="13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b w:val="1"/>
          <w:bCs w:val="1"/>
          <w:i w:val="1"/>
          <w:iCs w:val="1"/>
          <w:color w:val="auto"/>
        </w:rPr>
        <w:t xml:space="preserve">Tara Rheault, Ph.D. </w:t>
      </w:r>
      <w:r>
        <w:rPr>
          <w:rFonts w:ascii="Arial" w:cs="Arial" w:eastAsia="Arial" w:hAnsi="Arial"/>
          <w:sz w:val="17"/>
          <w:szCs w:val="17"/>
          <w:color w:val="auto"/>
        </w:rPr>
        <w:t>Dr. Rheault has served as our Vice President, R&amp;D and Global Project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since January 2019. From August 2015 to January 2019, Dr. Rheault served as Senior Director, Strategic Drug Development at IQVIA, a multinational company serving the combined industries of health information technologies and clinical research, where she helped pharmaceutical companies develop integrated commercial and R&amp;D strategies. Prior to IQVIA, from September 2002 to August 2015,</w:t>
      </w:r>
    </w:p>
    <w:p>
      <w:pPr>
        <w:spacing w:after="0" w:line="3" w:lineRule="exact"/>
        <w:rPr>
          <w:sz w:val="20"/>
          <w:szCs w:val="20"/>
          <w:color w:val="auto"/>
        </w:rPr>
      </w:pPr>
    </w:p>
    <w:p>
      <w:pPr>
        <w:jc w:val="both"/>
        <w:ind w:left="1260" w:right="1319"/>
        <w:spacing w:after="0" w:line="255" w:lineRule="auto"/>
        <w:rPr>
          <w:sz w:val="20"/>
          <w:szCs w:val="20"/>
          <w:color w:val="auto"/>
        </w:rPr>
      </w:pPr>
      <w:r>
        <w:rPr>
          <w:rFonts w:ascii="Arial" w:cs="Arial" w:eastAsia="Arial" w:hAnsi="Arial"/>
          <w:sz w:val="18"/>
          <w:szCs w:val="18"/>
          <w:color w:val="auto"/>
        </w:rPr>
        <w:t>Dr. Rheault served in various roles at GlaxoSmithKline, most recently as Clinical Leader within the respiratory therapy area. Dr. Rheault received a Ph.D. in organic chemistry from North Dakota State University and a Master in Public Health from the University of North Carolina.</w:t>
      </w:r>
    </w:p>
    <w:p>
      <w:pPr>
        <w:spacing w:after="0" w:line="12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b w:val="1"/>
          <w:bCs w:val="1"/>
          <w:i w:val="1"/>
          <w:iCs w:val="1"/>
          <w:color w:val="auto"/>
        </w:rPr>
        <w:t>Peter Spargo</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Ph.D. </w:t>
      </w:r>
      <w:r>
        <w:rPr>
          <w:rFonts w:ascii="Arial" w:cs="Arial" w:eastAsia="Arial" w:hAnsi="Arial"/>
          <w:sz w:val="18"/>
          <w:szCs w:val="18"/>
          <w:color w:val="auto"/>
        </w:rPr>
        <w:t>Dr. Spargo has served as our Senior Vice President, Chemistry Manufacturing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Controls since May 2014. From January to October 2015, Dr. Spargo 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162"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There are no family relationships among any of the members of our board of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PRINCIPAL AND SELLING SHAREHOLDERS</w:t>
      </w:r>
    </w:p>
    <w:p>
      <w:pPr>
        <w:spacing w:after="0" w:line="148"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The following table sets forth information relating to the beneficial ownership of our ordinary shares as of July 31, 2020, by:</w:t>
      </w:r>
    </w:p>
    <w:p>
      <w:pPr>
        <w:spacing w:after="0" w:line="63" w:lineRule="exact"/>
        <w:rPr>
          <w:sz w:val="20"/>
          <w:szCs w:val="20"/>
          <w:color w:val="auto"/>
        </w:rPr>
      </w:pPr>
    </w:p>
    <w:p>
      <w:pPr>
        <w:ind w:left="1800" w:right="97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owns 3% or more of our outstanding ordinary shares (including ordinary shares in the form of our ADSs);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member of our board of directors and each of our executive officers; and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selling shareholder.</w:t>
      </w:r>
    </w:p>
    <w:p>
      <w:pPr>
        <w:spacing w:after="0" w:line="158" w:lineRule="exact"/>
        <w:rPr>
          <w:sz w:val="20"/>
          <w:szCs w:val="20"/>
          <w:color w:val="auto"/>
        </w:rPr>
      </w:pPr>
    </w:p>
    <w:p>
      <w:pPr>
        <w:ind w:left="1260" w:right="859" w:firstLine="360"/>
        <w:spacing w:after="0" w:line="238"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July 31, 2020,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13"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The percentage of ordinary shares beneficially owned is computed on the basis of 414,278,294 of our ordinary shares outstanding (including ordinary shares in the form of ADSs) as of July 31, 2020. Ordinary shares that a person has the right to acquire within 60 days of July 31, 2020 are deemed outstanding for purposes of computing the percentage ownership of the person holding such rights, but are not deemed outstanding for purposes of computing the percentage ownership of any other person. The shares beneficially owned after the offering assumes that each selling shareholder sells all of the ordinary shares acquired by such holder in the 2020 Private Placement or Concurrent Placement, including ordinary shares acquired upon the re-designation of non-voting ordinary shares acquired in the 2020 Private Placement. As of July 31, 2020, 387,037,904 ordinary shares, representing 84.7% of our issued and outstanding ordinary shares were held in the form of our ADSs. Unless otherwise indicated below, the address for each beneficial owner listed is c/o Verona Pharma plc, 3 More London Riverside, London SE1 2RE UK.</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Shares Beneficially Owned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Shares Beneficially Owned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jc w:val="center"/>
              <w:ind w:left="561"/>
              <w:spacing w:after="0"/>
              <w:rPr>
                <w:sz w:val="20"/>
                <w:szCs w:val="20"/>
                <w:color w:val="auto"/>
              </w:rPr>
            </w:pPr>
            <w:r>
              <w:rPr>
                <w:rFonts w:ascii="Arial" w:cs="Arial" w:eastAsia="Arial" w:hAnsi="Arial"/>
                <w:sz w:val="14"/>
                <w:szCs w:val="14"/>
                <w:b w:val="1"/>
                <w:bCs w:val="1"/>
                <w:color w:val="auto"/>
                <w:w w:val="92"/>
              </w:rPr>
              <w:t>Prior to Offering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After Offering</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Number of</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Non-Voting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Non-Voting</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Ordinary</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Ordinary</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Being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Ordinary</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8"/>
              </w:rPr>
              <w:t>Name and address of beneficial owner</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Offered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5"/>
        </w:trPr>
        <w:tc>
          <w:tcPr>
            <w:tcW w:w="2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w w:val="99"/>
              </w:rPr>
              <w:t>3% or Greater Shareholders and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selling shareholders: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line="229" w:lineRule="exact"/>
              <w:rPr>
                <w:sz w:val="20"/>
                <w:szCs w:val="20"/>
                <w:color w:val="auto"/>
              </w:rPr>
            </w:pPr>
            <w:r>
              <w:rPr>
                <w:rFonts w:ascii="Arial" w:cs="Arial" w:eastAsia="Arial" w:hAnsi="Arial"/>
                <w:sz w:val="16"/>
                <w:szCs w:val="16"/>
                <w:color w:val="auto"/>
              </w:rPr>
              <w:t>Novo A/S</w:t>
            </w:r>
            <w:r>
              <w:rPr>
                <w:rFonts w:ascii="Arial" w:cs="Arial" w:eastAsia="Arial" w:hAnsi="Arial"/>
                <w:sz w:val="25"/>
                <w:szCs w:val="25"/>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23,048,499</w:t>
            </w:r>
          </w:p>
        </w:tc>
        <w:tc>
          <w:tcPr>
            <w:tcW w:w="100" w:type="dxa"/>
            <w:vAlign w:val="bottom"/>
          </w:tcPr>
          <w:p>
            <w:pPr>
              <w:spacing w:after="0"/>
              <w:rPr>
                <w:sz w:val="19"/>
                <w:szCs w:val="19"/>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8,888,888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14,159,611</w:t>
            </w:r>
          </w:p>
        </w:tc>
        <w:tc>
          <w:tcPr>
            <w:tcW w:w="100" w:type="dxa"/>
            <w:vAlign w:val="bottom"/>
          </w:tcPr>
          <w:p>
            <w:pPr>
              <w:spacing w:after="0"/>
              <w:rPr>
                <w:sz w:val="19"/>
                <w:szCs w:val="19"/>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Vivo Capital affiliates</w:t>
            </w:r>
            <w:r>
              <w:rPr>
                <w:rFonts w:ascii="Arial" w:cs="Arial" w:eastAsia="Arial" w:hAnsi="Arial"/>
                <w:sz w:val="25"/>
                <w:szCs w:val="25"/>
                <w:color w:val="auto"/>
                <w:vertAlign w:val="superscript"/>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26,256,032</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12,444,448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13,811,584</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OrbiMed affiliates</w:t>
            </w:r>
            <w:r>
              <w:rPr>
                <w:rFonts w:ascii="Arial" w:cs="Arial" w:eastAsia="Arial" w:hAnsi="Arial"/>
                <w:sz w:val="25"/>
                <w:szCs w:val="25"/>
                <w:color w:val="auto"/>
                <w:vertAlign w:val="superscript"/>
              </w:rPr>
              <w:t>(3)</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47,426,666</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11.40%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35,555,560</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11,871,106</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75"/>
        </w:trPr>
        <w:tc>
          <w:tcPr>
            <w:tcW w:w="25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New Enterprise Associates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6"/>
                <w:szCs w:val="16"/>
                <w:color w:val="auto"/>
              </w:rPr>
              <w:t>affiliates</w:t>
            </w:r>
            <w:r>
              <w:rPr>
                <w:rFonts w:ascii="Arial" w:cs="Arial" w:eastAsia="Arial" w:hAnsi="Arial"/>
                <w:sz w:val="25"/>
                <w:szCs w:val="25"/>
                <w:color w:val="auto"/>
                <w:vertAlign w:val="superscript"/>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42,638,131</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31,111,112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11,527,019</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Abingworth Bioventures VI, LP</w:t>
            </w:r>
            <w:r>
              <w:rPr>
                <w:rFonts w:ascii="Arial" w:cs="Arial" w:eastAsia="Arial" w:hAnsi="Arial"/>
                <w:sz w:val="25"/>
                <w:szCs w:val="25"/>
                <w:color w:val="auto"/>
                <w:vertAlign w:val="superscript"/>
              </w:rPr>
              <w:t>(5)</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21,064,222</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12,444,448</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8,619,774</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Tekla Capital affiliates</w:t>
            </w:r>
            <w:r>
              <w:rPr>
                <w:rFonts w:ascii="Arial" w:cs="Arial" w:eastAsia="Arial" w:hAnsi="Arial"/>
                <w:sz w:val="25"/>
                <w:szCs w:val="25"/>
                <w:color w:val="auto"/>
                <w:vertAlign w:val="superscript"/>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6,900,061</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1,777,784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5,122,277</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Polar Capital Holdings plc</w:t>
            </w:r>
            <w:r>
              <w:rPr>
                <w:rFonts w:ascii="Arial" w:cs="Arial" w:eastAsia="Arial" w:hAnsi="Arial"/>
                <w:sz w:val="25"/>
                <w:szCs w:val="25"/>
                <w:color w:val="auto"/>
                <w:vertAlign w:val="superscript"/>
              </w:rPr>
              <w:t>(7)</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11,679,931</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7,111,112</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4,568,819</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Aisling Capital IV, LP</w:t>
            </w:r>
            <w:r>
              <w:rPr>
                <w:rFonts w:ascii="Arial" w:cs="Arial" w:eastAsia="Arial" w:hAnsi="Arial"/>
                <w:sz w:val="25"/>
                <w:szCs w:val="25"/>
                <w:color w:val="auto"/>
                <w:vertAlign w:val="superscript"/>
              </w:rPr>
              <w:t>(8)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11,249,755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7,111,112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4,138,643</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Inshan Sinha 2019 Trust</w:t>
            </w:r>
            <w:r>
              <w:rPr>
                <w:rFonts w:ascii="Arial" w:cs="Arial" w:eastAsia="Arial" w:hAnsi="Arial"/>
                <w:sz w:val="25"/>
                <w:szCs w:val="25"/>
                <w:color w:val="auto"/>
                <w:vertAlign w:val="superscript"/>
              </w:rPr>
              <w:t>(9)</w:t>
            </w:r>
          </w:p>
        </w:tc>
        <w:tc>
          <w:tcPr>
            <w:tcW w:w="740" w:type="dxa"/>
            <w:vAlign w:val="bottom"/>
          </w:tcPr>
          <w:p>
            <w:pPr>
              <w:jc w:val="right"/>
              <w:spacing w:after="0"/>
              <w:rPr>
                <w:sz w:val="20"/>
                <w:szCs w:val="20"/>
                <w:color w:val="auto"/>
              </w:rPr>
            </w:pPr>
            <w:r>
              <w:rPr>
                <w:rFonts w:ascii="Arial" w:cs="Arial" w:eastAsia="Arial" w:hAnsi="Arial"/>
                <w:sz w:val="16"/>
                <w:szCs w:val="16"/>
                <w:color w:val="auto"/>
              </w:rPr>
              <w:t>355,552</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266,664</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88,888</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Natasha Sinha 2019 Trust</w:t>
            </w:r>
            <w:r>
              <w:rPr>
                <w:rFonts w:ascii="Arial" w:cs="Arial" w:eastAsia="Arial" w:hAnsi="Arial"/>
                <w:sz w:val="25"/>
                <w:szCs w:val="25"/>
                <w:color w:val="auto"/>
                <w:vertAlign w:val="superscript"/>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355,552</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266,664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88,888</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Foresite Capital Fund III, L.P.</w:t>
            </w:r>
            <w:r>
              <w:rPr>
                <w:rFonts w:ascii="Arial" w:cs="Arial" w:eastAsia="Arial" w:hAnsi="Arial"/>
                <w:sz w:val="25"/>
                <w:szCs w:val="25"/>
                <w:color w:val="auto"/>
                <w:vertAlign w:val="superscript"/>
              </w:rPr>
              <w:t>(11)</w:t>
            </w:r>
          </w:p>
        </w:tc>
        <w:tc>
          <w:tcPr>
            <w:tcW w:w="740" w:type="dxa"/>
            <w:vAlign w:val="bottom"/>
          </w:tcPr>
          <w:p>
            <w:pPr>
              <w:jc w:val="right"/>
              <w:spacing w:after="0"/>
              <w:rPr>
                <w:sz w:val="20"/>
                <w:szCs w:val="20"/>
                <w:color w:val="auto"/>
              </w:rPr>
            </w:pPr>
            <w:r>
              <w:rPr>
                <w:rFonts w:ascii="Arial" w:cs="Arial" w:eastAsia="Arial" w:hAnsi="Arial"/>
                <w:sz w:val="16"/>
                <w:szCs w:val="16"/>
                <w:color w:val="auto"/>
              </w:rPr>
              <w:t>8,888,896</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8,888,896</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5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RA Capital Management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6"/>
                <w:szCs w:val="16"/>
                <w:color w:val="auto"/>
              </w:rPr>
              <w:t>affiliates</w:t>
            </w:r>
            <w:r>
              <w:rPr>
                <w:rFonts w:ascii="Arial" w:cs="Arial" w:eastAsia="Arial" w:hAnsi="Arial"/>
                <w:sz w:val="25"/>
                <w:szCs w:val="25"/>
                <w:color w:val="auto"/>
                <w:vertAlign w:val="superscript"/>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46,025,807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48,088,896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88,888,896</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line="242" w:lineRule="exact"/>
              <w:rPr>
                <w:sz w:val="20"/>
                <w:szCs w:val="20"/>
                <w:color w:val="auto"/>
              </w:rPr>
            </w:pPr>
            <w:r>
              <w:rPr>
                <w:rFonts w:ascii="Arial" w:cs="Arial" w:eastAsia="Arial" w:hAnsi="Arial"/>
                <w:sz w:val="16"/>
                <w:szCs w:val="16"/>
                <w:color w:val="auto"/>
              </w:rPr>
              <w:t>AI Biotechnology LLC</w:t>
            </w:r>
            <w:r>
              <w:rPr>
                <w:rFonts w:ascii="Arial" w:cs="Arial" w:eastAsia="Arial" w:hAnsi="Arial"/>
                <w:sz w:val="25"/>
                <w:szCs w:val="25"/>
                <w:color w:val="auto"/>
                <w:vertAlign w:val="superscript"/>
              </w:rPr>
              <w:t>(13)</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44,444,448</w:t>
            </w:r>
          </w:p>
        </w:tc>
        <w:tc>
          <w:tcPr>
            <w:tcW w:w="10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10.73%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44,444,448</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5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Perceptive Life Sciences Master</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6"/>
                <w:szCs w:val="16"/>
                <w:color w:val="auto"/>
              </w:rPr>
              <w:t>Fund, Ltd.</w:t>
            </w:r>
            <w:r>
              <w:rPr>
                <w:rFonts w:ascii="Arial" w:cs="Arial" w:eastAsia="Arial" w:hAnsi="Arial"/>
                <w:sz w:val="25"/>
                <w:szCs w:val="25"/>
                <w:color w:val="auto"/>
                <w:vertAlign w:val="superscript"/>
              </w:rPr>
              <w:t>(14)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23,111,112</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23,111,112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-2742565</wp:posOffset>
            </wp:positionV>
            <wp:extent cx="10115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-2742565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-2742565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-2742565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-2742565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-2742565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7"/>
              </w:rPr>
              <w:t>Shares Beneficially Owned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Shares Beneficially Owned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center"/>
              <w:ind w:left="600"/>
              <w:spacing w:after="0"/>
              <w:rPr>
                <w:sz w:val="20"/>
                <w:szCs w:val="20"/>
                <w:color w:val="auto"/>
              </w:rPr>
            </w:pPr>
            <w:r>
              <w:rPr>
                <w:rFonts w:ascii="Arial" w:cs="Arial" w:eastAsia="Arial" w:hAnsi="Arial"/>
                <w:sz w:val="14"/>
                <w:szCs w:val="14"/>
                <w:b w:val="1"/>
                <w:bCs w:val="1"/>
                <w:color w:val="auto"/>
                <w:w w:val="92"/>
              </w:rPr>
              <w:t>Prior to Offering</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After Offering</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Number of</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Non-Voting</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Non-Voting</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Ordinary</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Ordinary</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Being</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Ordinary</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Ordinary</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Percentage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 xml:space="preserve">Acorn Bioventures VI L.P. </w:t>
            </w:r>
            <w:r>
              <w:rPr>
                <w:rFonts w:ascii="Arial" w:cs="Arial" w:eastAsia="Arial" w:hAnsi="Arial"/>
                <w:sz w:val="25"/>
                <w:szCs w:val="25"/>
                <w:color w:val="auto"/>
                <w:vertAlign w:val="superscript"/>
              </w:rPr>
              <w:t>(15)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12,444,448</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12,444,448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600" w:type="dxa"/>
            <w:vAlign w:val="bottom"/>
            <w:gridSpan w:val="3"/>
          </w:tcPr>
          <w:p>
            <w:pPr>
              <w:spacing w:after="0"/>
              <w:rPr>
                <w:sz w:val="20"/>
                <w:szCs w:val="20"/>
                <w:color w:val="auto"/>
              </w:rPr>
            </w:pPr>
            <w:r>
              <w:rPr>
                <w:rFonts w:ascii="Arial" w:cs="Arial" w:eastAsia="Arial" w:hAnsi="Arial"/>
                <w:sz w:val="16"/>
                <w:szCs w:val="16"/>
                <w:color w:val="auto"/>
              </w:rPr>
              <w:t>Entities affiliated with Paul B.</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tcPr>
          <w:p>
            <w:pPr>
              <w:ind w:left="140"/>
              <w:spacing w:after="0" w:line="242" w:lineRule="exact"/>
              <w:rPr>
                <w:sz w:val="20"/>
                <w:szCs w:val="20"/>
                <w:color w:val="auto"/>
              </w:rPr>
            </w:pPr>
            <w:r>
              <w:rPr>
                <w:rFonts w:ascii="Arial" w:cs="Arial" w:eastAsia="Arial" w:hAnsi="Arial"/>
                <w:sz w:val="16"/>
                <w:szCs w:val="16"/>
                <w:color w:val="auto"/>
              </w:rPr>
              <w:t>Manning</w:t>
            </w:r>
            <w:r>
              <w:rPr>
                <w:rFonts w:ascii="Arial" w:cs="Arial" w:eastAsia="Arial" w:hAnsi="Arial"/>
                <w:sz w:val="25"/>
                <w:szCs w:val="25"/>
                <w:color w:val="auto"/>
                <w:vertAlign w:val="superscript"/>
              </w:rPr>
              <w:t>(16)</w:t>
            </w:r>
          </w:p>
        </w:tc>
        <w:tc>
          <w:tcPr>
            <w:tcW w:w="760" w:type="dxa"/>
            <w:vAlign w:val="bottom"/>
          </w:tcPr>
          <w:p>
            <w:pPr>
              <w:jc w:val="right"/>
              <w:spacing w:after="0"/>
              <w:rPr>
                <w:sz w:val="20"/>
                <w:szCs w:val="20"/>
                <w:color w:val="auto"/>
              </w:rPr>
            </w:pPr>
            <w:r>
              <w:rPr>
                <w:rFonts w:ascii="Arial" w:cs="Arial" w:eastAsia="Arial" w:hAnsi="Arial"/>
                <w:sz w:val="16"/>
                <w:szCs w:val="16"/>
                <w:color w:val="auto"/>
                <w:w w:val="89"/>
              </w:rPr>
              <w:t>12,444,448</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12,444,448</w:t>
            </w: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 xml:space="preserve">Samsara BioCapital, L.P. </w:t>
            </w:r>
            <w:r>
              <w:rPr>
                <w:rFonts w:ascii="Arial" w:cs="Arial" w:eastAsia="Arial" w:hAnsi="Arial"/>
                <w:sz w:val="25"/>
                <w:szCs w:val="25"/>
                <w:color w:val="auto"/>
                <w:vertAlign w:val="superscript"/>
              </w:rPr>
              <w:t>(17)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8,888,896</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8,888,896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tcPr>
          <w:p>
            <w:pPr>
              <w:spacing w:after="0" w:line="242" w:lineRule="exact"/>
              <w:rPr>
                <w:sz w:val="20"/>
                <w:szCs w:val="20"/>
                <w:color w:val="auto"/>
              </w:rPr>
            </w:pPr>
            <w:r>
              <w:rPr>
                <w:rFonts w:ascii="Arial" w:cs="Arial" w:eastAsia="Arial" w:hAnsi="Arial"/>
                <w:sz w:val="16"/>
                <w:szCs w:val="16"/>
                <w:color w:val="auto"/>
              </w:rPr>
              <w:t>Sphera affiliates</w:t>
            </w:r>
            <w:r>
              <w:rPr>
                <w:rFonts w:ascii="Arial" w:cs="Arial" w:eastAsia="Arial" w:hAnsi="Arial"/>
                <w:sz w:val="25"/>
                <w:szCs w:val="25"/>
                <w:color w:val="auto"/>
                <w:vertAlign w:val="superscript"/>
              </w:rPr>
              <w:t>(18)</w:t>
            </w:r>
          </w:p>
        </w:tc>
        <w:tc>
          <w:tcPr>
            <w:tcW w:w="760" w:type="dxa"/>
            <w:vAlign w:val="bottom"/>
          </w:tcPr>
          <w:p>
            <w:pPr>
              <w:jc w:val="right"/>
              <w:spacing w:after="0"/>
              <w:rPr>
                <w:sz w:val="20"/>
                <w:szCs w:val="20"/>
                <w:color w:val="auto"/>
              </w:rPr>
            </w:pPr>
            <w:r>
              <w:rPr>
                <w:rFonts w:ascii="Arial" w:cs="Arial" w:eastAsia="Arial" w:hAnsi="Arial"/>
                <w:sz w:val="16"/>
                <w:szCs w:val="16"/>
                <w:color w:val="auto"/>
              </w:rPr>
              <w:t>8,000,000</w:t>
            </w:r>
          </w:p>
        </w:tc>
        <w:tc>
          <w:tcPr>
            <w:tcW w:w="100" w:type="dxa"/>
            <w:vAlign w:val="bottom"/>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8,000,000</w:t>
            </w: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w w:val="96"/>
              </w:rPr>
              <w:t>Soleus Capital Master Fund, L.P.</w:t>
            </w:r>
            <w:r>
              <w:rPr>
                <w:rFonts w:ascii="Arial" w:cs="Arial" w:eastAsia="Arial" w:hAnsi="Arial"/>
                <w:sz w:val="25"/>
                <w:szCs w:val="25"/>
                <w:color w:val="auto"/>
                <w:w w:val="96"/>
                <w:vertAlign w:val="superscript"/>
              </w:rPr>
              <w:t>(19)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7,111,112</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7,111,112</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Fairmount affiliates</w:t>
            </w:r>
            <w:r>
              <w:rPr>
                <w:rFonts w:ascii="Arial" w:cs="Arial" w:eastAsia="Arial" w:hAnsi="Arial"/>
                <w:sz w:val="25"/>
                <w:szCs w:val="25"/>
                <w:color w:val="auto"/>
                <w:vertAlign w:val="superscript"/>
              </w:rPr>
              <w:t>(20)</w:t>
            </w:r>
          </w:p>
        </w:tc>
        <w:tc>
          <w:tcPr>
            <w:tcW w:w="760" w:type="dxa"/>
            <w:vAlign w:val="bottom"/>
          </w:tcPr>
          <w:p>
            <w:pPr>
              <w:jc w:val="right"/>
              <w:spacing w:after="0"/>
              <w:rPr>
                <w:sz w:val="20"/>
                <w:szCs w:val="20"/>
                <w:color w:val="auto"/>
              </w:rPr>
            </w:pPr>
            <w:r>
              <w:rPr>
                <w:rFonts w:ascii="Arial" w:cs="Arial" w:eastAsia="Arial" w:hAnsi="Arial"/>
                <w:sz w:val="16"/>
                <w:szCs w:val="16"/>
                <w:color w:val="auto"/>
              </w:rPr>
              <w:t>7,111,112</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7,111,112</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Ghost Tree Master Fund, LP</w:t>
            </w:r>
            <w:r>
              <w:rPr>
                <w:rFonts w:ascii="Arial" w:cs="Arial" w:eastAsia="Arial" w:hAnsi="Arial"/>
                <w:sz w:val="25"/>
                <w:szCs w:val="25"/>
                <w:color w:val="auto"/>
                <w:vertAlign w:val="superscript"/>
              </w:rPr>
              <w:t>(21)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4,444,448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4,444,448</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CVI Investments, Inc.</w:t>
            </w:r>
            <w:r>
              <w:rPr>
                <w:rFonts w:ascii="Arial" w:cs="Arial" w:eastAsia="Arial" w:hAnsi="Arial"/>
                <w:sz w:val="25"/>
                <w:szCs w:val="25"/>
                <w:color w:val="auto"/>
                <w:vertAlign w:val="superscript"/>
              </w:rPr>
              <w:t>(22)</w:t>
            </w:r>
          </w:p>
        </w:tc>
        <w:tc>
          <w:tcPr>
            <w:tcW w:w="760" w:type="dxa"/>
            <w:vAlign w:val="bottom"/>
          </w:tcPr>
          <w:p>
            <w:pPr>
              <w:jc w:val="right"/>
              <w:spacing w:after="0"/>
              <w:rPr>
                <w:sz w:val="20"/>
                <w:szCs w:val="20"/>
                <w:color w:val="auto"/>
              </w:rPr>
            </w:pPr>
            <w:r>
              <w:rPr>
                <w:rFonts w:ascii="Arial" w:cs="Arial" w:eastAsia="Arial" w:hAnsi="Arial"/>
                <w:sz w:val="16"/>
                <w:szCs w:val="16"/>
                <w:color w:val="auto"/>
              </w:rPr>
              <w:t>3,555,560</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3,555,560</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Logos Global Master Fund, L.P.</w:t>
            </w:r>
            <w:r>
              <w:rPr>
                <w:rFonts w:ascii="Arial" w:cs="Arial" w:eastAsia="Arial" w:hAnsi="Arial"/>
                <w:sz w:val="25"/>
                <w:szCs w:val="25"/>
                <w:color w:val="auto"/>
                <w:vertAlign w:val="superscript"/>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2,666,672</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2,666,672</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 xml:space="preserve">Altium Growth Fund, L.P. </w:t>
            </w:r>
            <w:r>
              <w:rPr>
                <w:rFonts w:ascii="Arial" w:cs="Arial" w:eastAsia="Arial" w:hAnsi="Arial"/>
                <w:sz w:val="25"/>
                <w:szCs w:val="25"/>
                <w:color w:val="auto"/>
                <w:vertAlign w:val="superscript"/>
              </w:rPr>
              <w:t>(24)</w:t>
            </w:r>
          </w:p>
        </w:tc>
        <w:tc>
          <w:tcPr>
            <w:tcW w:w="760" w:type="dxa"/>
            <w:vAlign w:val="bottom"/>
          </w:tcPr>
          <w:p>
            <w:pPr>
              <w:jc w:val="right"/>
              <w:spacing w:after="0"/>
              <w:rPr>
                <w:sz w:val="20"/>
                <w:szCs w:val="20"/>
                <w:color w:val="auto"/>
              </w:rPr>
            </w:pPr>
            <w:r>
              <w:rPr>
                <w:rFonts w:ascii="Arial" w:cs="Arial" w:eastAsia="Arial" w:hAnsi="Arial"/>
                <w:sz w:val="16"/>
                <w:szCs w:val="16"/>
                <w:color w:val="auto"/>
              </w:rPr>
              <w:t>1,777,784</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1,777,784</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DAFNA affiliates</w:t>
            </w:r>
            <w:r>
              <w:rPr>
                <w:rFonts w:ascii="Arial" w:cs="Arial" w:eastAsia="Arial" w:hAnsi="Arial"/>
                <w:sz w:val="25"/>
                <w:szCs w:val="25"/>
                <w:color w:val="auto"/>
                <w:vertAlign w:val="superscript"/>
              </w:rPr>
              <w:t>(25)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1,777,776</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1,777,776</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John A. Stalfort III</w:t>
            </w:r>
            <w:r>
              <w:rPr>
                <w:rFonts w:ascii="Arial" w:cs="Arial" w:eastAsia="Arial" w:hAnsi="Arial"/>
                <w:sz w:val="25"/>
                <w:szCs w:val="25"/>
                <w:color w:val="auto"/>
                <w:vertAlign w:val="superscript"/>
              </w:rPr>
              <w:t>(26)</w:t>
            </w:r>
          </w:p>
        </w:tc>
        <w:tc>
          <w:tcPr>
            <w:tcW w:w="760" w:type="dxa"/>
            <w:vAlign w:val="bottom"/>
          </w:tcPr>
          <w:p>
            <w:pPr>
              <w:jc w:val="right"/>
              <w:spacing w:after="0"/>
              <w:rPr>
                <w:sz w:val="20"/>
                <w:szCs w:val="20"/>
                <w:color w:val="auto"/>
              </w:rPr>
            </w:pPr>
            <w:r>
              <w:rPr>
                <w:rFonts w:ascii="Arial" w:cs="Arial" w:eastAsia="Arial" w:hAnsi="Arial"/>
                <w:sz w:val="16"/>
                <w:szCs w:val="16"/>
                <w:color w:val="auto"/>
              </w:rPr>
              <w:t>888,896</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888,896</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Revach Fund LP</w:t>
            </w:r>
            <w:r>
              <w:rPr>
                <w:rFonts w:ascii="Arial" w:cs="Arial" w:eastAsia="Arial" w:hAnsi="Arial"/>
                <w:sz w:val="25"/>
                <w:szCs w:val="25"/>
                <w:color w:val="auto"/>
                <w:vertAlign w:val="superscript"/>
              </w:rPr>
              <w:t>(27)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444,448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444,448</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Steven M. Goldman</w:t>
            </w:r>
            <w:r>
              <w:rPr>
                <w:rFonts w:ascii="Arial" w:cs="Arial" w:eastAsia="Arial" w:hAnsi="Arial"/>
                <w:sz w:val="25"/>
                <w:szCs w:val="25"/>
                <w:color w:val="auto"/>
                <w:vertAlign w:val="superscript"/>
              </w:rPr>
              <w:t>(28)</w:t>
            </w:r>
          </w:p>
        </w:tc>
        <w:tc>
          <w:tcPr>
            <w:tcW w:w="760" w:type="dxa"/>
            <w:vAlign w:val="bottom"/>
          </w:tcPr>
          <w:p>
            <w:pPr>
              <w:jc w:val="right"/>
              <w:spacing w:after="0"/>
              <w:rPr>
                <w:sz w:val="20"/>
                <w:szCs w:val="20"/>
                <w:color w:val="auto"/>
              </w:rPr>
            </w:pPr>
            <w:r>
              <w:rPr>
                <w:rFonts w:ascii="Arial" w:cs="Arial" w:eastAsia="Arial" w:hAnsi="Arial"/>
                <w:sz w:val="16"/>
                <w:szCs w:val="16"/>
                <w:color w:val="auto"/>
              </w:rPr>
              <w:t>444,448</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444,448</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Parallax Biomedical Fund, LP</w:t>
            </w:r>
            <w:r>
              <w:rPr>
                <w:rFonts w:ascii="Arial" w:cs="Arial" w:eastAsia="Arial" w:hAnsi="Arial"/>
                <w:sz w:val="25"/>
                <w:szCs w:val="25"/>
                <w:color w:val="auto"/>
                <w:vertAlign w:val="superscript"/>
              </w:rPr>
              <w:t>(29)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355,560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355,560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00" w:type="dxa"/>
            <w:vAlign w:val="bottom"/>
            <w:gridSpan w:val="3"/>
          </w:tcPr>
          <w:p>
            <w:pPr>
              <w:spacing w:after="0"/>
              <w:rPr>
                <w:sz w:val="20"/>
                <w:szCs w:val="20"/>
                <w:color w:val="auto"/>
              </w:rPr>
            </w:pPr>
            <w:r>
              <w:rPr>
                <w:rFonts w:ascii="Arial" w:cs="Arial" w:eastAsia="Arial" w:hAnsi="Arial"/>
                <w:sz w:val="16"/>
                <w:szCs w:val="16"/>
                <w:b w:val="1"/>
                <w:bCs w:val="1"/>
                <w:color w:val="auto"/>
              </w:rPr>
              <w:t>Executive Officers and Directors: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David Zaccardelli, Pharm.D</w:t>
            </w:r>
            <w:r>
              <w:rPr>
                <w:rFonts w:ascii="Arial" w:cs="Arial" w:eastAsia="Arial" w:hAnsi="Arial"/>
                <w:sz w:val="25"/>
                <w:szCs w:val="25"/>
                <w:color w:val="auto"/>
                <w:vertAlign w:val="superscript"/>
              </w:rPr>
              <w:t>(30)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757,440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313,000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Mark W. Hahn</w:t>
            </w:r>
            <w:r>
              <w:rPr>
                <w:rFonts w:ascii="Arial" w:cs="Arial" w:eastAsia="Arial" w:hAnsi="Arial"/>
                <w:sz w:val="25"/>
                <w:szCs w:val="25"/>
                <w:color w:val="auto"/>
                <w:vertAlign w:val="superscript"/>
              </w:rPr>
              <w:t>(31)</w:t>
            </w:r>
          </w:p>
        </w:tc>
        <w:tc>
          <w:tcPr>
            <w:tcW w:w="760" w:type="dxa"/>
            <w:vAlign w:val="bottom"/>
          </w:tcPr>
          <w:p>
            <w:pPr>
              <w:jc w:val="right"/>
              <w:spacing w:after="0"/>
              <w:rPr>
                <w:sz w:val="20"/>
                <w:szCs w:val="20"/>
                <w:color w:val="auto"/>
              </w:rPr>
            </w:pPr>
            <w:r>
              <w:rPr>
                <w:rFonts w:ascii="Arial" w:cs="Arial" w:eastAsia="Arial" w:hAnsi="Arial"/>
                <w:sz w:val="16"/>
                <w:szCs w:val="16"/>
                <w:color w:val="auto"/>
              </w:rPr>
              <w:t>329,248</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177,784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151,464</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 xml:space="preserve">Kathleen Rickard, M.D. </w:t>
            </w:r>
            <w:r>
              <w:rPr>
                <w:rFonts w:ascii="Arial" w:cs="Arial" w:eastAsia="Arial" w:hAnsi="Arial"/>
                <w:sz w:val="25"/>
                <w:szCs w:val="25"/>
                <w:color w:val="auto"/>
                <w:vertAlign w:val="superscript"/>
              </w:rPr>
              <w:t>(32)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198,328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198,328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Claire Poll</w:t>
            </w:r>
            <w:r>
              <w:rPr>
                <w:rFonts w:ascii="Arial" w:cs="Arial" w:eastAsia="Arial" w:hAnsi="Arial"/>
                <w:sz w:val="25"/>
                <w:szCs w:val="25"/>
                <w:color w:val="auto"/>
                <w:vertAlign w:val="superscript"/>
              </w:rPr>
              <w:t>(33)</w:t>
            </w:r>
          </w:p>
        </w:tc>
        <w:tc>
          <w:tcPr>
            <w:tcW w:w="760" w:type="dxa"/>
            <w:vAlign w:val="bottom"/>
          </w:tcPr>
          <w:p>
            <w:pPr>
              <w:jc w:val="right"/>
              <w:spacing w:after="0"/>
              <w:rPr>
                <w:sz w:val="20"/>
                <w:szCs w:val="20"/>
                <w:color w:val="auto"/>
              </w:rPr>
            </w:pPr>
            <w:r>
              <w:rPr>
                <w:rFonts w:ascii="Arial" w:cs="Arial" w:eastAsia="Arial" w:hAnsi="Arial"/>
                <w:sz w:val="16"/>
                <w:szCs w:val="16"/>
                <w:color w:val="auto"/>
              </w:rPr>
              <w:t>1,144,803</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1,144,803</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 Cunningham, M.D.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600" w:type="dxa"/>
            <w:vAlign w:val="bottom"/>
            <w:gridSpan w:val="3"/>
          </w:tcPr>
          <w:p>
            <w:pPr>
              <w:spacing w:after="0" w:line="257" w:lineRule="exact"/>
              <w:rPr>
                <w:sz w:val="20"/>
                <w:szCs w:val="20"/>
                <w:color w:val="auto"/>
              </w:rPr>
            </w:pPr>
            <w:r>
              <w:rPr>
                <w:rFonts w:ascii="Arial" w:cs="Arial" w:eastAsia="Arial" w:hAnsi="Arial"/>
                <w:sz w:val="16"/>
                <w:szCs w:val="16"/>
                <w:color w:val="auto"/>
              </w:rPr>
              <w:t>Martin Edwards</w:t>
            </w:r>
            <w:r>
              <w:rPr>
                <w:rFonts w:ascii="Arial" w:cs="Arial" w:eastAsia="Arial" w:hAnsi="Arial"/>
                <w:sz w:val="25"/>
                <w:szCs w:val="25"/>
                <w:color w:val="auto"/>
                <w:vertAlign w:val="superscript"/>
              </w:rPr>
              <w:t>(34)</w:t>
            </w:r>
          </w:p>
        </w:tc>
        <w:tc>
          <w:tcPr>
            <w:tcW w:w="760" w:type="dxa"/>
            <w:vAlign w:val="bottom"/>
          </w:tcPr>
          <w:p>
            <w:pPr>
              <w:jc w:val="right"/>
              <w:spacing w:after="0"/>
              <w:rPr>
                <w:sz w:val="20"/>
                <w:szCs w:val="20"/>
                <w:color w:val="auto"/>
              </w:rPr>
            </w:pPr>
            <w:r>
              <w:rPr>
                <w:rFonts w:ascii="Arial" w:cs="Arial" w:eastAsia="Arial" w:hAnsi="Arial"/>
                <w:sz w:val="16"/>
                <w:szCs w:val="16"/>
                <w:color w:val="auto"/>
              </w:rPr>
              <w:t>53,328</w:t>
            </w:r>
          </w:p>
        </w:tc>
        <w:tc>
          <w:tcPr>
            <w:tcW w:w="100" w:type="dxa"/>
            <w:vAlign w:val="bottom"/>
          </w:tcPr>
          <w:p>
            <w:pPr>
              <w:spacing w:after="0"/>
              <w:rPr>
                <w:sz w:val="22"/>
                <w:szCs w:val="2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53,328</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David Ebsworth, Ph.D.</w:t>
            </w:r>
            <w:r>
              <w:rPr>
                <w:rFonts w:ascii="Arial" w:cs="Arial" w:eastAsia="Arial" w:hAnsi="Arial"/>
                <w:sz w:val="25"/>
                <w:szCs w:val="25"/>
                <w:color w:val="auto"/>
                <w:vertAlign w:val="superscript"/>
              </w:rPr>
              <w:t>(35)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622,519</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400,303</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00" w:type="dxa"/>
            <w:vAlign w:val="bottom"/>
            <w:gridSpan w:val="3"/>
          </w:tcPr>
          <w:p>
            <w:pPr>
              <w:spacing w:after="0"/>
              <w:rPr>
                <w:sz w:val="20"/>
                <w:szCs w:val="20"/>
                <w:color w:val="auto"/>
              </w:rPr>
            </w:pPr>
            <w:r>
              <w:rPr>
                <w:rFonts w:ascii="Arial" w:cs="Arial" w:eastAsia="Arial" w:hAnsi="Arial"/>
                <w:sz w:val="16"/>
                <w:szCs w:val="16"/>
                <w:color w:val="auto"/>
              </w:rPr>
              <w:t>Rishi Gupta</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1"/>
                <w:szCs w:val="21"/>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Mahendra Shah, Ph.D.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00" w:type="dxa"/>
            <w:vAlign w:val="bottom"/>
            <w:gridSpan w:val="3"/>
          </w:tcPr>
          <w:p>
            <w:pPr>
              <w:spacing w:after="0"/>
              <w:rPr>
                <w:sz w:val="20"/>
                <w:szCs w:val="20"/>
                <w:color w:val="auto"/>
              </w:rPr>
            </w:pPr>
            <w:r>
              <w:rPr>
                <w:rFonts w:ascii="Arial" w:cs="Arial" w:eastAsia="Arial" w:hAnsi="Arial"/>
                <w:sz w:val="16"/>
                <w:szCs w:val="16"/>
                <w:color w:val="auto"/>
              </w:rPr>
              <w:t>Andrew Sinclair, Ph.D.</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1"/>
                <w:szCs w:val="21"/>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Vikas Sinha</w:t>
            </w:r>
            <w:r>
              <w:rPr>
                <w:rFonts w:ascii="Arial" w:cs="Arial" w:eastAsia="Arial" w:hAnsi="Arial"/>
                <w:sz w:val="25"/>
                <w:szCs w:val="25"/>
                <w:color w:val="auto"/>
                <w:vertAlign w:val="superscript"/>
              </w:rPr>
              <w:t>(36)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120,384</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120,384</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1"/>
        </w:trPr>
        <w:tc>
          <w:tcPr>
            <w:tcW w:w="2600" w:type="dxa"/>
            <w:vAlign w:val="bottom"/>
            <w:gridSpan w:val="3"/>
          </w:tcPr>
          <w:p>
            <w:pPr>
              <w:spacing w:after="0"/>
              <w:rPr>
                <w:sz w:val="20"/>
                <w:szCs w:val="20"/>
                <w:color w:val="auto"/>
              </w:rPr>
            </w:pPr>
            <w:r>
              <w:rPr>
                <w:rFonts w:ascii="Arial" w:cs="Arial" w:eastAsia="Arial" w:hAnsi="Arial"/>
                <w:sz w:val="16"/>
                <w:szCs w:val="16"/>
                <w:color w:val="auto"/>
              </w:rPr>
              <w:t>Anders Ullman, Ph.D.</w:t>
            </w:r>
            <w:r>
              <w:rPr>
                <w:rFonts w:ascii="Arial" w:cs="Arial" w:eastAsia="Arial" w:hAnsi="Arial"/>
                <w:sz w:val="25"/>
                <w:szCs w:val="25"/>
                <w:color w:val="auto"/>
                <w:vertAlign w:val="superscript"/>
              </w:rPr>
              <w:t>(37)</w:t>
            </w:r>
          </w:p>
        </w:tc>
        <w:tc>
          <w:tcPr>
            <w:tcW w:w="760" w:type="dxa"/>
            <w:vAlign w:val="bottom"/>
          </w:tcPr>
          <w:p>
            <w:pPr>
              <w:jc w:val="right"/>
              <w:spacing w:after="0"/>
              <w:rPr>
                <w:sz w:val="20"/>
                <w:szCs w:val="20"/>
                <w:color w:val="auto"/>
              </w:rPr>
            </w:pPr>
            <w:r>
              <w:rPr>
                <w:rFonts w:ascii="Arial" w:cs="Arial" w:eastAsia="Arial" w:hAnsi="Arial"/>
                <w:sz w:val="16"/>
                <w:szCs w:val="16"/>
                <w:color w:val="auto"/>
              </w:rPr>
              <w:t>266,664</w:t>
            </w: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266,664</w:t>
            </w: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-4648200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-4648200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-4648200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-4648200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-4648200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-4648200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-4648200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92075</wp:posOffset>
            </wp:positionV>
            <wp:extent cx="12344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5" w:lineRule="exact"/>
        <w:rPr>
          <w:sz w:val="20"/>
          <w:szCs w:val="20"/>
          <w:color w:val="auto"/>
        </w:rPr>
      </w:pPr>
    </w:p>
    <w:p>
      <w:pPr>
        <w:ind w:left="1620" w:hanging="358"/>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ind w:left="1620" w:right="739" w:hanging="358"/>
        <w:spacing w:after="0" w:line="271"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After offering consists of (a) 21,278,873 ordinary shares held directly by Novo A/S, or Novo, of which 14,814,808 are held in the form of ADSs, and (b) warrants to purchase 1,769,626 ordinary shares.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Beneficial ownership information is based on information known to us and a Schedule 13D/A filed with the SEC on July 24, 2020. Novo’s mailing address is Tuborg Havnevej 19, Hellerup, G7 2900, Denmark.</w:t>
      </w:r>
    </w:p>
    <w:p>
      <w:pPr>
        <w:spacing w:after="0" w:line="29" w:lineRule="exact"/>
        <w:rPr>
          <w:rFonts w:ascii="Arial" w:cs="Arial" w:eastAsia="Arial" w:hAnsi="Arial"/>
          <w:sz w:val="17"/>
          <w:szCs w:val="17"/>
          <w:color w:val="auto"/>
        </w:rPr>
      </w:pPr>
    </w:p>
    <w:p>
      <w:pPr>
        <w:ind w:left="1620" w:right="819" w:hanging="358"/>
        <w:spacing w:after="0" w:line="254"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(a) 2,388,728 ordinary shares held directly by Vivo Ventures Fund VI, L.P., or Vivo VI, of which 1,126,760 are held in the form of ADSs, (b) warrants to purchase 370,871 ordinary shares held directly by Vivo VI, (c) warrants to purchase 2,717 ordinary shares held directly by Vivo Ventures VI Affiliates Fund, L.P., or Vivo Affiliates VI, (d) 11,990,717 ordinary shares held directly by Vivo Ventures Fund VII L.P., or Vivo VII, of which 6,942,840 are held in the form of ADSs, (e) 53,088 ordinary shares held directly by Vivo Ventures VII Affiliates Fund, L.P., or Vivo Affiliates VII, all of which are</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99"/>
        <w:spacing w:after="0" w:line="251" w:lineRule="auto"/>
        <w:rPr>
          <w:sz w:val="20"/>
          <w:szCs w:val="20"/>
          <w:color w:val="auto"/>
        </w:rPr>
      </w:pPr>
      <w:r>
        <w:rPr>
          <w:rFonts w:ascii="Arial" w:cs="Arial" w:eastAsia="Arial" w:hAnsi="Arial"/>
          <w:sz w:val="17"/>
          <w:szCs w:val="17"/>
          <w:color w:val="auto"/>
        </w:rPr>
        <w:t>held in the form of ADSs, (f) 9,955,560 ordinary shares held directly by Vivo Ventures Fund Cayman VII, L.P., or Vivo Ventures Cayman VII, all of which are held in the form of ADSs, (g) warrants to purchase 1,462,477 ordinary shares held directly by Vivo VII, (h) warrants to purchase 31,874 ordinary shares held directly by Vivo Affiliates VII. Vivo Ventures VI, LLC, or Vivo Ventures VI, is the sole general partner of Vivo VI and Vivo Affiliates VI. Vivo Ventures VII, LLC, or Vivo Ventures VII, is the sole general partner of Vivo VII, Vivo Affiliates VII and Vivo Ventures Cayman VII. Vivo Ventures VI and Vivo Ventures VII disclaim beneficial ownership of all shares held by Vivo VI, Vivo Affiliates VI, Vivo VII,Vivo Affiliates VII and Vivo Ventures Cayman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VII are Drs. Albert Cha, Edgar Engleman, Frank Kung,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Beneficial ownership information is based on information known to us and a Schedule 13G/A filed with the SEC on July 24, 2020. Vivo Ventures VI’s and Vivo Ventures VII’s mailing address is 192 Lytton Avenue, Palo Alto, CA, 94301.</w:t>
      </w:r>
    </w:p>
    <w:p>
      <w:pPr>
        <w:spacing w:after="0" w:line="35" w:lineRule="exact"/>
        <w:rPr>
          <w:sz w:val="20"/>
          <w:szCs w:val="20"/>
          <w:color w:val="auto"/>
        </w:rPr>
      </w:pPr>
    </w:p>
    <w:p>
      <w:pPr>
        <w:ind w:left="1620" w:right="679" w:hanging="358"/>
        <w:spacing w:after="0" w:line="245"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(a) 40,225,392 ordinary shares held directly by OrbiMed Private Investments VI, LP, or OPI VI, all of which are held in the form of ADSs, (b) warrants to purchase 1,867,938 ordinary shares are held directly by OPI VI, and (c) 5,333,336 ordinary shares held by The Biotech Growth Trust PLC, or BIOG, all of which are held in the form of ADSs. OrbiMed Capital GP VI LLC, or OrbiMed GP VI, is the general partner of OPI VI. OrbiMed Advisors LLC, or OrbiMed Advisors, is the managing member of OrbiMed GP VI. By virtue of such relationships, OrbiMed GP VI and OrbiMed Advisors may be deemed to have voting and investment power over the securities held by OPI VI and as a result, may be deemed to have beneficial ownership over such securities. OrbiMed Capital LLC, or OrbiMed Capital, is the portfolio manager of BIOG. OrbiMed Advisors and OrbiMed Capital exercise this investment and voting power through a management committee comprised of Carl L. Gordon, Sven H. Borho, and Jonathan T. Silverstein, each of whom disclaims beneficial ownership of the ordinary shares held by OPI VI and BIOG. Beneficial ownership information is based on information known to us and a Schedule 13 D/A filed with the SEC on January 26, 2018. The mailing address of OPI VI, BIOG, OrbiMed GP VI, and OrbiMed Advisors is c/o OrbiMed Advisors LLC, 601 Lexington Avenue, 54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10022.</w:t>
      </w:r>
    </w:p>
    <w:p>
      <w:pPr>
        <w:spacing w:after="0" w:line="57" w:lineRule="exact"/>
        <w:rPr>
          <w:rFonts w:ascii="Arial" w:cs="Arial" w:eastAsia="Arial" w:hAnsi="Arial"/>
          <w:sz w:val="18"/>
          <w:szCs w:val="18"/>
          <w:color w:val="auto"/>
        </w:rPr>
      </w:pPr>
    </w:p>
    <w:p>
      <w:pPr>
        <w:ind w:left="1620" w:right="679" w:hanging="358"/>
        <w:spacing w:after="0" w:line="267"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Consists of (a) 9,757,393 ordinary shares held directly by Growth Equity Opportunities Fund IV, LLC, or GEO, of which 5,333,328 are held in the form of ADSs, (b) warrants to purchase 1,769,626 ordinary shares held directly by GEO, and (c) 31,111,112 ordinary shares held directly by Growth Equity Opportunities 17, LP, or GEO 17, all of which are held in the form of ADSs. New Enterprise Associates 15, L.P., or NEA 15, is the sole member of GEO. NEA Partners 15, L.P.,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New Enterprise Associates 17, L.P., or NEA 17, is the sole member of GEO 17. NEA Partners 17, L.P., or NEA Partners 17, is the sole general partner of NEA 17. NEA 17 GP, LLC, or NEA 17 LLC, is the sole general partner of NEA Partners 17. Forest Baskett, Ali Behbahani, Carmen Chang, Anthony Florence, Jr., Mohamad Makhzoumi, Joshua Makower, Edward Mathers, Scott 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August 3, 2020. GEO’s and GEO 17’s mailing address is 1954 Greenspring Drive, Suite 600, Timonium, MD 21093-4135.</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hanging="358"/>
        <w:spacing w:after="0" w:line="267"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(a) 1 ordinary share held directly by Abingworth Bioventures VI, LP, or Abingworth VI, and 19,660,000 ordinary shares held in the form of ADSs, and (b) warrants to purchase 1,404,221 ordinary shares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Timothy Haines, Kurt von Emster, Genghis Lloyd-Harris, Shelley Chu, Brian Gallagher and Bali Muralidhar approves investment and voting decisions of Abingworth VI by a majority vote, and no individual member has the sole control or voting power over the securities held by Abingworth VI. Abingworth GP VI, Abingworth General Partner VI, Abingworth LLP and each of Timothy Haines, Kurt von Emster, Genghis Lloyd-Harris, Shelley Chu, Brian Gallagher and Bali Muralidhar disclaim beneficial ownership of securities held by Abingworth VI, except to the extent, if any of their pecuniary interest therein. Andrew Sinclair is a Partner and Portfolio Manager at Abingworth LLP and a member of our board of directors. Dr. Sinclair does not have voting or dispositive power over any of the securities held by Abingworth Vl. Beneficial ownership information is based on information known to us. Abingworth VI’s mailing address is 38 Jermyn Street, London SW1Y 6DN, United Kingdom.</w:t>
      </w:r>
    </w:p>
    <w:p>
      <w:pPr>
        <w:spacing w:after="0" w:line="42" w:lineRule="exact"/>
        <w:rPr>
          <w:rFonts w:ascii="Arial" w:cs="Arial" w:eastAsia="Arial" w:hAnsi="Arial"/>
          <w:sz w:val="17"/>
          <w:szCs w:val="17"/>
          <w:color w:val="auto"/>
        </w:rPr>
      </w:pPr>
    </w:p>
    <w:p>
      <w:pPr>
        <w:ind w:left="1620" w:right="819" w:hanging="358"/>
        <w:spacing w:after="0" w:line="252"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(a) 5,268,575 ordinary shares held directly by Tekla World Healthcare Fund, or Tekla World, of which 3,231,112 are held in the form of ADSs, (b) warrants to purchase 513,192 ordinary shares held directly by Tekla World, (c) 746,672 ordinary shares held directly by Tekla Life Sciences Investors, or Tekla Life, all of which are held in the form of ADSs, (d) warrants to purchase 371,622 ordinary shares held directly by Tekla Life. Tekla Capital Management LLC, or Tekla Capital, is an investment adviser registered pursuant to Section 203 of the Investment Advisers Act of 1940 and is the investment adviser of Tekla World and Tekla Life, each of which is a registered investment company pursuant to Section 8 of the Investment Company Act of 1940. Each of Tekla Capital and Daniel R. Omstead, through his control of Tekla Capital, has sole power to dispose of the shares beneficially owned by Tekla World and Tekla Life. Neither Tekla Capital nor Daniel R. Omstead has the sole power to vote or direct the vote of the shares beneficially owned by Tekla World and Tekla Life, which power resides in each fund’s Board of Trustees. Tekla Capital carries out the voting of the shares under written guidelines established by each fund’s Board of Trustees. Beneficial ownership information is based on information known to us and a Schedule 13G filed with the SEC on February 12, 2020. Tekla Capital’s mailing address is 100 Federal Street, 19th Floor, Boston, MA 02110.</w:t>
      </w:r>
    </w:p>
    <w:p>
      <w:pPr>
        <w:spacing w:after="0" w:line="46" w:lineRule="exact"/>
        <w:rPr>
          <w:rFonts w:ascii="Arial" w:cs="Arial" w:eastAsia="Arial" w:hAnsi="Arial"/>
          <w:sz w:val="18"/>
          <w:szCs w:val="18"/>
          <w:color w:val="auto"/>
        </w:rPr>
      </w:pPr>
    </w:p>
    <w:p>
      <w:pPr>
        <w:ind w:left="1620" w:right="679" w:hanging="358"/>
        <w:spacing w:after="0" w:line="254"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(a) 11,611,112 ordinary shares of which 4,500,000 ordinary shares are held directly by Polar Capital Funds plc, or PCF, and 7,111,112 ordinary shares are held by Polar Capital Partners LLP — Biotechnology Fund, or Polar Capital, in the form of ADSs and (b) warrants to purchase 68,819 ordinary shares held directly by PCF. PCF and Polar Capital are managed by Polar Capital Holdings plc, or PCH. Beneficial ownership information is based on information known to us. The mailing address for Polar Capital Biotechnology Fund is c/o Polar Capital PLC, 16 Palace Street, London, SW1E 5JD.</w:t>
      </w:r>
    </w:p>
    <w:p>
      <w:pPr>
        <w:spacing w:after="0" w:line="59" w:lineRule="exact"/>
        <w:rPr>
          <w:rFonts w:ascii="Arial" w:cs="Arial" w:eastAsia="Arial" w:hAnsi="Arial"/>
          <w:sz w:val="18"/>
          <w:szCs w:val="18"/>
          <w:color w:val="auto"/>
        </w:rPr>
      </w:pPr>
    </w:p>
    <w:p>
      <w:pPr>
        <w:ind w:left="1620" w:right="719" w:hanging="358"/>
        <w:spacing w:after="0" w:line="268"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(a) 10,659,880 ordinary shares held directly by Aisling Capital IV, L.P., or Aisling, all of which are held in the form of ADSs, and (b) warrants to purchase 589,875 ordinary shares held directly by Aisling. These shares are owned directly by Aisling and held indirectly by Aisling Capital Partners IV, LP, or Aisling GP, as general partner of Aisling, Aisling Capital Partners IV LLC, or Aisling Partners, as general partner of Aisling GP, and each of the individual managing members of Aisling Partners. The individual managing members, or Managers, of Aisling Partners are Dr. Andrew Schiff and Steve Elms. Aisling GP, Aisling Partners and the Managers share voting and dispositive power over the shares directly held by Aisling. Each of Aisling GP, Aisling Partners and the Managers may be deemed to be the beneficial owner of the securities listed above only to the extent of its pecuniary interest therein. The above information shall not be deemed an admission that any of Aisling GP, Aisling Partners or any of the Managers is the beneficial owner of any securities reported herein in excess of such amount. Beneficial ownership information is based on information known to us and a TR-1 provided to us on June 6, 2017. The address of the principal business offices of each of these entities and individuals is 888 Seventh Avenue, 12th Floor, New York, New York 10106.</w:t>
      </w:r>
    </w:p>
    <w:p>
      <w:pPr>
        <w:spacing w:after="0" w:line="35" w:lineRule="exact"/>
        <w:rPr>
          <w:rFonts w:ascii="Arial" w:cs="Arial" w:eastAsia="Arial" w:hAnsi="Arial"/>
          <w:sz w:val="17"/>
          <w:szCs w:val="17"/>
          <w:color w:val="auto"/>
        </w:rPr>
      </w:pPr>
    </w:p>
    <w:p>
      <w:pPr>
        <w:ind w:left="1620" w:right="839" w:hanging="35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355,552 ordinary shares held directly by Inshan Sinha 2019 Trust, all of which are held in the form of ADSs. Beneficial ownership information is based on information known to us.</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hanging="358"/>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355,552 ordinary shares held directly by Natasha Sinha 2019 Trust, all of which are held in the form of ADSs. Beneficial ownership information is based on information known to us.</w:t>
      </w:r>
    </w:p>
    <w:p>
      <w:pPr>
        <w:spacing w:after="0" w:line="21" w:lineRule="exact"/>
        <w:rPr>
          <w:rFonts w:ascii="Arial" w:cs="Arial" w:eastAsia="Arial" w:hAnsi="Arial"/>
          <w:sz w:val="18"/>
          <w:szCs w:val="18"/>
          <w:color w:val="auto"/>
        </w:rPr>
      </w:pPr>
    </w:p>
    <w:p>
      <w:pPr>
        <w:ind w:left="1620" w:right="679" w:hanging="358"/>
        <w:spacing w:after="0" w:line="273"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8,888,896 ordinary shares held directly by Foresite Capital Fund III, L.P., or FCF III, all of which are held in the form of ADSs. Foresite Capital Management III, LLC, or FCM III, is the general partner of FCF III, and Mr. James Tananbaum is the managing member of FCM III. Each of FCM III and Mr. Tananbaum disclaims beneficial ownership of all shares held by FCF III except to the extent of their actual pecuniary interest therein. Beneficial ownership information is based on information known to us. FCF III’s mailing address is 600 Montgomery Street, Suite 4500, San Francisco, CA 94111.</w:t>
      </w:r>
    </w:p>
    <w:p>
      <w:pPr>
        <w:spacing w:after="0" w:line="29" w:lineRule="exact"/>
        <w:rPr>
          <w:rFonts w:ascii="Arial" w:cs="Arial" w:eastAsia="Arial" w:hAnsi="Arial"/>
          <w:sz w:val="17"/>
          <w:szCs w:val="17"/>
          <w:color w:val="auto"/>
        </w:rPr>
      </w:pPr>
    </w:p>
    <w:p>
      <w:pPr>
        <w:ind w:left="1620" w:right="759" w:hanging="358"/>
        <w:spacing w:after="0" w:line="269"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(a) 36,770,504 ordinary shares held directly by RA Capital Healthcare Fund, L.P., or RA Capital, all of which are held in the form of ADSs, (b) 43,339,542 non-voting ordinary shares to be re-designated as ordinary shares, held directly by RA Capital, (c) 4,029,496 ordinary shares held directly by Blackwell Partners LLC — Series A, or Blackwell, all of which are held in the form of ADSs, and</w:t>
      </w:r>
    </w:p>
    <w:p>
      <w:pPr>
        <w:spacing w:after="0" w:line="1" w:lineRule="exact"/>
        <w:rPr>
          <w:rFonts w:ascii="Arial" w:cs="Arial" w:eastAsia="Arial" w:hAnsi="Arial"/>
          <w:sz w:val="17"/>
          <w:szCs w:val="17"/>
          <w:color w:val="auto"/>
        </w:rPr>
      </w:pPr>
    </w:p>
    <w:p>
      <w:pPr>
        <w:ind w:left="1620" w:right="699"/>
        <w:spacing w:after="0" w:line="249" w:lineRule="auto"/>
        <w:rPr>
          <w:rFonts w:ascii="Arial" w:cs="Arial" w:eastAsia="Arial" w:hAnsi="Arial"/>
          <w:sz w:val="17"/>
          <w:szCs w:val="17"/>
          <w:color w:val="auto"/>
        </w:rPr>
      </w:pPr>
      <w:r>
        <w:rPr>
          <w:rFonts w:ascii="Arial" w:cs="Arial" w:eastAsia="Arial" w:hAnsi="Arial"/>
          <w:sz w:val="18"/>
          <w:szCs w:val="18"/>
          <w:color w:val="auto"/>
        </w:rPr>
        <w:t>(d) 4,749,354 non-voting ordinary shares to be re-designated as ordinary shares, held directly by Blackwell. RA Capital and Blackwell may elect to have any portion of their non-voting ordinary shares re-designated as voting ordinary shares at any time, unless, immediately following such conversion, they would beneficially own more than 9.99% of the outstanding ordinary shares. If RA Capital or Blackwell would beneficially own more than 9.99% of the outstanding ordinary shares following such re-designation, then the re-designation would occur no earlier than 61 days following the election for such re-designation. RA Capital Management, L.P., or Adviser, is the investment manager for RA Capital and Blackwell. The general partner of the Adviser is RA Capital Management GP, LLC, or Adviser GP, of which Dr. Peter Kolchinsky and Mr. Rajeev Shah are the managing members. The Adviser, the Adviser GP, Dr. Kolchinsky, and Mr. Shah disclaim beneficial ownership of securities held by RA Capital and Blackwell except to the extent of their pecuniary interest therein. Beneficial ownership information is based on information known to us. RA Capital Management’s mailing address is 200 Berkeley Street, 18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Boston, MA 02116.</w:t>
      </w:r>
    </w:p>
    <w:p>
      <w:pPr>
        <w:spacing w:after="0" w:line="3" w:lineRule="exact"/>
        <w:rPr>
          <w:rFonts w:ascii="Arial" w:cs="Arial" w:eastAsia="Arial" w:hAnsi="Arial"/>
          <w:sz w:val="17"/>
          <w:szCs w:val="17"/>
          <w:color w:val="auto"/>
        </w:rPr>
      </w:pPr>
    </w:p>
    <w:p>
      <w:pPr>
        <w:ind w:left="1620" w:right="759" w:hanging="358"/>
        <w:spacing w:after="0" w:line="264"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44,444,448 ordinary shares held directly by AI Biotechnology LLC, or AI, all of which are held in the form of ADSs. AI is a subsidiary in a multi-tier corporate structure of which Access Industries Holdings LLC, or Access Holdings, is the parent holding company and is ultimately managed by Access Industries Management, LLC, or Access Industries, and controlled by Mr. Len Blavatnik. Each of Access Holdings, Access Industries and Mr. Blavatnik disclaims beneficial ownership of all shares held by AI except to the extent of their actual pecuniary interest therein. Beneficial ownership information is based on information known to us and a Schedule 13G filed with the SEC on July 24, 2020. The mailing address of AI, Access Holdings, Access Industries and</w:t>
      </w:r>
    </w:p>
    <w:p>
      <w:pPr>
        <w:spacing w:after="0" w:line="6"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Mr. Blavatnik is 40 West 57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28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w:t>
      </w:r>
    </w:p>
    <w:p>
      <w:pPr>
        <w:spacing w:after="0" w:line="13" w:lineRule="exact"/>
        <w:rPr>
          <w:rFonts w:ascii="Arial" w:cs="Arial" w:eastAsia="Arial" w:hAnsi="Arial"/>
          <w:sz w:val="17"/>
          <w:szCs w:val="17"/>
          <w:color w:val="auto"/>
        </w:rPr>
      </w:pPr>
    </w:p>
    <w:p>
      <w:pPr>
        <w:ind w:left="1620" w:right="759" w:hanging="358"/>
        <w:spacing w:after="0" w:line="253"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23,111,112 ordinary shares held directly by Perceptive Life Sciences Master Fund, Ltd., all of which are held in the form of ADSs. Beneficial ownership information is based on information known to us. The mailing address of Perceptive Life Sciences Master Fund, Ltd. is 51 Astor Place, 10th Floor, New York, NY 10003.</w:t>
      </w:r>
    </w:p>
    <w:p>
      <w:pPr>
        <w:spacing w:after="0" w:line="42" w:lineRule="exact"/>
        <w:rPr>
          <w:rFonts w:ascii="Arial" w:cs="Arial" w:eastAsia="Arial" w:hAnsi="Arial"/>
          <w:sz w:val="18"/>
          <w:szCs w:val="18"/>
          <w:color w:val="auto"/>
        </w:rPr>
      </w:pPr>
    </w:p>
    <w:p>
      <w:pPr>
        <w:ind w:left="1620" w:right="819" w:hanging="358"/>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12,444,448 ordinary shares held directly by Acorn Bioventures, L.P., all of which are held in the form of ADSs. Beneficial ownership information is based on information known to us.</w:t>
      </w:r>
    </w:p>
    <w:p>
      <w:pPr>
        <w:spacing w:after="0" w:line="21" w:lineRule="exact"/>
        <w:rPr>
          <w:rFonts w:ascii="Arial" w:cs="Arial" w:eastAsia="Arial" w:hAnsi="Arial"/>
          <w:sz w:val="18"/>
          <w:szCs w:val="18"/>
          <w:color w:val="auto"/>
        </w:rPr>
      </w:pPr>
    </w:p>
    <w:p>
      <w:pPr>
        <w:ind w:left="1620" w:right="699" w:hanging="358"/>
        <w:spacing w:after="0" w:line="25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6,222,224 ordinary shares held directly by BKB Growth Investments, LLC, or BKB Growth, all of which are held in the form of ADSs and (b) 6,222,224 ordinary shares held directly by PD Joint Holdings, LLC Series 2016-A, or PD Joint, all of which are held in the form of ADSs. Paul B. Manning and Bradford Manning are each managers of Tiger Lily Capital, LLC, the manager of BKB Growth and PD Joint. Beneficial ownership information is based on information known to us. The address for each of BKB Growth and PD Joint is c/o Tiger Lily Capital, LLC, 200 Garrett Street, Suite O, Charlottesville, VA 22902.</w:t>
      </w:r>
    </w:p>
    <w:p>
      <w:pPr>
        <w:spacing w:after="0" w:line="59" w:lineRule="exact"/>
        <w:rPr>
          <w:rFonts w:ascii="Arial" w:cs="Arial" w:eastAsia="Arial" w:hAnsi="Arial"/>
          <w:sz w:val="18"/>
          <w:szCs w:val="18"/>
          <w:color w:val="auto"/>
        </w:rPr>
      </w:pPr>
    </w:p>
    <w:p>
      <w:pPr>
        <w:ind w:left="1620" w:right="839" w:hanging="358"/>
        <w:spacing w:after="0" w:line="263"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8,888,896 ordinary shares held directly by Samsara BioCapital, L.P., all of which are held in the form of ADSs. Beneficial ownership information is based on information known to us. The mailing address of Samsara BioCapital, L.P. is 628 Middlefield Road, Palo Alto, CA 94301.</w:t>
      </w:r>
    </w:p>
    <w:p>
      <w:pPr>
        <w:spacing w:after="0" w:line="35" w:lineRule="exact"/>
        <w:rPr>
          <w:rFonts w:ascii="Arial" w:cs="Arial" w:eastAsia="Arial" w:hAnsi="Arial"/>
          <w:sz w:val="18"/>
          <w:szCs w:val="18"/>
          <w:color w:val="auto"/>
        </w:rPr>
      </w:pPr>
    </w:p>
    <w:p>
      <w:pPr>
        <w:ind w:left="1620" w:right="939" w:hanging="358"/>
        <w:spacing w:after="0" w:line="30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6,000,000 ordinary shares held directly by Sphera Global Healthcare Master Fund, or Sphera Healthcare, all of which are held in the form of ADSs and (b) 2,000,000 ordinary shares held</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719"/>
        <w:spacing w:after="0" w:line="232" w:lineRule="auto"/>
        <w:rPr>
          <w:sz w:val="20"/>
          <w:szCs w:val="20"/>
          <w:color w:val="auto"/>
        </w:rPr>
      </w:pPr>
      <w:r>
        <w:rPr>
          <w:rFonts w:ascii="Arial" w:cs="Arial" w:eastAsia="Arial" w:hAnsi="Arial"/>
          <w:sz w:val="18"/>
          <w:szCs w:val="18"/>
          <w:color w:val="auto"/>
        </w:rPr>
        <w:t>directly by Sphera Biotech Master Fund, or Sphera Biotech, all of which are held in the form of ADSs. Beneficial ownership information is based on information known to us. The mailing address for Sphera Healthcare is 21 Ha’arbaa Street,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Tel Aviv, Israel.</w:t>
      </w:r>
    </w:p>
    <w:p>
      <w:pPr>
        <w:spacing w:after="0" w:line="2" w:lineRule="exact"/>
        <w:rPr>
          <w:sz w:val="20"/>
          <w:szCs w:val="20"/>
          <w:color w:val="auto"/>
        </w:rPr>
      </w:pPr>
    </w:p>
    <w:p>
      <w:pPr>
        <w:ind w:left="1620" w:right="699" w:hanging="358"/>
        <w:spacing w:after="0" w:line="251"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7,111,112 ordinary shares held directly by Soleus Capital Master Fund, L.P., all of which are held in the form of ADSs. Soleus Capital, LLC, or Soleus Capital, is the general partner of Soleus Master Fund. The managing member of Soleus Capital is Soleus Capital Group, LLC, or Soleus Capital Group, of which Mr. Guy Levy is the managing member. Soleus Capital, Soleus Capital Group and Mr. Levy disclaim beneficial ownership of securities held by Soleus Master Fund except to the extent of their pecuniary interest therein. Beneficial ownership information is based on information known to us. Soleus Master Fund’s and Soleus Capital’s mailing address is 104 Field Point Road, 2nd Floor, Greenwich, CT 06830.</w:t>
      </w:r>
    </w:p>
    <w:p>
      <w:pPr>
        <w:spacing w:after="0" w:line="34" w:lineRule="exact"/>
        <w:rPr>
          <w:rFonts w:ascii="Arial" w:cs="Arial" w:eastAsia="Arial" w:hAnsi="Arial"/>
          <w:sz w:val="18"/>
          <w:szCs w:val="18"/>
          <w:color w:val="auto"/>
        </w:rPr>
      </w:pPr>
    </w:p>
    <w:p>
      <w:pPr>
        <w:ind w:left="1620" w:right="799" w:hanging="358"/>
        <w:spacing w:after="0" w:line="275"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5,980,760 ordinary shares held directly by Fairmount Healthcare Fund II LP, or Fairmount II, all of which are held in the form of ADSs and (b) 1,130,352 ordinary shares held directly by Fairmount Healthcare Fund LP, or Fairmount, all of which are held in the form of ADSs. Beneficial ownership information is based on information known to us. The mailing address of Fairmount and Fairmount II is 2001 Market Street, Suite 2500, Philadelphia, PA 19103.</w:t>
      </w:r>
    </w:p>
    <w:p>
      <w:pPr>
        <w:spacing w:after="0" w:line="14" w:lineRule="exact"/>
        <w:rPr>
          <w:rFonts w:ascii="Arial" w:cs="Arial" w:eastAsia="Arial" w:hAnsi="Arial"/>
          <w:sz w:val="17"/>
          <w:szCs w:val="17"/>
          <w:color w:val="auto"/>
        </w:rPr>
      </w:pPr>
    </w:p>
    <w:p>
      <w:pPr>
        <w:jc w:val="both"/>
        <w:ind w:left="1620" w:right="939" w:hanging="358"/>
        <w:spacing w:after="0" w:line="259"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4,444,448 ordinary shares held directly by Ghost Tree Master Fund, LP, all of which are held in the form of ADSs. The mailing address of Ghost Tree Master Fund, LP is 200 Dorado Beach Drive, 3732 West Beach, Dorado, Puerto Rico, 00646. Beneficial ownership information is based on information known to us.</w:t>
      </w:r>
    </w:p>
    <w:p>
      <w:pPr>
        <w:spacing w:after="0" w:line="24" w:lineRule="exact"/>
        <w:rPr>
          <w:rFonts w:ascii="Arial" w:cs="Arial" w:eastAsia="Arial" w:hAnsi="Arial"/>
          <w:sz w:val="18"/>
          <w:szCs w:val="18"/>
          <w:color w:val="auto"/>
        </w:rPr>
      </w:pPr>
    </w:p>
    <w:p>
      <w:pPr>
        <w:ind w:left="1620" w:right="719" w:hanging="358"/>
        <w:spacing w:after="0" w:line="252"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3,555,560 ordinary shares held directly by CVI Investments, Inc., or CVI, all of which are held in the form of ADSs. Heights Capital Management, Inc., the authorized agent of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prospectus contained in the Registration Statement of ordinary shares (in the form of ADSs) purchased by CVI in this offering. CVI purchased the shares being registered hereunder in the ordinary course of business and at the time of purchase, had no agreements or understandings, directly or indirectly, with any other person to distribute such shares. Beneficial ownership information is based on information known to us. The principal business address of Heights Capital Management, Inc. is P.O. Box 309GT, Ugland House, South Church Street, George Town, Grand Cayman, Cayman Islands.</w:t>
      </w:r>
    </w:p>
    <w:p>
      <w:pPr>
        <w:spacing w:after="0" w:line="35" w:lineRule="exact"/>
        <w:rPr>
          <w:rFonts w:ascii="Arial" w:cs="Arial" w:eastAsia="Arial" w:hAnsi="Arial"/>
          <w:sz w:val="18"/>
          <w:szCs w:val="18"/>
          <w:color w:val="auto"/>
        </w:rPr>
      </w:pPr>
    </w:p>
    <w:p>
      <w:pPr>
        <w:ind w:left="1620" w:right="739" w:hanging="358"/>
        <w:spacing w:after="0" w:line="29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2,666,672 ordinary shares held directly by Logos Global Master Fund L.P., all of which are held in the form of ADSs. Beneficial ownership information is based on information known to us.</w:t>
      </w:r>
    </w:p>
    <w:p>
      <w:pPr>
        <w:ind w:left="1620" w:right="859" w:hanging="35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1,777,784 ordinary shares held directly by Altium Growth Fund, LP, all of which are held in the form of ADSs. Beneficial ownership information is based on information known to us.</w:t>
      </w:r>
    </w:p>
    <w:p>
      <w:pPr>
        <w:spacing w:after="0" w:line="8" w:lineRule="exact"/>
        <w:rPr>
          <w:rFonts w:ascii="Arial" w:cs="Arial" w:eastAsia="Arial" w:hAnsi="Arial"/>
          <w:sz w:val="18"/>
          <w:szCs w:val="18"/>
          <w:color w:val="auto"/>
        </w:rPr>
      </w:pPr>
    </w:p>
    <w:p>
      <w:pPr>
        <w:ind w:left="1620" w:right="679" w:hanging="358"/>
        <w:spacing w:after="0" w:line="269"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1,306,672 ordinary shares held directly by DAFNA LifeScience LP, all of which are held in the form of ADSs and (b) 471,104 ordinary shares held directly by DAFNA LifeScience Select LP, all of which are held in the form of ADSs. DAFNA Capital Management LLC is the sole general partner of DAFNA LifeScience LP and DAFNA LifeScience Select LP. The Chief Executive Officer and Chief Investment Officer of DAFNA Capital Management LLC are Dr. Nathan Fischel and Dr. Fariba Ghodsian, respectively. These individuals may be deemed to have shared voting and investment power of the shares held by DAFNA LifeScience LP and DAFNA LifeScience Select LP. Each of Dr. Fischel and Dr. Fariba disclaim beneficial ownership of such shares, except to the extent of his or her pecuniary interest therein. Beneficial ownership information is based on information known to us. DAFNA Capital’s mailing address is 10990 Wilshire Blvd. #1400, Los Angeles, CA 90024.</w:t>
      </w:r>
    </w:p>
    <w:p>
      <w:pPr>
        <w:spacing w:after="0" w:line="23" w:lineRule="exact"/>
        <w:rPr>
          <w:rFonts w:ascii="Arial" w:cs="Arial" w:eastAsia="Arial" w:hAnsi="Arial"/>
          <w:sz w:val="17"/>
          <w:szCs w:val="17"/>
          <w:color w:val="auto"/>
        </w:rPr>
      </w:pPr>
    </w:p>
    <w:p>
      <w:pPr>
        <w:jc w:val="both"/>
        <w:ind w:left="1620" w:right="959" w:hanging="358"/>
        <w:spacing w:after="0" w:line="263"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888,896 ordinary shares held directly by John A. Stalfort III, all of which are held in the form of ADSs. Beneficial ownership information is based on information known to us. The mailing address for Mr. Stalfort is 200 Garrett Street, Suite S, Charlottesville, VA 22902.</w:t>
      </w:r>
    </w:p>
    <w:p>
      <w:pPr>
        <w:spacing w:after="0" w:line="21" w:lineRule="exact"/>
        <w:rPr>
          <w:rFonts w:ascii="Arial" w:cs="Arial" w:eastAsia="Arial" w:hAnsi="Arial"/>
          <w:sz w:val="18"/>
          <w:szCs w:val="18"/>
          <w:color w:val="auto"/>
        </w:rPr>
      </w:pPr>
    </w:p>
    <w:p>
      <w:pPr>
        <w:ind w:left="1620" w:right="739" w:hanging="358"/>
        <w:spacing w:after="0" w:line="263"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444,448 ordinary shares held directly by Revach Fund LP, all of which are held in the form of ADSs. Beneficial ownership information is based on information known to us. The mailing address of Revach Fund LP is 80 Brainard Road, West Hartford, CT 06117.</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79" w:hanging="358"/>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444,448 ordinary shares held directly by Steven M. Goldman, all of which are held in the form of ADSs. Beneficial ownership information is based on information known to us. The mailing address of Mr. Goldman is 390 West End Avenue, Apt. 6J, New York, NY 10024.</w:t>
      </w:r>
    </w:p>
    <w:p>
      <w:pPr>
        <w:spacing w:after="0" w:line="35" w:lineRule="exact"/>
        <w:rPr>
          <w:rFonts w:ascii="Arial" w:cs="Arial" w:eastAsia="Arial" w:hAnsi="Arial"/>
          <w:sz w:val="18"/>
          <w:szCs w:val="18"/>
          <w:color w:val="auto"/>
        </w:rPr>
      </w:pPr>
    </w:p>
    <w:p>
      <w:pPr>
        <w:ind w:left="1620" w:right="779" w:hanging="358"/>
        <w:spacing w:after="0" w:line="259"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355,560 ordinary shares held directly by Parallax Biomedical Fund, LP, all of which are held in the form of ADSs. Beneficial ownership information is based on information known to us. The mailing address of Parallax Biomedical Fund, LP is c/o Vista Point Capital, P.O. Box 357, Walnut Creek, CA 94597.</w:t>
      </w:r>
    </w:p>
    <w:p>
      <w:pPr>
        <w:spacing w:after="0" w:line="38" w:lineRule="exact"/>
        <w:rPr>
          <w:rFonts w:ascii="Arial" w:cs="Arial" w:eastAsia="Arial" w:hAnsi="Arial"/>
          <w:sz w:val="18"/>
          <w:szCs w:val="18"/>
          <w:color w:val="auto"/>
        </w:rPr>
      </w:pPr>
    </w:p>
    <w:p>
      <w:pPr>
        <w:jc w:val="both"/>
        <w:ind w:left="1620" w:right="1059" w:hanging="358"/>
        <w:spacing w:after="0" w:line="308"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Consists of (a) 579,240 ordinary shares, all of which are held in the form of ADSs and (b) 178,200 restricted stock units that are, or will be within 60 days of July 31, 2020, immediately exercisable.</w:t>
      </w:r>
    </w:p>
    <w:p>
      <w:pPr>
        <w:spacing w:after="0" w:line="11" w:lineRule="exact"/>
        <w:rPr>
          <w:rFonts w:ascii="Arial" w:cs="Arial" w:eastAsia="Arial" w:hAnsi="Arial"/>
          <w:sz w:val="17"/>
          <w:szCs w:val="17"/>
          <w:color w:val="auto"/>
        </w:rPr>
      </w:pPr>
    </w:p>
    <w:p>
      <w:pPr>
        <w:jc w:val="both"/>
        <w:ind w:left="1620" w:right="1099" w:hanging="358"/>
        <w:spacing w:after="0" w:line="306"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Consists of (a) 240,152 ordinary shares, all of which are held in the form of ADSs and (b) 89,096 restricted stock units that are, or will be within 60 days of July 31, 2020, immediately exercisable.</w:t>
      </w:r>
    </w:p>
    <w:p>
      <w:pPr>
        <w:spacing w:after="0" w:line="1" w:lineRule="exact"/>
        <w:rPr>
          <w:rFonts w:ascii="Arial" w:cs="Arial" w:eastAsia="Arial" w:hAnsi="Arial"/>
          <w:sz w:val="17"/>
          <w:szCs w:val="17"/>
          <w:color w:val="auto"/>
        </w:rPr>
      </w:pPr>
    </w:p>
    <w:p>
      <w:pPr>
        <w:ind w:left="1620" w:right="839" w:hanging="358"/>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198,328 options to purchase ordinary shares that are, or will be within 60 days of July 31, 2020.</w:t>
      </w:r>
    </w:p>
    <w:p>
      <w:pPr>
        <w:spacing w:after="0" w:line="21" w:lineRule="exact"/>
        <w:rPr>
          <w:rFonts w:ascii="Arial" w:cs="Arial" w:eastAsia="Arial" w:hAnsi="Arial"/>
          <w:sz w:val="18"/>
          <w:szCs w:val="18"/>
          <w:color w:val="auto"/>
        </w:rPr>
      </w:pPr>
    </w:p>
    <w:p>
      <w:pPr>
        <w:ind w:left="1620" w:right="739" w:hanging="358"/>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(a) 130,575 ordinary shares, (b) 903,678 options to purchase ordinary shares that are, or will be within 60 days of July 31, 2020, immediately exercisable, and (c) 110,550 restricted stock units that are, or will be within 60 days of July 31, 2020, immediately exercisable.</w:t>
      </w:r>
    </w:p>
    <w:p>
      <w:pPr>
        <w:spacing w:after="0" w:line="48" w:lineRule="exact"/>
        <w:rPr>
          <w:rFonts w:ascii="Arial" w:cs="Arial" w:eastAsia="Arial" w:hAnsi="Arial"/>
          <w:sz w:val="18"/>
          <w:szCs w:val="18"/>
          <w:color w:val="auto"/>
        </w:rPr>
      </w:pPr>
    </w:p>
    <w:p>
      <w:pPr>
        <w:ind w:left="1620" w:hanging="35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53,328 ordinary shares, all of which are held in the form of ADSs.</w:t>
      </w:r>
    </w:p>
    <w:p>
      <w:pPr>
        <w:spacing w:after="0" w:line="76" w:lineRule="exact"/>
        <w:rPr>
          <w:rFonts w:ascii="Arial" w:cs="Arial" w:eastAsia="Arial" w:hAnsi="Arial"/>
          <w:sz w:val="18"/>
          <w:szCs w:val="18"/>
          <w:color w:val="auto"/>
        </w:rPr>
      </w:pPr>
    </w:p>
    <w:p>
      <w:pPr>
        <w:ind w:left="1620" w:hanging="35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(a) 617,603 ordinary shares and (b) warrants to purchase 4,916 ordinary shares.</w:t>
      </w:r>
    </w:p>
    <w:p>
      <w:pPr>
        <w:spacing w:after="0" w:line="76" w:lineRule="exact"/>
        <w:rPr>
          <w:rFonts w:ascii="Arial" w:cs="Arial" w:eastAsia="Arial" w:hAnsi="Arial"/>
          <w:sz w:val="18"/>
          <w:szCs w:val="18"/>
          <w:color w:val="auto"/>
        </w:rPr>
      </w:pPr>
    </w:p>
    <w:p>
      <w:pPr>
        <w:ind w:left="1620" w:right="1019" w:hanging="358"/>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120,384 options to purchase ordinary shares that are or will be immediately exercisable withint 60 days of July 31, 2020.</w:t>
      </w:r>
    </w:p>
    <w:p>
      <w:pPr>
        <w:spacing w:after="0" w:line="35" w:lineRule="exact"/>
        <w:rPr>
          <w:rFonts w:ascii="Arial" w:cs="Arial" w:eastAsia="Arial" w:hAnsi="Arial"/>
          <w:sz w:val="18"/>
          <w:szCs w:val="18"/>
          <w:color w:val="auto"/>
        </w:rPr>
      </w:pPr>
    </w:p>
    <w:p>
      <w:pPr>
        <w:ind w:left="1620" w:hanging="35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266,664 ordinary shares, all of which are held in the form of ADSs.</w:t>
      </w:r>
    </w:p>
    <w:p>
      <w:pPr>
        <w:spacing w:after="0" w:line="144"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To our knowledge, other than as provided in the table above, our other filings with the SEC and this prospectus, there has been no significant change in the percentage ownership held by any major shareholder since July 31, 2020.</w:t>
      </w:r>
    </w:p>
    <w:p>
      <w:pPr>
        <w:spacing w:after="0" w:line="116"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major shareholders listed above do not have voting rights with respect to their ordinary shares that are different from the voting rights of other holders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2017 or currently in effect with any member of our board of directors and executive officers.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Private Placement</w:t>
      </w:r>
    </w:p>
    <w:p>
      <w:pPr>
        <w:spacing w:after="0" w:line="162"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On July 17, 2020, we entered into the Purchase Agreement, with the selling shareholders. Pursuant to the Purchase Agreement, we agreed to sell an aggregate of 38,440,009 ADSs, each representing eight ordinary shares, and 48,088,896 non-voting ordinary shares, at a purchase price equal to $4.50 per ADS and $0.5625 per non-voting ordinary share. The Purchase Agreement contained customary representations and warranties from us and the selling shareholders and customary closing conditions. The closing of the 2020 Private Placement occurred on July 22, 2020. We received aggregate gross proceeds from the 2020 Private Placement of approximately $200 million.</w:t>
      </w:r>
    </w:p>
    <w:p>
      <w:pPr>
        <w:spacing w:after="0" w:line="11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connection with the 2020 Private Placement, we entered into a Registration Rights Agreement with the selling shareholders. Pursuant to the Registration Rights Agreement, we agreed to prepare and file a registration statement with the SEC no later than 30 days following the closing date for purposes of registering the resale of the ordinary shares underlying the ADSs and the ordinary shares into which the non-voting ordinary shares may be re-designated. We also agreed to use our commercially reasonable efforts to cause the registration statement to be declared effective by the SEC. Under Registration Rights Agreement, we will pay all expenses relating to the registration, other than selling commission, discounts or brokerage fees and stock transfer taxes, subject to specified conditions and limitations.</w:t>
      </w:r>
    </w:p>
    <w:p>
      <w:pPr>
        <w:spacing w:after="0" w:line="97"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The following table sets forth the aggregate number of ADSs and non-voting ordinary shares acquired by our directors, executive officers and our major shareholders in the 2020 Private Placement. Each ADS represents eight ordinary shares.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21"/>
                <w:szCs w:val="21"/>
                <w:b w:val="1"/>
                <w:bCs w:val="1"/>
                <w:color w:val="auto"/>
                <w:vertAlign w:val="superscript"/>
              </w:rPr>
              <w:t>(1)</w:t>
            </w:r>
          </w:p>
        </w:tc>
        <w:tc>
          <w:tcPr>
            <w:tcW w:w="20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b w:val="1"/>
                <w:bCs w:val="1"/>
                <w:color w:val="auto"/>
              </w:rPr>
              <w:t>Non-Voting</w:t>
            </w:r>
          </w:p>
        </w:tc>
        <w:tc>
          <w:tcPr>
            <w:tcW w:w="0" w:type="dxa"/>
            <w:vAlign w:val="bottom"/>
          </w:tcPr>
          <w:p>
            <w:pPr>
              <w:spacing w:after="0"/>
              <w:rPr>
                <w:sz w:val="1"/>
                <w:szCs w:val="1"/>
                <w:color w:val="auto"/>
              </w:rPr>
            </w:pPr>
          </w:p>
        </w:tc>
      </w:tr>
      <w:tr>
        <w:trPr>
          <w:trHeight w:val="212"/>
        </w:trPr>
        <w:tc>
          <w:tcPr>
            <w:tcW w:w="5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ADSs</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Ordinary Shares</w:t>
            </w: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 Capital Healthcare Fund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4,596,313</w:t>
            </w:r>
          </w:p>
        </w:tc>
        <w:tc>
          <w:tcPr>
            <w:tcW w:w="1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43,339,542</w:t>
            </w:r>
          </w:p>
        </w:tc>
        <w:tc>
          <w:tcPr>
            <w:tcW w:w="0" w:type="dxa"/>
            <w:vAlign w:val="bottom"/>
          </w:tcPr>
          <w:p>
            <w:pPr>
              <w:spacing w:after="0"/>
              <w:rPr>
                <w:sz w:val="1"/>
                <w:szCs w:val="1"/>
                <w:color w:val="auto"/>
              </w:rPr>
            </w:pPr>
          </w:p>
        </w:tc>
      </w:tr>
      <w:tr>
        <w:trPr>
          <w:trHeight w:val="256"/>
        </w:trPr>
        <w:tc>
          <w:tcPr>
            <w:tcW w:w="5520" w:type="dxa"/>
            <w:vAlign w:val="bottom"/>
            <w:gridSpan w:val="2"/>
          </w:tcPr>
          <w:p>
            <w:pPr>
              <w:spacing w:after="0"/>
              <w:rPr>
                <w:sz w:val="20"/>
                <w:szCs w:val="20"/>
                <w:color w:val="auto"/>
              </w:rPr>
            </w:pPr>
            <w:r>
              <w:rPr>
                <w:rFonts w:ascii="Arial" w:cs="Arial" w:eastAsia="Arial" w:hAnsi="Arial"/>
                <w:sz w:val="18"/>
                <w:szCs w:val="18"/>
                <w:color w:val="auto"/>
              </w:rPr>
              <w:t>Blackwell Partners LLC – Series A</w:t>
            </w:r>
          </w:p>
        </w:tc>
        <w:tc>
          <w:tcPr>
            <w:tcW w:w="760" w:type="dxa"/>
            <w:vAlign w:val="bottom"/>
          </w:tcPr>
          <w:p>
            <w:pPr>
              <w:jc w:val="right"/>
              <w:spacing w:after="0"/>
              <w:rPr>
                <w:sz w:val="20"/>
                <w:szCs w:val="20"/>
                <w:color w:val="auto"/>
              </w:rPr>
            </w:pPr>
            <w:r>
              <w:rPr>
                <w:rFonts w:ascii="Arial" w:cs="Arial" w:eastAsia="Arial" w:hAnsi="Arial"/>
                <w:sz w:val="18"/>
                <w:szCs w:val="18"/>
                <w:color w:val="auto"/>
              </w:rPr>
              <w:t>503,687</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4,749,354</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 Biotechnology LLC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5,555,556</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520" w:type="dxa"/>
            <w:vAlign w:val="bottom"/>
            <w:gridSpan w:val="2"/>
          </w:tcPr>
          <w:p>
            <w:pPr>
              <w:spacing w:after="0"/>
              <w:rPr>
                <w:sz w:val="20"/>
                <w:szCs w:val="20"/>
                <w:color w:val="auto"/>
              </w:rPr>
            </w:pPr>
            <w:r>
              <w:rPr>
                <w:rFonts w:ascii="Arial" w:cs="Arial" w:eastAsia="Arial" w:hAnsi="Arial"/>
                <w:sz w:val="18"/>
                <w:szCs w:val="18"/>
                <w:color w:val="auto"/>
              </w:rPr>
              <w:t>Growth Equity Opportunities 17 LP</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3,888,889</w:t>
            </w:r>
          </w:p>
        </w:tc>
        <w:tc>
          <w:tcPr>
            <w:tcW w:w="2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3,777,778</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Perceptive Life Sciences Masters Fund, Ltd.</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2,888,889</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Abingworth Bioventures VI,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1,555,556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Acorn Bioventures, L.P.</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1,555,556</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 Venture Fund Cayman VII,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1,244,445</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Vivo Ventures Fund VII, L.P.</w:t>
            </w:r>
          </w:p>
        </w:tc>
        <w:tc>
          <w:tcPr>
            <w:tcW w:w="760" w:type="dxa"/>
            <w:vAlign w:val="bottom"/>
          </w:tcPr>
          <w:p>
            <w:pPr>
              <w:jc w:val="right"/>
              <w:spacing w:after="0"/>
              <w:rPr>
                <w:sz w:val="20"/>
                <w:szCs w:val="20"/>
                <w:color w:val="auto"/>
              </w:rPr>
            </w:pPr>
            <w:r>
              <w:rPr>
                <w:rFonts w:ascii="Arial" w:cs="Arial" w:eastAsia="Arial" w:hAnsi="Arial"/>
                <w:sz w:val="18"/>
                <w:szCs w:val="18"/>
                <w:color w:val="auto"/>
              </w:rPr>
              <w:t>304,475</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 Ventures VII Affiliates Fund, L.P.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Novo Holdings A/S</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1,111,111</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Zaccardelli</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55,555</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Mark W. Hahn</w:t>
            </w:r>
          </w:p>
        </w:tc>
        <w:tc>
          <w:tcPr>
            <w:tcW w:w="760" w:type="dxa"/>
            <w:vAlign w:val="bottom"/>
          </w:tcPr>
          <w:p>
            <w:pPr>
              <w:jc w:val="right"/>
              <w:spacing w:after="0"/>
              <w:rPr>
                <w:sz w:val="20"/>
                <w:szCs w:val="20"/>
                <w:color w:val="auto"/>
              </w:rPr>
            </w:pPr>
            <w:r>
              <w:rPr>
                <w:rFonts w:ascii="Arial" w:cs="Arial" w:eastAsia="Arial" w:hAnsi="Arial"/>
                <w:sz w:val="18"/>
                <w:szCs w:val="18"/>
                <w:color w:val="auto"/>
              </w:rPr>
              <w:t>22,223</w:t>
            </w:r>
          </w:p>
        </w:tc>
        <w:tc>
          <w:tcPr>
            <w:tcW w:w="2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Edwards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-2545080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-2545080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1519" w:hanging="358"/>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details regarding these shareholders and their equity holdings are provided in this prospectus under the caption “Principal and Selling Shareholders.”</w:t>
      </w: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Some of our directors are associated with certain of the major shareholders that participated in the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Private Placement, as indicated in the table below:</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64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220" w:type="dxa"/>
            <w:vAlign w:val="bottom"/>
          </w:tcPr>
          <w:p>
            <w:pPr>
              <w:spacing w:after="0"/>
              <w:rPr>
                <w:sz w:val="16"/>
                <w:szCs w:val="16"/>
                <w:color w:val="auto"/>
              </w:rPr>
            </w:pPr>
          </w:p>
        </w:tc>
        <w:tc>
          <w:tcPr>
            <w:tcW w:w="3620" w:type="dxa"/>
            <w:vAlign w:val="bottom"/>
          </w:tcPr>
          <w:p>
            <w:pPr>
              <w:ind w:left="1160"/>
              <w:spacing w:after="0"/>
              <w:rPr>
                <w:sz w:val="20"/>
                <w:szCs w:val="20"/>
                <w:color w:val="auto"/>
              </w:rPr>
            </w:pPr>
            <w:r>
              <w:rPr>
                <w:rFonts w:ascii="Arial" w:cs="Arial" w:eastAsia="Arial" w:hAnsi="Arial"/>
                <w:sz w:val="14"/>
                <w:szCs w:val="14"/>
                <w:b w:val="1"/>
                <w:bCs w:val="1"/>
                <w:color w:val="auto"/>
              </w:rPr>
              <w:t>Principal Shareholder</w:t>
            </w:r>
          </w:p>
        </w:tc>
      </w:tr>
      <w:tr>
        <w:trPr>
          <w:trHeight w:val="26"/>
        </w:trPr>
        <w:tc>
          <w:tcPr>
            <w:tcW w:w="3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50"/>
        </w:trPr>
        <w:tc>
          <w:tcPr>
            <w:tcW w:w="3640" w:type="dxa"/>
            <w:vAlign w:val="bottom"/>
          </w:tcPr>
          <w:p>
            <w:pPr>
              <w:spacing w:after="0"/>
              <w:rPr>
                <w:sz w:val="20"/>
                <w:szCs w:val="20"/>
                <w:color w:val="auto"/>
              </w:rPr>
            </w:pPr>
            <w:r>
              <w:rPr>
                <w:rFonts w:ascii="Arial" w:cs="Arial" w:eastAsia="Arial" w:hAnsi="Arial"/>
                <w:sz w:val="18"/>
                <w:szCs w:val="18"/>
                <w:color w:val="auto"/>
              </w:rPr>
              <w:t>Rishi Gupta</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OrbiMed Private Investments VI, LP</w:t>
            </w: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Mahendra Shah</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Vivo Venture Fund Cayman VII, L.P.</w:t>
            </w:r>
          </w:p>
        </w:tc>
      </w:tr>
      <w:tr>
        <w:trPr>
          <w:trHeight w:val="324"/>
        </w:trPr>
        <w:tc>
          <w:tcPr>
            <w:tcW w:w="364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Vivo Ventures Fund VII, L.P.</w:t>
            </w:r>
          </w:p>
        </w:tc>
      </w:tr>
      <w:tr>
        <w:trPr>
          <w:trHeight w:val="324"/>
        </w:trPr>
        <w:tc>
          <w:tcPr>
            <w:tcW w:w="364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Vivo Ventures VII Affiliates Fund, L.P.</w:t>
            </w:r>
          </w:p>
        </w:tc>
      </w:tr>
      <w:tr>
        <w:trPr>
          <w:trHeight w:val="284"/>
        </w:trPr>
        <w:tc>
          <w:tcPr>
            <w:tcW w:w="3640" w:type="dxa"/>
            <w:vAlign w:val="bottom"/>
          </w:tcPr>
          <w:p>
            <w:pPr>
              <w:spacing w:after="0"/>
              <w:rPr>
                <w:sz w:val="20"/>
                <w:szCs w:val="20"/>
                <w:color w:val="auto"/>
              </w:rPr>
            </w:pPr>
            <w:r>
              <w:rPr>
                <w:rFonts w:ascii="Arial" w:cs="Arial" w:eastAsia="Arial" w:hAnsi="Arial"/>
                <w:sz w:val="18"/>
                <w:szCs w:val="18"/>
                <w:color w:val="auto"/>
              </w:rPr>
              <w:t>Andrew Sinclair</w:t>
            </w: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Abingworth Bioventures VI, LP</w:t>
            </w:r>
          </w:p>
        </w:tc>
      </w:tr>
    </w:tbl>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Concurrent Placement</w:t>
      </w:r>
    </w:p>
    <w:p>
      <w:pPr>
        <w:spacing w:after="0" w:line="148"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On July 14, 2020, we entered into a subscription agreement with David Ebsworth, a director, pursuant to which Dr. Ebsworth purchased 222,216 ordinary shares at a purchase price per share of £0.45 concurrently with, and contingent upon, the 2020 Private Placement.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2016 Registration Rights Agreement</w:t>
      </w:r>
    </w:p>
    <w:p>
      <w:pPr>
        <w:spacing w:after="0" w:line="162"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In July 2016, we entered into a registration rights agreement, or the 2016 Registration Rights Agreement, that provides certain demand registration rights to Abingworth Bioventures VI, LP, or Abingworth, Growth Equity Opportunities Fund IV, LLC, OrbiMed Private Investments VI, LP, and Vivo Ventures Fund VII, L.P., Vivo Ventures VII Affiliates Fund, L.P., Vivo Ventures Fund VI, L.P., and Vivo Ventures Fund VI Affiliates Fund, L.P., or collectively, Vivo Capital, with respect to the ordinary shares and any ADSs held by them.</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Demand Registration Rights</w:t>
      </w:r>
    </w:p>
    <w:p>
      <w:pPr>
        <w:spacing w:after="0" w:line="15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At any time, the holders of at least a majority of the registrable securities as defined in the registration rights agreement have the right to demand that we effect an underwritten public offering of their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Expenses of Registration</w:t>
      </w:r>
    </w:p>
    <w:p>
      <w:pPr>
        <w:spacing w:after="0" w:line="144"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Under both the 2016 Registration Rights Agreement, we will pay all expenses relating to any registration under the registration rights agreement, other than selling commission, discounts or brokerage fees and stock transfer taxes, subject to specified conditions and limitations.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Termination of Registration Rights</w:t>
      </w:r>
    </w:p>
    <w:p>
      <w:pPr>
        <w:spacing w:after="0" w:line="158"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The registration rights granted under the 2016 Registration Rights Agreement shall terminate upon the earlier to occur of (i) the fifth anniversary of the closing of the global offering and (ii) the date on which there are no registrable securities remaining pursuant to the registration rights agreement.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Contracts</w:t>
      </w:r>
    </w:p>
    <w:p>
      <w:pPr>
        <w:spacing w:after="0" w:line="162"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In addition to the contracts described elsewhere in this prospectus, the following are summaries of each material contract, other than material contracts entered into in the ordinary course of business, to which we are a party for the two years preceding the date of this prospectus.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Relationship Agreements</w:t>
      </w:r>
    </w:p>
    <w:p>
      <w:pPr>
        <w:spacing w:after="0" w:line="144"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In June 2016, we entered into relationship agreements with each of Vivo Capital, OrbiMed Private Investments VI, LP, and Abingworth, pursuant to which our relationship with such parties is regulated and their influence over our corporate actions and activities, and the outcome of general matters pertaining to</w:t>
      </w:r>
    </w:p>
    <w:p>
      <w:pPr>
        <w:sectPr>
          <w:pgSz w:w="11900" w:h="16838" w:orient="portrait"/>
          <w:cols w:equalWidth="0" w:num="1">
            <w:col w:w="10139"/>
          </w:cols>
          <w:pgMar w:left="320" w:top="131" w:right="1440" w:bottom="1440" w:gutter="0" w:footer="0" w:header="0"/>
        </w:sect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us, are limited. Pursuant to the relationship agreements, we also agreed to appoint representatives designated by Vivo Capital, OrbiMed Private Investments VI, LP, and Abingworth to our board of directors, who are Dr. Mahendra Shah, Mr. Rishi Gupta, and Dr. Andrew Sinclair, respectively. The appointment rights under the relationship agreements will automatically terminate upon (i) Vivo Capital, OrbiMed Private Investments VI, LP, or Abingworth (or any of their associates), as applicable, ceasing to beneficially hold</w:t>
      </w:r>
    </w:p>
    <w:p>
      <w:pPr>
        <w:spacing w:after="0" w:line="3" w:lineRule="exact"/>
        <w:rPr>
          <w:sz w:val="20"/>
          <w:szCs w:val="20"/>
          <w:color w:val="auto"/>
        </w:rPr>
      </w:pPr>
    </w:p>
    <w:p>
      <w:pPr>
        <w:ind w:left="1260" w:right="899"/>
        <w:spacing w:after="0" w:line="252" w:lineRule="auto"/>
        <w:rPr>
          <w:sz w:val="20"/>
          <w:szCs w:val="20"/>
          <w:color w:val="auto"/>
        </w:rPr>
      </w:pPr>
      <w:r>
        <w:rPr>
          <w:rFonts w:ascii="Arial" w:cs="Arial" w:eastAsia="Arial" w:hAnsi="Arial"/>
          <w:sz w:val="18"/>
          <w:szCs w:val="18"/>
          <w:color w:val="auto"/>
        </w:rPr>
        <w:t>6.5% of our issued ordinary shares, or (ii) our ordinary shares ceasing to be admitted to AIM. In addition, each of the relationship agreements will automatically terminate upon the first date which Vivo Capital, OrbiMed Private Investments VI, LP, or Abingworth, as applicable, cease to have certain rights and obligations under the relationship agreements. Upon closing of the 2020 Private Placement, Vivo Capital and Abingworth ceased to beneficially hold 6.5% of our issued ordinary shares and, as a result, the appointment rights under the relationship agreements with such parties and the relationship agreements themselves automatically terminated as of July 22,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Indemnification Agreements</w:t>
      </w:r>
    </w:p>
    <w:p>
      <w:pPr>
        <w:spacing w:after="0" w:line="144"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Agreements with Our Executive Officers and Directors</w:t>
      </w:r>
    </w:p>
    <w:p>
      <w:pPr>
        <w:spacing w:after="0" w:line="15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We have entered into employment agreements with certain of our executive officers and service agreements with our non-employee directors, as well as separation agreements with certain of our former executive officers. See “Item 6. Directors, Senior Management and Employees — Compensation” and Note 8 of our Annual Consolidated Financial Statements in our Annual Report filed on Form 20-F.</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Transactions</w:t>
      </w:r>
    </w:p>
    <w:p>
      <w:pPr>
        <w:spacing w:after="0" w:line="15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At December 31, 2019, there was a receivable of £nil (2018: £126 thousand) due from one director and two key management personnel relating to tax due on RSUs that vested in the year ended December 31, 2018. This receivable was repaid, together with interest at a rate of 3.9% per annum, by March 6, 2019. The Company notes that the transaction that generated this receivable was potentially a breach of Section 402 of the Sarbanes-Oxley Act of 2002. See “Risk Factors — Risks Related to Our ADSs and Ordinary Shares.” We may have inadvertently violated Section 13(k) of the Exchange Act (implementing Section 402 of the Sarbanes-Oxley Act of 2002) and may be subject to sanctions as a result.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year ended December 31, 2019, a director provided consultancy services for £26 thousand (2018: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£26 thousand).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Interests of Experts and Counsel</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 which is incorporated by reference as an exhibit to the registration statement of which this prospectus is a part.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a private company incorporated in Canada, and changed our name to Verona Pharma plc. Our principal office is located at 3 More London Riverside, London SE1 2RE, United Kingdom, and our telephone number is +(44) 203 283 4200. The principal legislation under which we operate is the Companies Act 2006.</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62" w:lineRule="exact"/>
        <w:rPr>
          <w:sz w:val="20"/>
          <w:szCs w:val="20"/>
          <w:color w:val="auto"/>
        </w:rPr>
      </w:pPr>
    </w:p>
    <w:p>
      <w:pPr>
        <w:jc w:val="both"/>
        <w:ind w:left="1260" w:right="739" w:firstLine="360"/>
        <w:spacing w:after="0" w:line="301" w:lineRule="auto"/>
        <w:rPr>
          <w:sz w:val="20"/>
          <w:szCs w:val="20"/>
          <w:color w:val="auto"/>
        </w:rPr>
      </w:pPr>
      <w:r>
        <w:rPr>
          <w:rFonts w:ascii="Arial" w:cs="Arial" w:eastAsia="Arial" w:hAnsi="Arial"/>
          <w:sz w:val="16"/>
          <w:szCs w:val="16"/>
          <w:color w:val="auto"/>
        </w:rPr>
        <w:t>As of July 31, 2020, our issued share capital was £23,118,359.50, comprised of 414,278,294 ordinary shares each carrying one voting right and 48,088,896 non-voting ordinary shares. As of June 30, 2020, our issued share capital was £5,324,050.30, comprised of 106,481,006 ordinary shares each carrying one voting right. The nominal value of our ordinary shares is £0.05 per share. Each issued ordinary share is fully paid.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History of Share Capital</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10, 2017, we effected a 1-for-50 reverse share split of our ordinary shares.</w:t>
      </w:r>
    </w:p>
    <w:p>
      <w:pPr>
        <w:spacing w:after="0" w:line="158" w:lineRule="exact"/>
        <w:rPr>
          <w:sz w:val="20"/>
          <w:szCs w:val="20"/>
          <w:color w:val="auto"/>
        </w:rPr>
      </w:pPr>
    </w:p>
    <w:p>
      <w:pPr>
        <w:ind w:left="1260" w:right="1139" w:firstLine="360"/>
        <w:spacing w:after="0" w:line="273" w:lineRule="auto"/>
        <w:rPr>
          <w:sz w:val="20"/>
          <w:szCs w:val="20"/>
          <w:color w:val="auto"/>
        </w:rPr>
      </w:pPr>
      <w:r>
        <w:rPr>
          <w:rFonts w:ascii="Arial" w:cs="Arial" w:eastAsia="Arial" w:hAnsi="Arial"/>
          <w:sz w:val="17"/>
          <w:szCs w:val="17"/>
          <w:color w:val="auto"/>
        </w:rPr>
        <w:t>On May 2, 2017, we issued 5,768,000 ADSs at a price per ADS of $13.50 and 1,255,001 ordinary shares at a price per share of £1.32 ($1.69). On the same day, as part of a private placement, we issued 254,099 shares at a price per share of £1.32 ($1.69). On May 18, 2017, and May 26, 2017, we issued 692,385 ADSs and 41,353 ADSs, respectively, upon the exercise in part of the underwriters’ option to purchase additional ADSs. We received aggregate net proceeds of $80.5 million, after deducting underwriting discounts and commissions and offering expenses payable by us.</w:t>
      </w:r>
    </w:p>
    <w:p>
      <w:pPr>
        <w:spacing w:after="0" w:line="110"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On July 22, 2020, we issued 38,440,009 ADSs at a price per ADS of $4.50 and 48,088,896 non-voting ordinary shares at a price per share of $0.5625 in the 2020 Private Placement. On the same day, we issued 222,216 ordinary shares to a director at a price per share of £0.45 in the Concurrent Placement. We received approximately $200 million in gross proceeds from the 2020 Private Placement and the concurrent purchase of ordinary shares by the director.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Options</w:t>
      </w:r>
    </w:p>
    <w:p>
      <w:pPr>
        <w:spacing w:after="0" w:line="148"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We have established equity incentive plans pursuant to which we have issued options to purchase ordinary shares or ADSs and restricted share units to employees and directors. As of July 31, 2020, there were options to purchase 12,920,320 ordinary shares and 8,750,760 unvested restricted share units outstanding. We granted an additional 54,356,608 restricted share units to our employees after July 31, 2020.</w:t>
      </w:r>
    </w:p>
    <w:p>
      <w:pPr>
        <w:spacing w:after="0" w:line="12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tables below summarize our outstanding options to purchase ordinary shares or ADSs and unvested restricted share units as of July 31, 2020, that we have granted to our directors and our employees pursuant to our equity incentive plans. Options to purchase ordinary shares or ADSs granted under the Verona Pharma plc Unapproved Share Option Scheme, Verona Pharma plc EMI Option Scheme and Verona Pharma plc 2017 Incentive Award Plan have a term of ten years.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Options granted to employees and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 Options Granted Under the EMI Share Option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35"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 of options</w:t>
            </w:r>
          </w:p>
        </w:tc>
        <w:tc>
          <w:tcPr>
            <w:tcW w:w="39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Exercise Price (£)</w:t>
            </w: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Expiry Date</w:t>
            </w:r>
          </w:p>
        </w:tc>
      </w:tr>
      <w:tr>
        <w:trPr>
          <w:trHeight w:val="229"/>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49,998</w:t>
            </w:r>
          </w:p>
        </w:tc>
        <w:tc>
          <w:tcPr>
            <w:tcW w:w="52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5/15/2024</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41,997</w:t>
            </w:r>
          </w:p>
        </w:tc>
        <w:tc>
          <w:tcPr>
            <w:tcW w:w="5260" w:type="dxa"/>
            <w:vAlign w:val="bottom"/>
            <w:gridSpan w:val="3"/>
          </w:tcPr>
          <w:p>
            <w:pPr>
              <w:jc w:val="right"/>
              <w:ind w:right="308"/>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1/29/2025</w:t>
            </w:r>
          </w:p>
        </w:tc>
      </w:tr>
      <w:tr>
        <w:trPr>
          <w:trHeight w:val="25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21,996</w:t>
            </w:r>
          </w:p>
        </w:tc>
        <w:tc>
          <w:tcPr>
            <w:tcW w:w="52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2/9/2026</w:t>
            </w:r>
          </w:p>
        </w:tc>
      </w:tr>
      <w:tr>
        <w:trPr>
          <w:trHeight w:val="385"/>
        </w:trPr>
        <w:tc>
          <w:tcPr>
            <w:tcW w:w="1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w w:val="89"/>
              </w:rPr>
              <w:t>Share Options Granted Under the Unapproved Share Option Scheme</w:t>
            </w:r>
          </w:p>
        </w:tc>
        <w:tc>
          <w:tcPr>
            <w:tcW w:w="760" w:type="dxa"/>
            <w:vAlign w:val="bottom"/>
            <w:tcBorders>
              <w:bottom w:val="single" w:sz="8" w:color="auto"/>
            </w:tcBorders>
          </w:tcPr>
          <w:p>
            <w:pPr>
              <w:spacing w:after="0"/>
              <w:rPr>
                <w:sz w:val="24"/>
                <w:szCs w:val="24"/>
                <w:color w:val="auto"/>
              </w:rPr>
            </w:pPr>
          </w:p>
        </w:tc>
      </w:tr>
      <w:tr>
        <w:trPr>
          <w:trHeight w:val="196"/>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 of options</w:t>
            </w:r>
          </w:p>
        </w:tc>
        <w:tc>
          <w:tcPr>
            <w:tcW w:w="39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Exercise Price (£)</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Expiry Date</w:t>
            </w:r>
          </w:p>
        </w:tc>
      </w:tr>
      <w:tr>
        <w:trPr>
          <w:trHeight w:val="229"/>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300,000</w:t>
            </w:r>
          </w:p>
        </w:tc>
        <w:tc>
          <w:tcPr>
            <w:tcW w:w="52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9/26/2026</w:t>
            </w:r>
          </w:p>
        </w:tc>
      </w:tr>
      <w:tr>
        <w:trPr>
          <w:trHeight w:val="243"/>
        </w:trPr>
        <w:tc>
          <w:tcPr>
            <w:tcW w:w="1240" w:type="dxa"/>
            <w:vAlign w:val="bottom"/>
          </w:tcPr>
          <w:p>
            <w:pPr>
              <w:spacing w:after="0"/>
              <w:rPr>
                <w:sz w:val="20"/>
                <w:szCs w:val="20"/>
                <w:color w:val="auto"/>
              </w:rPr>
            </w:pPr>
            <w:r>
              <w:rPr>
                <w:rFonts w:ascii="Arial" w:cs="Arial" w:eastAsia="Arial" w:hAnsi="Arial"/>
                <w:sz w:val="18"/>
                <w:szCs w:val="18"/>
                <w:color w:val="auto"/>
              </w:rPr>
              <w:t>199,998</w:t>
            </w:r>
          </w:p>
        </w:tc>
        <w:tc>
          <w:tcPr>
            <w:tcW w:w="5260" w:type="dxa"/>
            <w:vAlign w:val="bottom"/>
            <w:gridSpan w:val="3"/>
          </w:tcPr>
          <w:p>
            <w:pPr>
              <w:jc w:val="right"/>
              <w:ind w:right="308"/>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9/13/2026</w:t>
            </w:r>
          </w:p>
        </w:tc>
      </w:tr>
      <w:tr>
        <w:trPr>
          <w:trHeight w:val="25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109,998</w:t>
            </w:r>
          </w:p>
        </w:tc>
        <w:tc>
          <w:tcPr>
            <w:tcW w:w="52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8/3/2026</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79,992</w:t>
            </w:r>
          </w:p>
        </w:tc>
        <w:tc>
          <w:tcPr>
            <w:tcW w:w="5260" w:type="dxa"/>
            <w:vAlign w:val="bottom"/>
            <w:gridSpan w:val="3"/>
          </w:tcPr>
          <w:p>
            <w:pPr>
              <w:jc w:val="right"/>
              <w:ind w:right="308"/>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4/15/2023</w:t>
            </w:r>
          </w:p>
        </w:tc>
      </w:tr>
      <w:tr>
        <w:trPr>
          <w:trHeight w:val="25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60,000</w:t>
            </w:r>
          </w:p>
        </w:tc>
        <w:tc>
          <w:tcPr>
            <w:tcW w:w="52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7/29/2023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49,998</w:t>
            </w:r>
          </w:p>
        </w:tc>
        <w:tc>
          <w:tcPr>
            <w:tcW w:w="5260" w:type="dxa"/>
            <w:vAlign w:val="bottom"/>
            <w:gridSpan w:val="3"/>
          </w:tcPr>
          <w:p>
            <w:pPr>
              <w:jc w:val="right"/>
              <w:ind w:right="308"/>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5/15/2024</w:t>
            </w:r>
          </w:p>
        </w:tc>
      </w:tr>
      <w:tr>
        <w:trPr>
          <w:trHeight w:val="385"/>
        </w:trPr>
        <w:tc>
          <w:tcPr>
            <w:tcW w:w="1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89"/>
              </w:rPr>
              <w:t>Share Options Granted Under the 2017 Incentive Award Plan</w:t>
            </w:r>
          </w:p>
        </w:tc>
        <w:tc>
          <w:tcPr>
            <w:tcW w:w="760" w:type="dxa"/>
            <w:vAlign w:val="bottom"/>
            <w:tcBorders>
              <w:bottom w:val="single" w:sz="8" w:color="auto"/>
            </w:tcBorders>
          </w:tcPr>
          <w:p>
            <w:pPr>
              <w:spacing w:after="0"/>
              <w:rPr>
                <w:sz w:val="24"/>
                <w:szCs w:val="24"/>
                <w:color w:val="auto"/>
              </w:rPr>
            </w:pPr>
          </w:p>
        </w:tc>
      </w:tr>
      <w:tr>
        <w:trPr>
          <w:trHeight w:val="196"/>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 of options</w:t>
            </w:r>
          </w:p>
        </w:tc>
        <w:tc>
          <w:tcPr>
            <w:tcW w:w="39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Exercise Price (£)</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Expiry Date</w:t>
            </w:r>
          </w:p>
        </w:tc>
      </w:tr>
      <w:tr>
        <w:trPr>
          <w:trHeight w:val="229"/>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2,075,684</w:t>
            </w:r>
          </w:p>
        </w:tc>
        <w:tc>
          <w:tcPr>
            <w:tcW w:w="52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3/29/2029</w:t>
            </w:r>
          </w:p>
        </w:tc>
      </w:tr>
      <w:tr>
        <w:trPr>
          <w:trHeight w:val="243"/>
        </w:trPr>
        <w:tc>
          <w:tcPr>
            <w:tcW w:w="1240" w:type="dxa"/>
            <w:vAlign w:val="bottom"/>
          </w:tcPr>
          <w:p>
            <w:pPr>
              <w:spacing w:after="0"/>
              <w:rPr>
                <w:sz w:val="20"/>
                <w:szCs w:val="20"/>
                <w:color w:val="auto"/>
              </w:rPr>
            </w:pPr>
            <w:r>
              <w:rPr>
                <w:rFonts w:ascii="Arial" w:cs="Arial" w:eastAsia="Arial" w:hAnsi="Arial"/>
                <w:sz w:val="18"/>
                <w:szCs w:val="18"/>
                <w:color w:val="auto"/>
              </w:rPr>
              <w:t>2,005,102</w:t>
            </w:r>
          </w:p>
        </w:tc>
        <w:tc>
          <w:tcPr>
            <w:tcW w:w="5260" w:type="dxa"/>
            <w:vAlign w:val="bottom"/>
            <w:gridSpan w:val="3"/>
          </w:tcPr>
          <w:p>
            <w:pPr>
              <w:jc w:val="right"/>
              <w:ind w:right="268"/>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4/26/2027</w:t>
            </w:r>
          </w:p>
        </w:tc>
      </w:tr>
      <w:tr>
        <w:trPr>
          <w:trHeight w:val="243"/>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1,505,000</w:t>
            </w:r>
          </w:p>
        </w:tc>
        <w:tc>
          <w:tcPr>
            <w:tcW w:w="52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3/3/2030</w:t>
            </w:r>
          </w:p>
        </w:tc>
      </w:tr>
      <w:tr>
        <w:trPr>
          <w:trHeight w:val="256"/>
        </w:trPr>
        <w:tc>
          <w:tcPr>
            <w:tcW w:w="1240" w:type="dxa"/>
            <w:vAlign w:val="bottom"/>
          </w:tcPr>
          <w:p>
            <w:pPr>
              <w:spacing w:after="0"/>
              <w:rPr>
                <w:sz w:val="20"/>
                <w:szCs w:val="20"/>
                <w:color w:val="auto"/>
              </w:rPr>
            </w:pPr>
            <w:r>
              <w:rPr>
                <w:rFonts w:ascii="Arial" w:cs="Arial" w:eastAsia="Arial" w:hAnsi="Arial"/>
                <w:sz w:val="18"/>
                <w:szCs w:val="18"/>
                <w:color w:val="auto"/>
              </w:rPr>
              <w:t>667,340</w:t>
            </w:r>
          </w:p>
        </w:tc>
        <w:tc>
          <w:tcPr>
            <w:tcW w:w="5260" w:type="dxa"/>
            <w:vAlign w:val="bottom"/>
            <w:gridSpan w:val="3"/>
          </w:tcPr>
          <w:p>
            <w:pPr>
              <w:jc w:val="right"/>
              <w:ind w:right="268"/>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3/8/2028</w:t>
            </w:r>
          </w:p>
        </w:tc>
      </w:tr>
      <w:tr>
        <w:trPr>
          <w:trHeight w:val="25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346,000</w:t>
            </w:r>
          </w:p>
        </w:tc>
        <w:tc>
          <w:tcPr>
            <w:tcW w:w="52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6/11/2029</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160,000</w:t>
            </w:r>
          </w:p>
        </w:tc>
        <w:tc>
          <w:tcPr>
            <w:tcW w:w="5260" w:type="dxa"/>
            <w:vAlign w:val="bottom"/>
            <w:gridSpan w:val="3"/>
          </w:tcPr>
          <w:p>
            <w:pPr>
              <w:jc w:val="right"/>
              <w:ind w:right="268"/>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6/14/2027</w:t>
            </w:r>
          </w:p>
        </w:tc>
      </w:tr>
      <w:tr>
        <w:trPr>
          <w:trHeight w:val="25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100,000</w:t>
            </w:r>
          </w:p>
        </w:tc>
        <w:tc>
          <w:tcPr>
            <w:tcW w:w="52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8/22/2029</w:t>
            </w:r>
          </w:p>
        </w:tc>
      </w:tr>
      <w:tr>
        <w:trPr>
          <w:trHeight w:val="257"/>
        </w:trPr>
        <w:tc>
          <w:tcPr>
            <w:tcW w:w="1240" w:type="dxa"/>
            <w:vAlign w:val="bottom"/>
          </w:tcPr>
          <w:p>
            <w:pPr>
              <w:spacing w:after="0"/>
              <w:rPr>
                <w:sz w:val="20"/>
                <w:szCs w:val="20"/>
                <w:color w:val="auto"/>
              </w:rPr>
            </w:pPr>
            <w:r>
              <w:rPr>
                <w:rFonts w:ascii="Arial" w:cs="Arial" w:eastAsia="Arial" w:hAnsi="Arial"/>
                <w:sz w:val="18"/>
                <w:szCs w:val="18"/>
                <w:color w:val="auto"/>
              </w:rPr>
              <w:t>13,333</w:t>
            </w:r>
          </w:p>
        </w:tc>
        <w:tc>
          <w:tcPr>
            <w:tcW w:w="5260" w:type="dxa"/>
            <w:vAlign w:val="bottom"/>
            <w:gridSpan w:val="3"/>
          </w:tcPr>
          <w:p>
            <w:pPr>
              <w:jc w:val="right"/>
              <w:ind w:right="268"/>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5/26/2027</w:t>
            </w:r>
          </w:p>
        </w:tc>
      </w:tr>
      <w:tr>
        <w:trPr>
          <w:trHeight w:val="25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6,667</w:t>
            </w:r>
          </w:p>
        </w:tc>
        <w:tc>
          <w:tcPr>
            <w:tcW w:w="52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5/25/2027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-3659505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-3659505</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-2794000</wp:posOffset>
            </wp:positionV>
            <wp:extent cx="137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-2794000</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-1439545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-1439545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Restricted share units granted to employees: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Unvested Restricted Share Units Granted Under the 2017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35"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 of RSUs</w:t>
            </w: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 (£)</w:t>
            </w: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Fully Vested Date</w:t>
            </w: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54,356,608</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n/a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8/20/2024</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7,372,864</w:t>
            </w:r>
          </w:p>
        </w:tc>
        <w:tc>
          <w:tcPr>
            <w:tcW w:w="22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2/1/2024</w:t>
            </w: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801,896</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n/a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1/31/2021</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332,266</w:t>
            </w:r>
          </w:p>
        </w:tc>
        <w:tc>
          <w:tcPr>
            <w:tcW w:w="220" w:type="dxa"/>
            <w:vAlign w:val="bottom"/>
          </w:tcPr>
          <w:p>
            <w:pPr>
              <w:spacing w:after="0"/>
              <w:rPr>
                <w:sz w:val="22"/>
                <w:szCs w:val="22"/>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3/29/2024</w:t>
            </w:r>
          </w:p>
        </w:tc>
      </w:tr>
      <w:tr>
        <w:trPr>
          <w:trHeight w:val="25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182,668</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n/a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4/26/2022</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61,066</w:t>
            </w:r>
          </w:p>
        </w:tc>
        <w:tc>
          <w:tcPr>
            <w:tcW w:w="220" w:type="dxa"/>
            <w:vAlign w:val="bottom"/>
          </w:tcPr>
          <w:p>
            <w:pPr>
              <w:spacing w:after="0"/>
              <w:rPr>
                <w:sz w:val="23"/>
                <w:szCs w:val="2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3/8/2023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-968375</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-968375</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Options granted to third parties:</w:t>
      </w:r>
    </w:p>
    <w:p>
      <w:pPr>
        <w:spacing w:after="0" w:line="135" w:lineRule="exact"/>
        <w:rPr>
          <w:sz w:val="20"/>
          <w:szCs w:val="20"/>
          <w:color w:val="auto"/>
        </w:rPr>
      </w:pPr>
    </w:p>
    <w:p>
      <w:pPr>
        <w:ind w:left="1260" w:right="1460" w:firstLine="360"/>
        <w:spacing w:after="0" w:line="261" w:lineRule="auto"/>
        <w:rPr>
          <w:sz w:val="20"/>
          <w:szCs w:val="20"/>
          <w:color w:val="auto"/>
        </w:rPr>
      </w:pPr>
      <w:r>
        <w:rPr>
          <w:rFonts w:ascii="Arial" w:cs="Arial" w:eastAsia="Arial" w:hAnsi="Arial"/>
          <w:sz w:val="18"/>
          <w:szCs w:val="18"/>
          <w:color w:val="auto"/>
        </w:rPr>
        <w:t>The table below summarizes our outstanding options to purchase ordinary shares as of July 31, 2020, that we have granted to third parties.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 Options Granted Under the Unapproved Share Option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 of options</w:t>
            </w:r>
          </w:p>
        </w:tc>
        <w:tc>
          <w:tcPr>
            <w:tcW w:w="30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 (£)</w:t>
            </w: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Expiry Date</w:t>
            </w:r>
          </w:p>
        </w:tc>
        <w:tc>
          <w:tcPr>
            <w:tcW w:w="1620" w:type="dxa"/>
            <w:vAlign w:val="bottom"/>
          </w:tcPr>
          <w:p>
            <w:pPr>
              <w:spacing w:after="0"/>
              <w:rPr>
                <w:sz w:val="16"/>
                <w:szCs w:val="16"/>
                <w:color w:val="auto"/>
              </w:rPr>
            </w:pPr>
          </w:p>
        </w:tc>
      </w:tr>
      <w:tr>
        <w:trPr>
          <w:trHeight w:val="229"/>
        </w:trPr>
        <w:tc>
          <w:tcPr>
            <w:tcW w:w="16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500,000</w:t>
            </w:r>
          </w:p>
        </w:tc>
        <w:tc>
          <w:tcPr>
            <w:tcW w:w="4300" w:type="dxa"/>
            <w:vAlign w:val="bottom"/>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91"/>
              </w:rPr>
              <w:t>1.80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8/3/2026</w:t>
            </w:r>
          </w:p>
        </w:tc>
        <w:tc>
          <w:tcPr>
            <w:tcW w:w="1620" w:type="dxa"/>
            <w:vAlign w:val="bottom"/>
          </w:tcPr>
          <w:p>
            <w:pPr>
              <w:spacing w:after="0"/>
              <w:rPr>
                <w:sz w:val="19"/>
                <w:szCs w:val="19"/>
                <w:color w:val="auto"/>
              </w:rPr>
            </w:pPr>
          </w:p>
        </w:tc>
      </w:tr>
      <w:tr>
        <w:trPr>
          <w:trHeight w:val="243"/>
        </w:trPr>
        <w:tc>
          <w:tcPr>
            <w:tcW w:w="3820" w:type="dxa"/>
            <w:vAlign w:val="bottom"/>
            <w:gridSpan w:val="2"/>
          </w:tcPr>
          <w:p>
            <w:pPr>
              <w:ind w:left="1620"/>
              <w:spacing w:after="0"/>
              <w:rPr>
                <w:sz w:val="20"/>
                <w:szCs w:val="20"/>
                <w:color w:val="auto"/>
              </w:rPr>
            </w:pPr>
            <w:r>
              <w:rPr>
                <w:rFonts w:ascii="Arial" w:cs="Arial" w:eastAsia="Arial" w:hAnsi="Arial"/>
                <w:sz w:val="18"/>
                <w:szCs w:val="18"/>
                <w:color w:val="auto"/>
              </w:rPr>
              <w:t>300,000</w:t>
            </w:r>
          </w:p>
        </w:tc>
        <w:tc>
          <w:tcPr>
            <w:tcW w:w="4300" w:type="dxa"/>
            <w:vAlign w:val="bottom"/>
            <w:gridSpan w:val="3"/>
          </w:tcPr>
          <w:p>
            <w:pPr>
              <w:jc w:val="center"/>
              <w:ind w:left="3130"/>
              <w:spacing w:after="0"/>
              <w:rPr>
                <w:sz w:val="20"/>
                <w:szCs w:val="20"/>
                <w:color w:val="auto"/>
              </w:rPr>
            </w:pPr>
            <w:r>
              <w:rPr>
                <w:rFonts w:ascii="Arial" w:cs="Arial" w:eastAsia="Arial" w:hAnsi="Arial"/>
                <w:sz w:val="18"/>
                <w:szCs w:val="18"/>
                <w:color w:val="auto"/>
                <w:w w:val="91"/>
              </w:rPr>
              <w:t>1.25</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1/29/2025</w:t>
            </w:r>
          </w:p>
        </w:tc>
        <w:tc>
          <w:tcPr>
            <w:tcW w:w="162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100,000</w:t>
            </w:r>
          </w:p>
        </w:tc>
        <w:tc>
          <w:tcPr>
            <w:tcW w:w="4300" w:type="dxa"/>
            <w:vAlign w:val="bottom"/>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91"/>
              </w:rPr>
              <w:t>2.00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2/9/2026</w:t>
            </w:r>
          </w:p>
        </w:tc>
        <w:tc>
          <w:tcPr>
            <w:tcW w:w="1620" w:type="dxa"/>
            <w:vAlign w:val="bottom"/>
          </w:tcPr>
          <w:p>
            <w:pPr>
              <w:spacing w:after="0"/>
              <w:rPr>
                <w:sz w:val="21"/>
                <w:szCs w:val="21"/>
                <w:color w:val="auto"/>
              </w:rPr>
            </w:pPr>
          </w:p>
        </w:tc>
      </w:tr>
      <w:tr>
        <w:trPr>
          <w:trHeight w:val="243"/>
        </w:trPr>
        <w:tc>
          <w:tcPr>
            <w:tcW w:w="3820" w:type="dxa"/>
            <w:vAlign w:val="bottom"/>
            <w:gridSpan w:val="2"/>
          </w:tcPr>
          <w:p>
            <w:pPr>
              <w:ind w:left="1620"/>
              <w:spacing w:after="0"/>
              <w:rPr>
                <w:sz w:val="20"/>
                <w:szCs w:val="20"/>
                <w:color w:val="auto"/>
              </w:rPr>
            </w:pPr>
            <w:r>
              <w:rPr>
                <w:rFonts w:ascii="Arial" w:cs="Arial" w:eastAsia="Arial" w:hAnsi="Arial"/>
                <w:sz w:val="18"/>
                <w:szCs w:val="18"/>
                <w:color w:val="auto"/>
              </w:rPr>
              <w:t>99,999</w:t>
            </w:r>
          </w:p>
        </w:tc>
        <w:tc>
          <w:tcPr>
            <w:tcW w:w="4300" w:type="dxa"/>
            <w:vAlign w:val="bottom"/>
            <w:gridSpan w:val="3"/>
          </w:tcPr>
          <w:p>
            <w:pPr>
              <w:jc w:val="center"/>
              <w:ind w:left="3130"/>
              <w:spacing w:after="0"/>
              <w:rPr>
                <w:sz w:val="20"/>
                <w:szCs w:val="20"/>
                <w:color w:val="auto"/>
              </w:rPr>
            </w:pPr>
            <w:r>
              <w:rPr>
                <w:rFonts w:ascii="Arial" w:cs="Arial" w:eastAsia="Arial" w:hAnsi="Arial"/>
                <w:sz w:val="18"/>
                <w:szCs w:val="18"/>
                <w:color w:val="auto"/>
                <w:w w:val="91"/>
              </w:rPr>
              <w:t>2.00</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7/29/2023</w:t>
            </w:r>
          </w:p>
        </w:tc>
        <w:tc>
          <w:tcPr>
            <w:tcW w:w="1620" w:type="dxa"/>
            <w:vAlign w:val="bottom"/>
          </w:tcPr>
          <w:p>
            <w:pPr>
              <w:spacing w:after="0"/>
              <w:rPr>
                <w:sz w:val="21"/>
                <w:szCs w:val="21"/>
                <w:color w:val="auto"/>
              </w:rPr>
            </w:pPr>
          </w:p>
        </w:tc>
      </w:tr>
      <w:tr>
        <w:trPr>
          <w:trHeight w:val="256"/>
        </w:trPr>
        <w:tc>
          <w:tcPr>
            <w:tcW w:w="1620" w:type="dxa"/>
            <w:vAlign w:val="bottom"/>
          </w:tcPr>
          <w:p>
            <w:pPr>
              <w:spacing w:after="0"/>
              <w:rPr>
                <w:sz w:val="22"/>
                <w:szCs w:val="2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60,000</w:t>
            </w:r>
          </w:p>
        </w:tc>
        <w:tc>
          <w:tcPr>
            <w:tcW w:w="4300" w:type="dxa"/>
            <w:vAlign w:val="bottom"/>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91"/>
              </w:rPr>
              <w:t>1.75</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5/15/2024</w:t>
            </w:r>
          </w:p>
        </w:tc>
        <w:tc>
          <w:tcPr>
            <w:tcW w:w="1620" w:type="dxa"/>
            <w:vAlign w:val="bottom"/>
          </w:tcPr>
          <w:p>
            <w:pPr>
              <w:spacing w:after="0"/>
              <w:rPr>
                <w:sz w:val="22"/>
                <w:szCs w:val="22"/>
                <w:color w:val="auto"/>
              </w:rPr>
            </w:pPr>
          </w:p>
        </w:tc>
      </w:tr>
      <w:tr>
        <w:trPr>
          <w:trHeight w:val="607"/>
        </w:trPr>
        <w:tc>
          <w:tcPr>
            <w:tcW w:w="1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0" w:type="dxa"/>
            <w:vAlign w:val="bottom"/>
          </w:tcPr>
          <w:p>
            <w:pPr>
              <w:jc w:val="right"/>
              <w:ind w:right="129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-1430655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-1430655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Share Options Granted Under the 2017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32385</wp:posOffset>
            </wp:positionV>
            <wp:extent cx="47491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No of options</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 (£)</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Expiry Date</w:t>
            </w:r>
          </w:p>
        </w:tc>
      </w:tr>
      <w:tr>
        <w:trPr>
          <w:trHeight w:val="26"/>
        </w:trPr>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1,385,598</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1.32</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1,026,944</w:t>
            </w:r>
          </w:p>
        </w:tc>
        <w:tc>
          <w:tcPr>
            <w:tcW w:w="2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0.57</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3/29/2029</w:t>
            </w:r>
          </w:p>
        </w:tc>
      </w:tr>
      <w:tr>
        <w:trPr>
          <w:trHeight w:val="25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868,758</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1.46</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8/3/2028</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0.45</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11/26/2029</w:t>
            </w:r>
          </w:p>
        </w:tc>
      </w:tr>
      <w:tr>
        <w:trPr>
          <w:trHeight w:val="27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267,918</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1.22</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12/31/2020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-839470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-839470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14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A copy of our Articles of Association is attached as Exhibit 1.1 to our Annual Report filed on Form 20-F. The information called for by this section is set forth in Exhibit 2.5 to our Annual Report and is incorporated by reference into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Our ADSs are listed on The Nasdaq Global Market under the symbol “VRNA.” Our ordinary shares are listed on AIM of the London Stock Exchange, or AIM, under the symbol “VRP.”</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ordinary share register is maintained by Computershare Investor Services plc.</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Depositary</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depositary for our ADSs is 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CERTAIN MATERIAL TAX CONSIDERATIONS FOR U.S. HOLDERS</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following is a description of certain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102" w:lineRule="exact"/>
        <w:rPr>
          <w:sz w:val="20"/>
          <w:szCs w:val="20"/>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holding our ordinary shares or ADSs as part of a hedging transaction, “straddle,” wash sale, conversion transaction or integrated transaction or persons entering into a constructive sale with respect to ordinary shares or ADSs;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17"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17"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75" w:lineRule="exact"/>
        <w:rPr>
          <w:rFonts w:ascii="Arial" w:cs="Arial" w:eastAsia="Arial" w:hAnsi="Arial"/>
          <w:sz w:val="18"/>
          <w:szCs w:val="18"/>
          <w:color w:val="auto"/>
        </w:rPr>
      </w:pPr>
    </w:p>
    <w:p>
      <w:pPr>
        <w:ind w:left="1800" w:right="719" w:hanging="178"/>
        <w:spacing w:after="0" w:line="308"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persons subject to special tax accounting rules as a result of any item of gross income with respect to ordinary shares or ADSs being taken into account in an applicable financial statement;</w:t>
      </w:r>
    </w:p>
    <w:p>
      <w:pPr>
        <w:spacing w:after="0" w:line="38" w:lineRule="exact"/>
        <w:rPr>
          <w:rFonts w:ascii="Arial" w:cs="Arial" w:eastAsia="Arial" w:hAnsi="Arial"/>
          <w:sz w:val="17"/>
          <w:szCs w:val="17"/>
          <w:color w:val="auto"/>
        </w:rPr>
      </w:pPr>
    </w:p>
    <w:p>
      <w:pPr>
        <w:ind w:left="1800" w:right="81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ordinary shares by vote or value; and</w:t>
      </w:r>
    </w:p>
    <w:p>
      <w:pPr>
        <w:spacing w:after="0" w:line="62" w:lineRule="exact"/>
        <w:rPr>
          <w:rFonts w:ascii="Arial" w:cs="Arial" w:eastAsia="Arial" w:hAnsi="Arial"/>
          <w:sz w:val="18"/>
          <w:szCs w:val="18"/>
          <w:color w:val="auto"/>
        </w:rPr>
      </w:pPr>
    </w:p>
    <w:p>
      <w:pPr>
        <w:ind w:left="1800" w:right="113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103"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If an entity that is classified as a partnership for U.S. federal income tax purposes holds our ordinary shares or ADSs, the U.S. federal income tax treatment of a partner will generally depend on the status of the partner and the activities of the partnership. Partnerships holding our ordinary shares or ADSs and partners in such partnerships are encouraged to consult their tax advisers as to the particular U.S. federal income tax consequences of holding and disposing of our ordinary shares or ADSs.</w:t>
      </w:r>
    </w:p>
    <w:p>
      <w:pPr>
        <w:spacing w:after="0" w:line="9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discussion is based on the Internal Revenue Code of 1986, as amended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120"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A “U.S. Holder” is a holder who, for U.S. federal income tax purposes, is a beneficial owner of our ordinary shares or ADSs who is eligible for the benefits of the Treaty and is:</w:t>
      </w:r>
    </w:p>
    <w:p>
      <w:pPr>
        <w:spacing w:after="0" w:line="103" w:lineRule="exact"/>
        <w:rPr>
          <w:sz w:val="20"/>
          <w:szCs w:val="20"/>
          <w:color w:val="auto"/>
        </w:rPr>
      </w:pPr>
    </w:p>
    <w:p>
      <w:pPr>
        <w:ind w:left="1980" w:hanging="358"/>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7" w:lineRule="exact"/>
        <w:rPr>
          <w:rFonts w:ascii="Arial" w:cs="Arial" w:eastAsia="Arial" w:hAnsi="Arial"/>
          <w:sz w:val="18"/>
          <w:szCs w:val="18"/>
          <w:color w:val="auto"/>
        </w:rPr>
      </w:pPr>
    </w:p>
    <w:p>
      <w:pPr>
        <w:ind w:left="1980" w:right="759" w:hanging="358"/>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99" w:hanging="358"/>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89"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our ordinary shares or ADSs in their particular circumstances.</w:t>
      </w:r>
    </w:p>
    <w:p>
      <w:pPr>
        <w:spacing w:after="0" w:line="11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The discussion below assumes that the representations contained in the deposit agreement with respect to our ADSs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our ADSs and our company if as a result of such actions the holders of our ADSs are not properly treated as beneficial owners of the underlying ordinary shares.</w:t>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Passive Foreign Investment Company (“PFIC”) Rules</w:t>
      </w:r>
    </w:p>
    <w:p>
      <w:pPr>
        <w:spacing w:after="0" w:line="104"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color w:val="auto"/>
        </w:rPr>
        <w:t>Because we do not expect to earn revenue from our business operations during the current taxable year and because our sole source of income currently is interest on bank accounts held by us, we believe we will likely be classified as a PFIC for the current taxable year. A non-U.S. corporation will be classified as a PFIC for any taxable year in which, after applying certain look-through rules, either:</w:t>
      </w:r>
    </w:p>
    <w:p>
      <w:pPr>
        <w:spacing w:after="0" w:line="64" w:lineRule="exact"/>
        <w:rPr>
          <w:sz w:val="20"/>
          <w:szCs w:val="20"/>
          <w:color w:val="auto"/>
        </w:rPr>
      </w:pPr>
    </w:p>
    <w:p>
      <w:pPr>
        <w:ind w:left="1800" w:hanging="178"/>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17" w:lineRule="exact"/>
        <w:rPr>
          <w:rFonts w:ascii="Arial" w:cs="Arial" w:eastAsia="Arial" w:hAnsi="Arial"/>
          <w:sz w:val="18"/>
          <w:szCs w:val="18"/>
          <w:color w:val="auto"/>
        </w:rPr>
      </w:pPr>
    </w:p>
    <w:p>
      <w:pPr>
        <w:ind w:left="1800" w:right="1099" w:hanging="178"/>
        <w:spacing w:after="0" w:line="308"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least 50% of its gross assets (determined on the basis of a quarterly average) is attributable to assets that produce passive income or are held for the production of passive income.</w:t>
      </w:r>
    </w:p>
    <w:p>
      <w:pPr>
        <w:spacing w:after="0" w:line="65"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114"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our ordinary shares or ADSs, which may fluctuate considerably. Fluctuations in the market price of our ordinary shares or ADSs may result in our being a PFIC for any taxable year.</w:t>
      </w:r>
    </w:p>
    <w:p>
      <w:pPr>
        <w:spacing w:after="0" w:line="123"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tests described above unless (1) we cease to be a PFIC and the U.S. Holder has made a “deemed sale” election under the PFIC rules, or (2) the U.S. Holder makes a QEF Election (defined below) with respect to taxable years in which we are a PFIC. If such election is made, the U.S. Holder will be deemed to have sold our ordinary shares or ADSs it holds at their fair market value and any gain from such deemed sale would be subject to the rules described below. After the deemed sale election, so long as we do not become a PFIC in a subsequent taxable year, the ordinary shares or ADSs with respect to which such election was made will not be treated as shares in a PFIC and the U.S. Holder will not be subject to the rules described below with respect to any “excess distribution” it receives from us or any gain from an actual sale or other disposition of our ordinary shares or ADSs. U.S. Holders should consult their tax advisors as to the possibility and consequences of making a deemed sale election if we cease to be a PFIC and such election becomes available.</w:t>
      </w:r>
    </w:p>
    <w:p>
      <w:pPr>
        <w:spacing w:after="0" w:line="108"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For each taxable year we are treated as a PFIC with respect to a U.S. Holder, such holder will be subject to special tax rules with respect to any “excess distribution” it receives and any gain it recognizes from a sale or other disposition (including a pledge) of our ordinary shares or ADSs, unless such holder makes</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a QEF Election or a mark-to-market election as discussed below. Distributions that a U.S. Holder receives in a taxable year that are greater than 125% of the average annual distributions received during the shorter of the three preceding taxable years or such holder’s holding period for out ordinary shares or ADSs will be treated as an excess distribution. Under these special tax rules:</w:t>
      </w:r>
    </w:p>
    <w:p>
      <w:pPr>
        <w:spacing w:after="0" w:line="80" w:lineRule="exact"/>
        <w:rPr>
          <w:sz w:val="20"/>
          <w:szCs w:val="20"/>
          <w:color w:val="auto"/>
        </w:rPr>
      </w:pPr>
    </w:p>
    <w:p>
      <w:pPr>
        <w:ind w:left="1800" w:right="103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such holder’s holding period for our ordinary shares or ADSs;</w:t>
      </w:r>
    </w:p>
    <w:p>
      <w:pPr>
        <w:spacing w:after="0" w:line="48"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62"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16" w:lineRule="exact"/>
        <w:rPr>
          <w:sz w:val="20"/>
          <w:szCs w:val="20"/>
          <w:color w:val="auto"/>
        </w:rPr>
      </w:pPr>
    </w:p>
    <w:p>
      <w:pPr>
        <w:jc w:val="both"/>
        <w:ind w:left="1260" w:right="739" w:firstLine="360"/>
        <w:spacing w:after="0" w:line="243"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our ordinary shares or ADSs cannot be treated as capital, even if the U.S. Holder holds our ordinary shares or ADSs as capital assets.</w:t>
      </w:r>
    </w:p>
    <w:p>
      <w:pPr>
        <w:spacing w:after="0" w:line="120"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108"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U.S. Holders can avoid the interest charge on excess distributions or gain relating to our ordinary shares or ADSs by making a mark-to -market election with respect to our ordinary shares or ADSs, provided that our ordinary shares or ADSs are “marketable.” Our ordinary shares or ADSs will be marketable if they are “regularly traded” on certain U.S. stock exchanges or on a foreign stock exchange that meets certain conditions. For these purposes, our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are listed on the Nasdaq Global Market and our ordinary shares are traded on AIM, a market of the London Stock Exchange, each of, which is a qualified exchange for these purposes. Consequently, if our ADSs remain listed on the Nasdaq Global Market or our ordinary shares remain listed on AIM and, in each case, are regularly traded, and you are a holder of ADSs, we expect the mark-to- market election would be available to U.S. Holders of such ordinary shares or ADSs if we are a PFIC (which we believe likely for the current year). Each U.S. Holder should consult its tax advisor as to whether a mark-to-market election is available or advisable with respect to our ordinary shares or ADSs.</w:t>
      </w:r>
    </w:p>
    <w:p>
      <w:pPr>
        <w:spacing w:after="0" w:line="121"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our ordinary shares or ADSs at the close of the taxable year over the U.S. Holder’s adjusted tax basis in our ordinary shares or ADSs. An electing holder may also claim an ordinary loss deduction for the excess, if any, of the U.S. Holder’s adjusted basis in our ordinary shares or ADSs over the fair market value of our ordinary shares or ADSs at the close of the taxable year, but this deduction is allowable only to the extent of any net mark-to-market gains for</w:t>
      </w:r>
    </w:p>
    <w:p>
      <w:pPr>
        <w:spacing w:after="0" w:line="4" w:lineRule="exact"/>
        <w:rPr>
          <w:sz w:val="20"/>
          <w:szCs w:val="20"/>
          <w:color w:val="auto"/>
        </w:rPr>
      </w:pPr>
    </w:p>
    <w:p>
      <w:pPr>
        <w:jc w:val="both"/>
        <w:ind w:left="1260" w:right="719"/>
        <w:spacing w:after="0" w:line="237" w:lineRule="auto"/>
        <w:rPr>
          <w:sz w:val="20"/>
          <w:szCs w:val="20"/>
          <w:color w:val="auto"/>
        </w:rPr>
      </w:pPr>
      <w:r>
        <w:rPr>
          <w:rFonts w:ascii="Arial" w:cs="Arial" w:eastAsia="Arial" w:hAnsi="Arial"/>
          <w:sz w:val="18"/>
          <w:szCs w:val="18"/>
          <w:color w:val="auto"/>
        </w:rPr>
        <w:t>prior years. Gains from an actual sale or other disposition of our ordinary shares or ADSs will be treated as ordinary income, and any losses incurred on a sale or other disposition of our ordinary shares or ADSs will be treated as an ordinary loss to the extent of any net mark -to-market gains for prior years. Once made, the election cannot be revoked without the consent of the U.S. Internal Revenue Service (the “IRS”), unless our ordinary shares or ADSs cease to be marketable.</w:t>
      </w:r>
    </w:p>
    <w:p>
      <w:pPr>
        <w:spacing w:after="0" w:line="123"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 tier PFIC are themselves “marketable.” We believe that 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consult their tax advisors as to the availability and desirability of a mark-to-market election, as well as the impact of such election on interests in any lower-tier PFICs.</w:t>
      </w:r>
    </w:p>
    <w:p>
      <w:pPr>
        <w:spacing w:after="0" w:line="90"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7"/>
          <w:szCs w:val="17"/>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116"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our ordinary shares or ADSs by an amount equal to any income included under the QEF Election and will decrease its tax basis by any amount distributed on our ordinary shares or ADSs that is not included in the holder’s income. In addition, a U.S. Holder will recognize capital gain or loss on the disposition of our ordinary shares or ADSs in an amount equal to the difference between the amount realized and the holder’s adjusted tax basis in our ordinary shares or ADSs. U.S. Holders should note that if they make QEF Elections with respect to us and lower-tier PFICs, they may be required to pay U.S. federal income tax with respect to our ordinary shares or ADSs for any taxable year significantly in excess of any cash distributions received on our ordinary shares or ADSs for such taxable year. U.S. Holders should consult their tax advisors regarding making QEF Elections in their particular circumstances.</w:t>
      </w:r>
    </w:p>
    <w:p>
      <w:pPr>
        <w:spacing w:after="0" w:line="121"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Unless otherwise provided by the U.S. Treasury, each U.S. 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58"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color w:val="auto"/>
        </w:rPr>
        <w:t xml:space="preserve">Subject to the discussion above under “Passive Foreign Investment Company (“PFIC”) Rules,” distributions paid on our ordinary shares or ADSs,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(and other than certain pro rata distributions of ordinary shares or ADSs or rights to acquire ordinary shares or ADSs) will be the fair market value of such property on the date of distribution.</w:t>
      </w:r>
    </w:p>
    <w:p>
      <w:pPr>
        <w:spacing w:after="0" w:line="90"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our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or Other Taxable Disposition of Our Ordinary Shares and ADSs</w:t>
      </w:r>
    </w:p>
    <w:p>
      <w:pPr>
        <w:spacing w:after="0" w:line="15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Subject to the discussion above under “Passive Foreign Investment (“PFIC”) Company Rules,” gain or loss realized on the sale or other taxable disposition of our ordinary shares or ADSs will be capital gain or loss, and will be long-term capital gain or loss if the U.S. Holder held our ordinary shares or ADSs for more than one year. The amount of the gain or loss will equal the difference between the U.S. Holder’s tax basis in our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85" w:lineRule="exact"/>
        <w:rPr>
          <w:sz w:val="20"/>
          <w:szCs w:val="20"/>
          <w:color w:val="auto"/>
        </w:rPr>
      </w:pPr>
    </w:p>
    <w:p>
      <w:pPr>
        <w:ind w:left="1260" w:right="739" w:firstLine="360"/>
        <w:spacing w:after="0" w:line="223"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our ordinary shares or ADSs are treated as traded on an “established securities market” and the U.S. Holder is are either a cash basis taxpayer or an accrual basis taxpayer that has made a special election (which must be applied consistently from year to year and cannot be changed without the consent of the IRS), such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18" w:lineRule="exact"/>
        <w:rPr>
          <w:sz w:val="20"/>
          <w:szCs w:val="20"/>
          <w:color w:val="auto"/>
        </w:rPr>
      </w:pPr>
    </w:p>
    <w:p>
      <w:pPr>
        <w:ind w:left="1260" w:right="699" w:firstLine="360"/>
        <w:spacing w:after="0" w:line="245" w:lineRule="auto"/>
        <w:rPr>
          <w:sz w:val="20"/>
          <w:szCs w:val="20"/>
          <w:color w:val="auto"/>
        </w:rPr>
      </w:pPr>
      <w:r>
        <w:rPr>
          <w:rFonts w:ascii="Arial" w:cs="Arial" w:eastAsia="Arial" w:hAnsi="Arial"/>
          <w:sz w:val="18"/>
          <w:szCs w:val="18"/>
          <w:b w:val="1"/>
          <w:bCs w:val="1"/>
          <w:color w:val="auto"/>
        </w:rPr>
        <w:t>WE STRONGLY URGE INVESTORS IN OUR ORDINARY SHARES OR ADSs TO CONSULT THEIR TAX ADVISORS REGARDING THE IMPACT OF OUR PFIC STATUS ON THEIR INVESTMENT IN OUR ORDINARY SHARES OR ADSs AS WELL AS THE APPLICATION OF THE PFIC RULES TO SUCH INVESTMENT IN OUR ORDINARY SHARES OR ADSs.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22"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44" w:lineRule="exact"/>
        <w:rPr>
          <w:sz w:val="20"/>
          <w:szCs w:val="20"/>
          <w:color w:val="auto"/>
        </w:rPr>
      </w:pPr>
    </w:p>
    <w:p>
      <w:pPr>
        <w:ind w:left="1260" w:right="879" w:firstLine="360"/>
        <w:spacing w:after="0" w:line="241"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our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our ordinary shares or ADSs.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selling shareholders and any of their pledgees, donees, transferees, assignees or other successors - in-interest may, from time to time, sell, transfer or otherwise dispose of any or all of their ordinary shares in the form of ADSs or interests in such ADSs on any stock exchange, market or trading facility on which the ADSs are traded or in private transactions. These dispositions may be at fixed prices, at prevailing market prices at the time of sale, at prices related to the prevailing market price, at varying prices determined at the time of sale, or at negotiated prices. The selling shareholders may use one or more of the following methods when disposing of the ADSs or interests therein:</w:t>
      </w:r>
    </w:p>
    <w:p>
      <w:pPr>
        <w:spacing w:after="0" w:line="83" w:lineRule="exact"/>
        <w:rPr>
          <w:sz w:val="20"/>
          <w:szCs w:val="20"/>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ADSs as agent but may position and resell a portion of the block as principal to facilitate the transaction;</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3" w:lineRule="exact"/>
        <w:rPr>
          <w:rFonts w:ascii="Arial" w:cs="Arial" w:eastAsia="Arial" w:hAnsi="Arial"/>
          <w:sz w:val="18"/>
          <w:szCs w:val="18"/>
          <w:color w:val="auto"/>
        </w:rPr>
      </w:pPr>
    </w:p>
    <w:p>
      <w:pPr>
        <w:ind w:left="1800" w:right="1059" w:hanging="178"/>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75"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broker-dealers may agree with the selling shareholders to sell a specified number of such ADSs at a stipulated price per ADS;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44" w:lineRule="exact"/>
        <w:rPr>
          <w:sz w:val="20"/>
          <w:szCs w:val="20"/>
          <w:color w:val="auto"/>
        </w:rPr>
      </w:pPr>
    </w:p>
    <w:p>
      <w:pPr>
        <w:jc w:val="both"/>
        <w:ind w:left="1260" w:right="919" w:firstLine="360"/>
        <w:spacing w:after="0" w:line="248" w:lineRule="auto"/>
        <w:rPr>
          <w:sz w:val="20"/>
          <w:szCs w:val="20"/>
          <w:color w:val="auto"/>
        </w:rPr>
      </w:pPr>
      <w:r>
        <w:rPr>
          <w:rFonts w:ascii="Arial" w:cs="Arial" w:eastAsia="Arial" w:hAnsi="Arial"/>
          <w:sz w:val="18"/>
          <w:szCs w:val="18"/>
          <w:color w:val="auto"/>
        </w:rPr>
        <w:t>The selling shareholders may also sell ADSs under Rule 144 or Rule 904 under the Securities Act of 1933, as amended, or Securities Act, if available, or Section 4(a)(1) under the Securities Act, rather than under this prospectus.</w:t>
      </w:r>
    </w:p>
    <w:p>
      <w:pPr>
        <w:spacing w:after="0" w:line="114"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Broker-dealers engaged by the selling shareholders may arrange for other broker-dealers to participate in sales. Broker-dealers may receive commissions or discounts from the selling shareholders (or, if any broker- dealer acts as agent for the purchaser of ADSs, from the purchaser) in amounts to be negotiated. The selling shareholders do not expect these commissions and discounts to exceed what is customary in the types of transactions involved.</w:t>
      </w:r>
    </w:p>
    <w:p>
      <w:pPr>
        <w:spacing w:after="0" w:line="10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selling shareholders may, from time to time, pledge or grant a security interest in some or all of the ADSs owned by them and, if they default in the performance of their secured obligations, the pledgees or secured parties may offer and sell the ADSs from time to time under this prospectus, or under a supplement or amendment to this prospectus under Rule 424(b)(3) or other applicable provision of the Securities Act amending the list of selling shareholders to include the pledgee, transferee or other successors in interest as selling shareholders under this prospectus.</w:t>
      </w:r>
    </w:p>
    <w:p>
      <w:pPr>
        <w:spacing w:after="0" w:line="122"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Upon being notified in writing by a selling shareholder that any material arrangement has been entered into with a broker-dealer for the sale of ADSs through a block trade, special offering, exchange distribution or secondary distribution or a purchase by a broker or dealer, we will file a supplement to this prospectus, if required, pursuant to Rule 424(b) under the Securities Act, disclosing (i) the name of each such selling shareholder and of the participating broker-dealer(s), (ii) the number of ADSs involved, (iii) the price at which such ADSs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124"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7"/>
          <w:szCs w:val="17"/>
          <w:color w:val="auto"/>
        </w:rPr>
        <w:t>The selling shareholders also may transfer ADSs in other circumstances, in which case the transferees, pledgees or other successors in interest will be the selling beneficial owners for purposes of this prospectus.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8"/>
          <w:szCs w:val="18"/>
          <w:color w:val="auto"/>
        </w:rPr>
        <w:t>In connection with the sale of the ADSs or interests in the ADSs, the selling shareholders may enter into hedging transactions after the effective date of the registration statement of which this prospectus is a part with broker-dealers or other financial institutions, which may in turn engage in short sales of the ADSs in the course of hedging the positions they assume. The selling shareholders may also sell ADSs short after the effective date of the registration statement of which this prospectus is a part and deliver these ADSs to close out their short positions, or loan or pledge the ADSs to broker-dealers that in turn may sell these ADSs. The selling shareholders may also enter into options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ADSs offered by this prospectus, which ADSs such broker-dealer or other financial institution may resell pursuant to this prospectus (as supplemented or amended to reflect such transaction).</w:t>
      </w:r>
    </w:p>
    <w:p>
      <w:pPr>
        <w:spacing w:after="0" w:line="11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selling shareholders and any broker-dealers or agents that are involved in selling the ADSs may be deemed to be “underwriters” within the meaning of the Securities Act in connection with such sales. In such event, any commissions received by such broker-dealers or agents and any profit on the resale of the ADSs purchased by them may be deemed to be underwriting commissions or discounts under the Securities Act. The maximum commission or discount to be received by any member of the Financial Industry Regulatory Authority or independent broker-dealer will not be greater than 8% of the initial gross proceeds from the sale of any security being sold.</w:t>
      </w:r>
    </w:p>
    <w:p>
      <w:pPr>
        <w:spacing w:after="0" w:line="127" w:lineRule="exact"/>
        <w:rPr>
          <w:sz w:val="20"/>
          <w:szCs w:val="20"/>
          <w:color w:val="auto"/>
        </w:rPr>
      </w:pPr>
    </w:p>
    <w:p>
      <w:pPr>
        <w:ind w:left="1260" w:right="1139" w:firstLine="360"/>
        <w:spacing w:after="0" w:line="286" w:lineRule="auto"/>
        <w:rPr>
          <w:sz w:val="20"/>
          <w:szCs w:val="20"/>
          <w:color w:val="auto"/>
        </w:rPr>
      </w:pPr>
      <w:r>
        <w:rPr>
          <w:rFonts w:ascii="Arial" w:cs="Arial" w:eastAsia="Arial" w:hAnsi="Arial"/>
          <w:sz w:val="17"/>
          <w:szCs w:val="17"/>
          <w:color w:val="auto"/>
        </w:rPr>
        <w:t>We have advised the selling shareholders that they are required to comply with Regulation M promulgated under the Securities Exchange Act of 1934, as amended, during such time as they may be engaged in a distribution of the ADSs. The foregoing may affect the marketability of the ADSs.</w:t>
      </w:r>
    </w:p>
    <w:p>
      <w:pPr>
        <w:spacing w:after="0" w:line="98"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The aggregate proceeds to the selling shareholders from the sale of the ADSs offered by them will be the purchase price of the ADSs less discounts or commissions, if any. Each of the selling shareholders reserves the right to accept and, together with their agents from time to time, to reject, in whole or in part, any proposed purchase of ADSs to be made directly or through agents. We will not receive any of the proceeds from this offering.</w:t>
      </w:r>
    </w:p>
    <w:p>
      <w:pPr>
        <w:spacing w:after="0" w:line="107"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We are required to pay all fees and expenses incident to the registration of the ADSs. We have agreed to indemnify the selling shareholders against certain losses, claims, damages and liabilities, including liabilities under the Securities Act or otherwise.</w:t>
      </w:r>
    </w:p>
    <w:p>
      <w:pPr>
        <w:spacing w:after="0" w:line="11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have agreed with the selling shareholders to keep the registration statement of which this prospectus constitutes a part effective until the earlier of (a) such time as all of the ordinary shares (including in the form of ADSs) covered by this prospectus have been disposed of pursuant to and in accordance with the registration statement, (b) such time as all of the ordinary shares (including in the form of ADSs) covered by this prospectus have been previously sold or transferred in accordance with Rule 144 of the Securities Act, (c) such time as the ordinary shares (including in the form of ADSs) becoming eligible for resale by the holder without volume or manner-of-sale restrictions and without current public information requirements pursuant to Rule 144 of the Securities Act, and (d) the fifth anniversary of the closing of the 2020 Private Placement, which is July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EXPENSES</w:t>
      </w:r>
    </w:p>
    <w:p>
      <w:pPr>
        <w:spacing w:after="0" w:line="148"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The following is an estimate of the expenses (all of which are to be paid by us) that we may incur in connection with the common shares being registered hereby, other than the SEC registration fee.</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45,725.02</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650,000</w:t>
            </w: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ADS depositary fees</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1,600,000</w:t>
            </w: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Printing and miscellaneous expenses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1,098,274.98</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w:t>
            </w: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validity of our ordinary shares held by the selling shareholders and certain other matters of English law will be passed upon for us by Latham &amp; Watkins LLP.</w:t>
      </w:r>
    </w:p>
    <w:p>
      <w:pPr>
        <w:spacing w:after="0" w:line="16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99" w:firstLine="360"/>
        <w:spacing w:after="0" w:line="259" w:lineRule="auto"/>
        <w:rPr>
          <w:rFonts w:ascii="Arial" w:cs="Arial" w:eastAsia="Arial" w:hAnsi="Arial"/>
          <w:sz w:val="18"/>
          <w:szCs w:val="18"/>
          <w:color w:val="0000EE"/>
        </w:rPr>
      </w:pPr>
      <w:hyperlink r:id="rId187">
        <w:r>
          <w:rPr>
            <w:rFonts w:ascii="Arial" w:cs="Arial" w:eastAsia="Arial" w:hAnsi="Arial"/>
            <w:sz w:val="18"/>
            <w:szCs w:val="18"/>
            <w:color w:val="auto"/>
          </w:rPr>
          <w:t xml:space="preserve">The financial statements incorporated in this prospectus by reference to the </w:t>
        </w:r>
        <w:r>
          <w:rPr>
            <w:rFonts w:ascii="Arial" w:cs="Arial" w:eastAsia="Arial" w:hAnsi="Arial"/>
            <w:sz w:val="18"/>
            <w:szCs w:val="18"/>
            <w:u w:val="single" w:color="auto"/>
            <w:color w:val="0000EE"/>
          </w:rPr>
          <w:t>Annual Report on Form 20-</w:t>
        </w:r>
      </w:hyperlink>
      <w:hyperlink r:id="rId187">
        <w:r>
          <w:rPr>
            <w:rFonts w:ascii="Arial" w:cs="Arial" w:eastAsia="Arial" w:hAnsi="Arial"/>
            <w:sz w:val="18"/>
            <w:szCs w:val="18"/>
            <w:u w:val="single" w:color="auto"/>
            <w:color w:val="0000EE"/>
          </w:rPr>
          <w:t>F for the year ended December 31, 2019</w:t>
        </w:r>
        <w:r>
          <w:rPr>
            <w:rFonts w:ascii="Arial" w:cs="Arial" w:eastAsia="Arial" w:hAnsi="Arial"/>
            <w:sz w:val="18"/>
            <w:szCs w:val="18"/>
            <w:color w:val="000000"/>
          </w:rPr>
          <w:t>, 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LLP, an independent registered public accounting firm, given on the authority of said firm as experts in auditing and accounting.</w:t>
      </w:r>
    </w:p>
    <w:p>
      <w:pPr>
        <w:spacing w:after="0" w:line="106"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ENFORCEMENT OF CIVIL LIABILITIES</w:t>
      </w:r>
    </w:p>
    <w:p>
      <w:pPr>
        <w:spacing w:after="0" w:line="14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117" w:lineRule="exact"/>
        <w:rPr>
          <w:sz w:val="20"/>
          <w:szCs w:val="20"/>
          <w:color w:val="auto"/>
        </w:rPr>
      </w:pPr>
    </w:p>
    <w:p>
      <w:pPr>
        <w:ind w:left="1800" w:right="759" w:hanging="178"/>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800" w:right="1299" w:hanging="178"/>
        <w:spacing w:after="0" w:line="308" w:lineRule="auto"/>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entertain original actions brought in England and Wales against us or our directors or officers predicated upon the securities laws of the United States or any state in the United States.</w:t>
      </w:r>
    </w:p>
    <w:p>
      <w:pPr>
        <w:spacing w:after="0" w:line="65"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We have been advised by Latham &amp; Watkins LLP that there is currently no treaty between (i) the United States and (ii) England and Wales providing for reciprocal recognition and enforcement of judgments of U.S.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U.S. securities laws, would not be automatically enforceable in England and Wales. We have also been advised by Latham &amp; Watkins LLP that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w:t>
      </w:r>
    </w:p>
    <w:p>
      <w:pPr>
        <w:spacing w:after="0" w:line="72" w:lineRule="exact"/>
        <w:rPr>
          <w:sz w:val="20"/>
          <w:szCs w:val="20"/>
          <w:color w:val="auto"/>
        </w:rPr>
      </w:pPr>
    </w:p>
    <w:p>
      <w:pPr>
        <w:ind w:left="1800" w:right="83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62"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75"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62" w:lineRule="exact"/>
        <w:rPr>
          <w:rFonts w:ascii="Arial" w:cs="Arial" w:eastAsia="Arial" w:hAnsi="Arial"/>
          <w:sz w:val="18"/>
          <w:szCs w:val="18"/>
          <w:color w:val="auto"/>
        </w:rPr>
      </w:pPr>
    </w:p>
    <w:p>
      <w:pPr>
        <w:ind w:left="1800" w:right="899" w:hanging="178"/>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was not procured by fraud;</w:t>
      </w:r>
    </w:p>
    <w:p>
      <w:pPr>
        <w:spacing w:after="0" w:line="117"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proceedings pursuant to which judgment was obtained were not contrary to natural justice;</w:t>
      </w:r>
    </w:p>
    <w:p>
      <w:pPr>
        <w:spacing w:after="0" w:line="117" w:lineRule="exact"/>
        <w:rPr>
          <w:rFonts w:ascii="Arial" w:cs="Arial" w:eastAsia="Arial" w:hAnsi="Arial"/>
          <w:sz w:val="18"/>
          <w:szCs w:val="18"/>
          <w:color w:val="auto"/>
        </w:rPr>
      </w:pPr>
    </w:p>
    <w:p>
      <w:pPr>
        <w:ind w:left="1800" w:right="779" w:hanging="178"/>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78"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English enforcement proceedings were commenced within the limitation period.</w:t>
      </w:r>
    </w:p>
    <w:p>
      <w:pPr>
        <w:spacing w:after="0" w:line="144"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U.S. securities laws, including whether the award of monetary damages under such laws would constitute a penalty, is an issue for the court making such decision.</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Subject to the foregoing, investors in our securities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06"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09"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 xml:space="preserve">The SEC also maintains a web site that contains reports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6"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This prospectus is part of a registration statement that we filed with the SEC and does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Incorporation by Reference</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25"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This prospectus incorporates by reference the documents set forth below that have previously been filed with the SEC:</w:t>
      </w:r>
    </w:p>
    <w:p>
      <w:pPr>
        <w:spacing w:after="0" w:line="62" w:lineRule="exact"/>
        <w:rPr>
          <w:sz w:val="20"/>
          <w:szCs w:val="20"/>
          <w:color w:val="auto"/>
        </w:rPr>
      </w:pPr>
    </w:p>
    <w:p>
      <w:pPr>
        <w:ind w:left="1800" w:right="999" w:hanging="178"/>
        <w:spacing w:after="0" w:line="263" w:lineRule="auto"/>
        <w:tabs>
          <w:tab w:leader="none" w:pos="1800" w:val="left"/>
        </w:tabs>
        <w:numPr>
          <w:ilvl w:val="0"/>
          <w:numId w:val="52"/>
        </w:numPr>
        <w:rPr>
          <w:rFonts w:ascii="Arial" w:cs="Arial" w:eastAsia="Arial" w:hAnsi="Arial"/>
          <w:sz w:val="18"/>
          <w:szCs w:val="18"/>
          <w:color w:val="0000EE"/>
        </w:rPr>
      </w:pPr>
      <w:hyperlink r:id="rId187">
        <w:r>
          <w:rPr>
            <w:rFonts w:ascii="Arial" w:cs="Arial" w:eastAsia="Arial" w:hAnsi="Arial"/>
            <w:sz w:val="18"/>
            <w:szCs w:val="18"/>
            <w:color w:val="auto"/>
          </w:rPr>
          <w:t xml:space="preserve">Our </w:t>
        </w:r>
        <w:r>
          <w:rPr>
            <w:rFonts w:ascii="Arial" w:cs="Arial" w:eastAsia="Arial" w:hAnsi="Arial"/>
            <w:sz w:val="18"/>
            <w:szCs w:val="18"/>
            <w:u w:val="single" w:color="auto"/>
            <w:color w:val="0000EE"/>
          </w:rPr>
          <w:t>Annual Report on Form 20-F for the year ended December 31, 2019, filed with the SEC on</w:t>
        </w:r>
      </w:hyperlink>
      <w:r>
        <w:rPr>
          <w:rFonts w:ascii="Arial" w:cs="Arial" w:eastAsia="Arial" w:hAnsi="Arial"/>
          <w:sz w:val="18"/>
          <w:szCs w:val="18"/>
          <w:color w:val="auto"/>
        </w:rPr>
        <w:t xml:space="preserve"> </w:t>
      </w:r>
      <w:hyperlink r:id="rId191">
        <w:r>
          <w:rPr>
            <w:rFonts w:ascii="Arial" w:cs="Arial" w:eastAsia="Arial" w:hAnsi="Arial"/>
            <w:sz w:val="18"/>
            <w:szCs w:val="18"/>
            <w:u w:val="single" w:color="auto"/>
            <w:color w:val="0000EE"/>
          </w:rPr>
          <w:t>February 27, 2020</w:t>
        </w:r>
        <w:r>
          <w:rPr>
            <w:rFonts w:ascii="Arial" w:cs="Arial" w:eastAsia="Arial" w:hAnsi="Arial"/>
            <w:sz w:val="18"/>
            <w:szCs w:val="18"/>
            <w:color w:val="0000EE"/>
          </w:rPr>
          <w:t xml:space="preserve"> </w:t>
        </w:r>
        <w:r>
          <w:rPr>
            <w:rFonts w:ascii="Arial" w:cs="Arial" w:eastAsia="Arial" w:hAnsi="Arial"/>
            <w:sz w:val="18"/>
            <w:szCs w:val="18"/>
            <w:color w:val="000000"/>
          </w:rPr>
          <w:t>and the amendment to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Annual Report on Form 20-F filed with the SEC on</w:t>
        </w:r>
      </w:hyperlink>
      <w:r>
        <w:rPr>
          <w:rFonts w:ascii="Arial" w:cs="Arial" w:eastAsia="Arial" w:hAnsi="Arial"/>
          <w:sz w:val="18"/>
          <w:szCs w:val="18"/>
          <w:color w:val="0000EE"/>
        </w:rPr>
        <w:t xml:space="preserve"> </w:t>
      </w:r>
      <w:hyperlink r:id="rId191">
        <w:r>
          <w:rPr>
            <w:rFonts w:ascii="Arial" w:cs="Arial" w:eastAsia="Arial" w:hAnsi="Arial"/>
            <w:sz w:val="18"/>
            <w:szCs w:val="18"/>
            <w:u w:val="single" w:color="auto"/>
            <w:color w:val="0000EE"/>
          </w:rPr>
          <w:t>July 16, 2020</w:t>
        </w:r>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800" w:right="699" w:hanging="178"/>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Exhibits 1, 101.INS, 101.SCH, 101.CAL, 101.LAB, 101.PRE, and 101.DEF to the amendment to our Report on </w:t>
      </w:r>
      <w:hyperlink r:id="rId192">
        <w:r>
          <w:rPr>
            <w:rFonts w:ascii="Arial" w:cs="Arial" w:eastAsia="Arial" w:hAnsi="Arial"/>
            <w:sz w:val="18"/>
            <w:szCs w:val="18"/>
            <w:u w:val="single" w:color="auto"/>
            <w:color w:val="0000EE"/>
          </w:rPr>
          <w:t>Form 6-K furnished to the SEC on August 25, 2020</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52"/>
        </w:numPr>
        <w:rPr>
          <w:rFonts w:ascii="Arial" w:cs="Arial" w:eastAsia="Arial" w:hAnsi="Arial"/>
          <w:sz w:val="18"/>
          <w:szCs w:val="18"/>
          <w:color w:val="0000EE"/>
        </w:rPr>
      </w:pPr>
      <w:r>
        <w:rPr>
          <w:rFonts w:ascii="Arial" w:cs="Arial" w:eastAsia="Arial" w:hAnsi="Arial"/>
          <w:sz w:val="18"/>
          <w:szCs w:val="18"/>
          <w:color w:val="auto"/>
        </w:rPr>
        <w:t xml:space="preserve">The information contained under the heading “Financial Review” in Exhibit 99.1 to our Report on </w:t>
      </w:r>
      <w:hyperlink r:id="rId193">
        <w:r>
          <w:rPr>
            <w:rFonts w:ascii="Arial" w:cs="Arial" w:eastAsia="Arial" w:hAnsi="Arial"/>
            <w:sz w:val="18"/>
            <w:szCs w:val="18"/>
            <w:u w:val="single" w:color="auto"/>
            <w:color w:val="0000EE"/>
          </w:rPr>
          <w:t>Form 6-K furnished to the SEC on August 14,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800" w:hanging="178"/>
        <w:spacing w:after="0"/>
        <w:tabs>
          <w:tab w:leader="none" w:pos="1800" w:val="left"/>
        </w:tabs>
        <w:numPr>
          <w:ilvl w:val="0"/>
          <w:numId w:val="52"/>
        </w:numPr>
        <w:rPr>
          <w:rFonts w:ascii="Arial" w:cs="Arial" w:eastAsia="Arial" w:hAnsi="Arial"/>
          <w:sz w:val="18"/>
          <w:szCs w:val="18"/>
          <w:color w:val="0000EE"/>
        </w:rPr>
      </w:pPr>
      <w:hyperlink r:id="rId194">
        <w:r>
          <w:rPr>
            <w:rFonts w:ascii="Arial" w:cs="Arial" w:eastAsia="Arial" w:hAnsi="Arial"/>
            <w:sz w:val="18"/>
            <w:szCs w:val="18"/>
            <w:u w:val="single" w:color="auto"/>
            <w:color w:val="0000EE"/>
          </w:rPr>
          <w:t>Our Report on Form 6-K furnished to the SEC on July 22, 2020</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800" w:right="799" w:hanging="178"/>
        <w:spacing w:after="0" w:line="277" w:lineRule="auto"/>
        <w:tabs>
          <w:tab w:leader="none" w:pos="1800" w:val="left"/>
        </w:tabs>
        <w:numPr>
          <w:ilvl w:val="0"/>
          <w:numId w:val="52"/>
        </w:numPr>
        <w:rPr>
          <w:rFonts w:ascii="Arial" w:cs="Arial" w:eastAsia="Arial" w:hAnsi="Arial"/>
          <w:sz w:val="18"/>
          <w:szCs w:val="18"/>
          <w:color w:val="0000EE"/>
        </w:rPr>
      </w:pPr>
      <w:hyperlink r:id="rId195">
        <w:r>
          <w:rPr>
            <w:rFonts w:ascii="Arial" w:cs="Arial" w:eastAsia="Arial" w:hAnsi="Arial"/>
            <w:sz w:val="18"/>
            <w:szCs w:val="18"/>
            <w:color w:val="auto"/>
          </w:rPr>
          <w:t xml:space="preserve">The FDA Response Press Release filed in the Report on </w:t>
        </w:r>
        <w:r>
          <w:rPr>
            <w:rFonts w:ascii="Arial" w:cs="Arial" w:eastAsia="Arial" w:hAnsi="Arial"/>
            <w:sz w:val="18"/>
            <w:szCs w:val="18"/>
            <w:u w:val="single" w:color="auto"/>
            <w:color w:val="0000EE"/>
          </w:rPr>
          <w:t>Form 6-K furnished to the SEC on May 14,</w:t>
        </w:r>
      </w:hyperlink>
      <w:r>
        <w:rPr>
          <w:rFonts w:ascii="Arial" w:cs="Arial" w:eastAsia="Arial" w:hAnsi="Arial"/>
          <w:sz w:val="18"/>
          <w:szCs w:val="18"/>
          <w:color w:val="auto"/>
        </w:rPr>
        <w:t xml:space="preserve"> </w:t>
      </w:r>
      <w:hyperlink r:id="rId195">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right="1099" w:hanging="178"/>
        <w:spacing w:after="0" w:line="263" w:lineRule="auto"/>
        <w:tabs>
          <w:tab w:leader="none" w:pos="1800" w:val="left"/>
        </w:tabs>
        <w:numPr>
          <w:ilvl w:val="0"/>
          <w:numId w:val="52"/>
        </w:numPr>
        <w:rPr>
          <w:rFonts w:ascii="Arial" w:cs="Arial" w:eastAsia="Arial" w:hAnsi="Arial"/>
          <w:sz w:val="18"/>
          <w:szCs w:val="18"/>
          <w:color w:val="0000EE"/>
        </w:rPr>
      </w:pPr>
      <w:hyperlink r:id="rId196">
        <w:r>
          <w:rPr>
            <w:rFonts w:ascii="Arial" w:cs="Arial" w:eastAsia="Arial" w:hAnsi="Arial"/>
            <w:sz w:val="18"/>
            <w:szCs w:val="18"/>
            <w:u w:val="single" w:color="auto"/>
            <w:color w:val="0000EE"/>
          </w:rPr>
          <w:t>The information contained under the headings “Impact of COVID-19 on Certain Ongoing and</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Planned Clinical Trials” and “Supplemental Risk Factor Disclosure” contained in our Report on</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Form 6-K furnished to the SEC on April 30, 2020</w:t>
        </w:r>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800" w:hanging="178"/>
        <w:spacing w:after="0"/>
        <w:tabs>
          <w:tab w:leader="none" w:pos="1800" w:val="left"/>
        </w:tabs>
        <w:numPr>
          <w:ilvl w:val="0"/>
          <w:numId w:val="52"/>
        </w:numPr>
        <w:rPr>
          <w:rFonts w:ascii="Arial" w:cs="Arial" w:eastAsia="Arial" w:hAnsi="Arial"/>
          <w:sz w:val="18"/>
          <w:szCs w:val="18"/>
          <w:color w:val="0000EE"/>
        </w:rPr>
      </w:pPr>
      <w:hyperlink r:id="rId197">
        <w:r>
          <w:rPr>
            <w:rFonts w:ascii="Arial" w:cs="Arial" w:eastAsia="Arial" w:hAnsi="Arial"/>
            <w:sz w:val="18"/>
            <w:szCs w:val="18"/>
            <w:u w:val="single" w:color="auto"/>
            <w:color w:val="0000EE"/>
          </w:rPr>
          <w:t>Our Report on Form 6-K furnished to the SEC on April 16, 2020, excluding Exhibit 1.1 thereto</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800" w:hanging="178"/>
        <w:spacing w:after="0"/>
        <w:tabs>
          <w:tab w:leader="none" w:pos="1800" w:val="left"/>
        </w:tabs>
        <w:numPr>
          <w:ilvl w:val="0"/>
          <w:numId w:val="52"/>
        </w:numPr>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Our Report on Form 6-K furnished to the SEC on April 6, 2020, excluding Exhibit 1.1 thereto</w:t>
        </w:r>
      </w:hyperlink>
    </w:p>
    <w:p>
      <w:pPr>
        <w:spacing w:after="0" w:line="117" w:lineRule="exact"/>
        <w:rPr>
          <w:rFonts w:ascii="Arial" w:cs="Arial" w:eastAsia="Arial" w:hAnsi="Arial"/>
          <w:sz w:val="18"/>
          <w:szCs w:val="18"/>
          <w:u w:val="single" w:color="auto"/>
          <w:color w:val="0000EE"/>
        </w:rPr>
      </w:pPr>
    </w:p>
    <w:p>
      <w:pPr>
        <w:ind w:left="1800" w:right="759" w:hanging="178"/>
        <w:spacing w:after="0" w:line="277" w:lineRule="auto"/>
        <w:tabs>
          <w:tab w:leader="none" w:pos="1800" w:val="left"/>
        </w:tabs>
        <w:numPr>
          <w:ilvl w:val="0"/>
          <w:numId w:val="52"/>
        </w:numPr>
        <w:rPr>
          <w:rFonts w:ascii="Arial" w:cs="Arial" w:eastAsia="Arial" w:hAnsi="Arial"/>
          <w:sz w:val="18"/>
          <w:szCs w:val="18"/>
          <w:color w:val="0000EE"/>
        </w:rPr>
      </w:pPr>
      <w:hyperlink r:id="rId199">
        <w:r>
          <w:rPr>
            <w:rFonts w:ascii="Arial" w:cs="Arial" w:eastAsia="Arial" w:hAnsi="Arial"/>
            <w:sz w:val="18"/>
            <w:szCs w:val="18"/>
            <w:u w:val="single" w:color="auto"/>
            <w:color w:val="0000EE"/>
          </w:rPr>
          <w:t>The information in the first paragraph under “Information Contained in this Report on Form 6-K” in</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the Report on Form 6-K furnished to the SEC on February 4, 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hanging="178"/>
        <w:spacing w:after="0"/>
        <w:tabs>
          <w:tab w:leader="none" w:pos="1800" w:val="left"/>
        </w:tabs>
        <w:numPr>
          <w:ilvl w:val="0"/>
          <w:numId w:val="52"/>
        </w:numPr>
        <w:rPr>
          <w:rFonts w:ascii="Arial" w:cs="Arial" w:eastAsia="Arial" w:hAnsi="Arial"/>
          <w:sz w:val="18"/>
          <w:szCs w:val="18"/>
          <w:color w:val="0000EE"/>
        </w:rPr>
      </w:pPr>
      <w:hyperlink r:id="rId200">
        <w:r>
          <w:rPr>
            <w:rFonts w:ascii="Arial" w:cs="Arial" w:eastAsia="Arial" w:hAnsi="Arial"/>
            <w:sz w:val="18"/>
            <w:szCs w:val="18"/>
            <w:u w:val="single" w:color="auto"/>
            <w:color w:val="0000EE"/>
          </w:rPr>
          <w:t>Our Report on Form 6-K furnished on January 17, 2020, excluding Exhibit 1.1 thereto</w:t>
        </w:r>
      </w:hyperlink>
      <w:r>
        <w:rPr>
          <w:rFonts w:ascii="Arial" w:cs="Arial" w:eastAsia="Arial" w:hAnsi="Arial"/>
          <w:sz w:val="18"/>
          <w:szCs w:val="18"/>
          <w:color w:val="000000"/>
        </w:rPr>
        <w:t>.</w:t>
      </w:r>
    </w:p>
    <w:p>
      <w:pPr>
        <w:sectPr>
          <w:pgSz w:w="11900" w:h="16838" w:orient="portrait"/>
          <w:cols w:equalWidth="0" w:num="1">
            <w:col w:w="10139"/>
          </w:cols>
          <w:pgMar w:left="320" w:top="131"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01"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78"/>
        <w:spacing w:after="0" w:line="263" w:lineRule="auto"/>
        <w:tabs>
          <w:tab w:leader="none" w:pos="1800" w:val="left"/>
        </w:tabs>
        <w:numPr>
          <w:ilvl w:val="0"/>
          <w:numId w:val="53"/>
        </w:numPr>
        <w:rPr>
          <w:rFonts w:ascii="Arial" w:cs="Arial" w:eastAsia="Arial" w:hAnsi="Arial"/>
          <w:sz w:val="18"/>
          <w:szCs w:val="18"/>
          <w:color w:val="0000EE"/>
        </w:rPr>
      </w:pPr>
      <w:hyperlink r:id="rId202">
        <w:r>
          <w:rPr>
            <w:rFonts w:ascii="Arial" w:cs="Arial" w:eastAsia="Arial" w:hAnsi="Arial"/>
            <w:sz w:val="18"/>
            <w:szCs w:val="18"/>
            <w:u w:val="single" w:color="auto"/>
            <w:color w:val="0000EE"/>
          </w:rPr>
          <w:t>The description of our ordinary shares contained in our registration statement on Form 8-A filed with</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the SEC on April 19, 2017, including any amendments or reports filed for the purpose of updating</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such description</w:t>
        </w:r>
        <w:r>
          <w:rPr>
            <w:rFonts w:ascii="Arial" w:cs="Arial" w:eastAsia="Arial" w:hAnsi="Arial"/>
            <w:sz w:val="18"/>
            <w:szCs w:val="18"/>
            <w:color w:val="000000"/>
          </w:rPr>
          <w:t>.</w:t>
        </w:r>
      </w:hyperlink>
    </w:p>
    <w:p>
      <w:pPr>
        <w:spacing w:after="0" w:line="103" w:lineRule="exact"/>
        <w:rPr>
          <w:rFonts w:ascii="Arial" w:cs="Arial" w:eastAsia="Arial" w:hAnsi="Arial"/>
          <w:sz w:val="18"/>
          <w:szCs w:val="18"/>
          <w:u w:val="single" w:color="auto"/>
          <w:color w:val="0000EE"/>
        </w:rPr>
      </w:pPr>
    </w:p>
    <w:p>
      <w:pPr>
        <w:ind w:left="1260" w:right="759" w:firstLine="360"/>
        <w:spacing w:after="0" w:line="255"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25" w:lineRule="exact"/>
        <w:rPr>
          <w:rFonts w:ascii="Arial" w:cs="Arial" w:eastAsia="Arial" w:hAnsi="Arial"/>
          <w:sz w:val="18"/>
          <w:szCs w:val="18"/>
          <w:u w:val="single" w:color="auto"/>
          <w:color w:val="0000EE"/>
        </w:rPr>
      </w:pPr>
    </w:p>
    <w:p>
      <w:pPr>
        <w:ind w:left="4620"/>
        <w:spacing w:after="0"/>
        <w:rPr>
          <w:sz w:val="20"/>
          <w:szCs w:val="20"/>
          <w:color w:val="auto"/>
        </w:rPr>
      </w:pPr>
      <w:r>
        <w:rPr>
          <w:rFonts w:ascii="Arial" w:cs="Arial" w:eastAsia="Arial" w:hAnsi="Arial"/>
          <w:sz w:val="18"/>
          <w:szCs w:val="18"/>
          <w:color w:val="auto"/>
        </w:rPr>
        <w:t>Verona Pharma plc</w:t>
      </w:r>
    </w:p>
    <w:p>
      <w:pPr>
        <w:spacing w:after="0" w:line="23" w:lineRule="exact"/>
        <w:rPr>
          <w:rFonts w:ascii="Arial" w:cs="Arial" w:eastAsia="Arial" w:hAnsi="Arial"/>
          <w:sz w:val="18"/>
          <w:szCs w:val="18"/>
          <w:u w:val="single" w:color="auto"/>
          <w:color w:val="0000EE"/>
        </w:rPr>
      </w:pPr>
    </w:p>
    <w:p>
      <w:pPr>
        <w:ind w:left="4360"/>
        <w:spacing w:after="0"/>
        <w:rPr>
          <w:sz w:val="20"/>
          <w:szCs w:val="20"/>
          <w:color w:val="auto"/>
        </w:rPr>
      </w:pPr>
      <w:r>
        <w:rPr>
          <w:rFonts w:ascii="Arial" w:cs="Arial" w:eastAsia="Arial" w:hAnsi="Arial"/>
          <w:sz w:val="18"/>
          <w:szCs w:val="18"/>
          <w:color w:val="auto"/>
        </w:rPr>
        <w:t>3 More London Riverside</w:t>
      </w:r>
    </w:p>
    <w:p>
      <w:pPr>
        <w:spacing w:after="0" w:line="9" w:lineRule="exact"/>
        <w:rPr>
          <w:rFonts w:ascii="Arial" w:cs="Arial" w:eastAsia="Arial" w:hAnsi="Arial"/>
          <w:sz w:val="18"/>
          <w:szCs w:val="18"/>
          <w:u w:val="single" w:color="auto"/>
          <w:color w:val="0000EE"/>
        </w:rPr>
      </w:pPr>
    </w:p>
    <w:p>
      <w:pPr>
        <w:ind w:left="4680"/>
        <w:spacing w:after="0"/>
        <w:rPr>
          <w:sz w:val="20"/>
          <w:szCs w:val="20"/>
          <w:color w:val="auto"/>
        </w:rPr>
      </w:pPr>
      <w:r>
        <w:rPr>
          <w:rFonts w:ascii="Arial" w:cs="Arial" w:eastAsia="Arial" w:hAnsi="Arial"/>
          <w:sz w:val="18"/>
          <w:szCs w:val="18"/>
          <w:color w:val="auto"/>
        </w:rPr>
        <w:t>London SE1 2RE</w:t>
      </w:r>
    </w:p>
    <w:p>
      <w:pPr>
        <w:spacing w:after="0" w:line="9" w:lineRule="exact"/>
        <w:rPr>
          <w:rFonts w:ascii="Arial" w:cs="Arial" w:eastAsia="Arial" w:hAnsi="Arial"/>
          <w:sz w:val="18"/>
          <w:szCs w:val="18"/>
          <w:u w:val="single" w:color="auto"/>
          <w:color w:val="0000EE"/>
        </w:rPr>
      </w:pPr>
    </w:p>
    <w:p>
      <w:pPr>
        <w:ind w:left="4700"/>
        <w:spacing w:after="0"/>
        <w:rPr>
          <w:sz w:val="20"/>
          <w:szCs w:val="20"/>
          <w:color w:val="auto"/>
        </w:rPr>
      </w:pPr>
      <w:r>
        <w:rPr>
          <w:rFonts w:ascii="Arial" w:cs="Arial" w:eastAsia="Arial" w:hAnsi="Arial"/>
          <w:sz w:val="18"/>
          <w:szCs w:val="18"/>
          <w:color w:val="auto"/>
        </w:rPr>
        <w:t>United Kingdom</w:t>
      </w:r>
    </w:p>
    <w:p>
      <w:pPr>
        <w:spacing w:after="0" w:line="9" w:lineRule="exact"/>
        <w:rPr>
          <w:rFonts w:ascii="Arial" w:cs="Arial" w:eastAsia="Arial" w:hAnsi="Arial"/>
          <w:sz w:val="18"/>
          <w:szCs w:val="18"/>
          <w:u w:val="single" w:color="auto"/>
          <w:color w:val="0000EE"/>
        </w:rPr>
      </w:pPr>
    </w:p>
    <w:p>
      <w:pPr>
        <w:ind w:left="4680"/>
        <w:spacing w:after="0"/>
        <w:rPr>
          <w:sz w:val="20"/>
          <w:szCs w:val="20"/>
          <w:color w:val="auto"/>
        </w:rPr>
      </w:pPr>
      <w:r>
        <w:rPr>
          <w:rFonts w:ascii="Arial" w:cs="Arial" w:eastAsia="Arial" w:hAnsi="Arial"/>
          <w:sz w:val="18"/>
          <w:szCs w:val="18"/>
          <w:color w:val="auto"/>
        </w:rPr>
        <w:t>+44 203 283 4200</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97"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355,831,184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80"/>
        <w:spacing w:after="0"/>
        <w:rPr>
          <w:sz w:val="20"/>
          <w:szCs w:val="20"/>
          <w:color w:val="auto"/>
        </w:rPr>
      </w:pPr>
      <w:r>
        <w:rPr>
          <w:rFonts w:ascii="Arial" w:cs="Arial" w:eastAsia="Arial" w:hAnsi="Arial"/>
          <w:sz w:val="32"/>
          <w:szCs w:val="32"/>
          <w:b w:val="1"/>
          <w:bCs w:val="1"/>
          <w:color w:val="auto"/>
        </w:rPr>
        <w:t>VERONA PHARMA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40"/>
        <w:spacing w:after="0"/>
        <w:rPr>
          <w:sz w:val="20"/>
          <w:szCs w:val="20"/>
          <w:color w:val="auto"/>
        </w:rPr>
      </w:pPr>
      <w:r>
        <w:rPr>
          <w:rFonts w:ascii="Arial" w:cs="Arial" w:eastAsia="Arial" w:hAnsi="Arial"/>
          <w:sz w:val="25"/>
          <w:szCs w:val="25"/>
          <w:b w:val="1"/>
          <w:bCs w:val="1"/>
          <w:color w:val="auto"/>
        </w:rPr>
        <w:t>Ordinary Shares</w:t>
      </w:r>
    </w:p>
    <w:p>
      <w:pPr>
        <w:spacing w:after="0" w:line="24" w:lineRule="exact"/>
        <w:rPr>
          <w:sz w:val="20"/>
          <w:szCs w:val="20"/>
          <w:color w:val="auto"/>
        </w:rPr>
      </w:pPr>
    </w:p>
    <w:p>
      <w:pPr>
        <w:jc w:val="center"/>
        <w:ind w:right="-600"/>
        <w:spacing w:after="0"/>
        <w:rPr>
          <w:sz w:val="20"/>
          <w:szCs w:val="20"/>
          <w:color w:val="auto"/>
        </w:rPr>
      </w:pPr>
      <w:r>
        <w:rPr>
          <w:rFonts w:ascii="Arial" w:cs="Arial" w:eastAsia="Arial" w:hAnsi="Arial"/>
          <w:sz w:val="21"/>
          <w:szCs w:val="21"/>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589280</wp:posOffset>
            </wp:positionV>
            <wp:extent cx="1688465" cy="651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1688465" cy="65151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1995170</wp:posOffset>
            </wp:positionV>
            <wp:extent cx="12344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PRELIMINARY PROSPECTUS</w:t>
      </w:r>
    </w:p>
    <w:p>
      <w:pPr>
        <w:spacing w:after="0" w:line="98" w:lineRule="exact"/>
        <w:rPr>
          <w:sz w:val="20"/>
          <w:szCs w:val="20"/>
          <w:color w:val="auto"/>
        </w:rPr>
      </w:pPr>
    </w:p>
    <w:p>
      <w:pPr>
        <w:ind w:left="5900"/>
        <w:spacing w:after="0"/>
        <w:rPr>
          <w:sz w:val="20"/>
          <w:szCs w:val="20"/>
          <w:color w:val="auto"/>
        </w:rPr>
      </w:pPr>
      <w:r>
        <w:rPr>
          <w:rFonts w:ascii="Arial" w:cs="Arial" w:eastAsia="Arial" w:hAnsi="Arial"/>
          <w:sz w:val="22"/>
          <w:szCs w:val="22"/>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165100</wp:posOffset>
            </wp:positionV>
            <wp:extent cx="1234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1999615</wp:posOffset>
            </wp:positionV>
            <wp:extent cx="52120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2042795</wp:posOffset>
            </wp:positionV>
            <wp:extent cx="521208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2317115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4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Members of the registrant’s board of directors and its officers have the benefit of the following indemnification provisions in the registrant’s articles of association: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Current and former members of the registrant’s board of directors or officers shall be reimbursed for:</w:t>
      </w:r>
    </w:p>
    <w:p>
      <w:pPr>
        <w:spacing w:after="0" w:line="169" w:lineRule="exact"/>
        <w:rPr>
          <w:sz w:val="20"/>
          <w:szCs w:val="20"/>
          <w:color w:val="auto"/>
        </w:rPr>
      </w:pPr>
    </w:p>
    <w:p>
      <w:pPr>
        <w:ind w:left="1980" w:right="1059" w:hanging="358"/>
        <w:spacing w:after="0" w:line="263"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102" w:lineRule="exact"/>
        <w:rPr>
          <w:rFonts w:ascii="Arial" w:cs="Arial" w:eastAsia="Arial" w:hAnsi="Arial"/>
          <w:sz w:val="18"/>
          <w:szCs w:val="18"/>
          <w:color w:val="auto"/>
        </w:rPr>
      </w:pPr>
    </w:p>
    <w:p>
      <w:pPr>
        <w:ind w:left="1980" w:right="679" w:hanging="358"/>
        <w:spacing w:after="0" w:line="273"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1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the case of current or former members of the registrant’s board of directors, there shall be no entitlement to reimbursement as referred to above for (i) 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129"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06"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The registrant has also entered into indemnification agreements with each member of its board of directors and its executive officers. These indemnification agreements require the registrant, among other things, to indemnify its directors and executive officers with respect to any claims, actions and proceedings, whether civil, criminal or regulatory, or, collectively the Claims, and any losses, damages, penalties, liabilities, compensation or other awards arising in connection with an such Claims, arising out of, or in connection with, his or her service as a director or executive officer, subject to certain limitations. The registrant also maintains liability insurance for its directors and executive officers.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ADS and Share Issuances</w:t>
      </w:r>
    </w:p>
    <w:p>
      <w:pPr>
        <w:spacing w:after="0" w:line="158" w:lineRule="exact"/>
        <w:rPr>
          <w:sz w:val="20"/>
          <w:szCs w:val="20"/>
          <w:color w:val="auto"/>
        </w:rPr>
      </w:pPr>
    </w:p>
    <w:p>
      <w:pPr>
        <w:ind w:left="1260" w:right="1179" w:firstLine="360"/>
        <w:spacing w:after="0" w:line="274" w:lineRule="auto"/>
        <w:rPr>
          <w:sz w:val="20"/>
          <w:szCs w:val="20"/>
          <w:color w:val="auto"/>
        </w:rPr>
      </w:pPr>
      <w:r>
        <w:rPr>
          <w:rFonts w:ascii="Arial" w:cs="Arial" w:eastAsia="Arial" w:hAnsi="Arial"/>
          <w:sz w:val="17"/>
          <w:szCs w:val="17"/>
          <w:color w:val="auto"/>
        </w:rPr>
        <w:t>On July 17, 2020, the registrant issued (i) 38,440,009 of its American Depositary Shares, each representing eight ordinary shares of the registrant at a price per American Depositary Share of $4.50,</w:t>
      </w:r>
    </w:p>
    <w:p>
      <w:pPr>
        <w:jc w:val="both"/>
        <w:ind w:left="1260" w:right="719" w:firstLine="2"/>
        <w:spacing w:after="0" w:line="255" w:lineRule="auto"/>
        <w:tabs>
          <w:tab w:leader="none" w:pos="15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48,088,896 non-voting ordinary shares at a price per share of $0.5625, and (iii) 222,216 ordinary shares at price per share of £0.45. These securities were issued pursuant to Section 4(a)(2) and Regulation D of the Securities Act of 1933, as amended.</w:t>
      </w: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7"/>
              </w:rPr>
              <w:t>Item 8.</w:t>
            </w:r>
          </w:p>
        </w:tc>
        <w:tc>
          <w:tcPr>
            <w:tcW w:w="3040" w:type="dxa"/>
            <w:vAlign w:val="bottom"/>
            <w:gridSpan w:val="20"/>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15"/>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gridSpan w:val="17"/>
          </w:tcPr>
          <w:p>
            <w:pPr>
              <w:ind w:left="28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jc w:val="right"/>
              <w:ind w:right="192"/>
              <w:spacing w:after="0" w:line="196" w:lineRule="exact"/>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3.1</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6"/>
              </w:rPr>
            </w:pPr>
            <w:hyperlink r:id="rId213">
              <w:r>
                <w:rPr>
                  <w:rFonts w:ascii="Arial" w:cs="Arial" w:eastAsia="Arial" w:hAnsi="Arial"/>
                  <w:sz w:val="18"/>
                  <w:szCs w:val="18"/>
                  <w:color w:val="0000EE"/>
                  <w:w w:val="96"/>
                </w:rPr>
                <w:t>Articles of Association, as amended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and as currently in effect</w:t>
              </w:r>
            </w:hyperlink>
          </w:p>
        </w:tc>
        <w:tc>
          <w:tcPr>
            <w:tcW w:w="60" w:type="dxa"/>
            <w:vAlign w:val="bottom"/>
            <w:gridSpan w:val="2"/>
          </w:tcPr>
          <w:p>
            <w:pPr>
              <w:spacing w:after="0"/>
              <w:rPr>
                <w:sz w:val="17"/>
                <w:szCs w:val="17"/>
                <w:color w:val="auto"/>
              </w:rPr>
            </w:pPr>
          </w:p>
        </w:tc>
      </w:tr>
      <w:tr>
        <w:trPr>
          <w:trHeight w:val="263"/>
        </w:trPr>
        <w:tc>
          <w:tcPr>
            <w:tcW w:w="600" w:type="dxa"/>
            <w:vAlign w:val="bottom"/>
          </w:tcPr>
          <w:p>
            <w:pPr>
              <w:jc w:val="right"/>
              <w:ind w:right="192"/>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4.1</w:t>
              </w:r>
            </w:hyperlink>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Deposit Agreement</w:t>
              </w:r>
            </w:hyperlink>
          </w:p>
        </w:tc>
        <w:tc>
          <w:tcPr>
            <w:tcW w:w="900" w:type="dxa"/>
            <w:vAlign w:val="bottom"/>
            <w:gridSpan w:val="12"/>
          </w:tcPr>
          <w:p>
            <w:pPr>
              <w:spacing w:after="0"/>
              <w:rPr>
                <w:sz w:val="22"/>
                <w:szCs w:val="22"/>
                <w:color w:val="auto"/>
              </w:rPr>
            </w:pPr>
          </w:p>
        </w:tc>
      </w:tr>
      <w:tr>
        <w:trPr>
          <w:trHeight w:val="190"/>
        </w:trPr>
        <w:tc>
          <w:tcPr>
            <w:tcW w:w="600" w:type="dxa"/>
            <w:vAlign w:val="bottom"/>
          </w:tcPr>
          <w:p>
            <w:pPr>
              <w:jc w:val="right"/>
              <w:ind w:right="192"/>
              <w:spacing w:after="0" w:line="190" w:lineRule="exact"/>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4.2</w:t>
              </w:r>
            </w:hyperlink>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Borders>
              <w:bottom w:val="single" w:sz="8" w:color="0000EE"/>
            </w:tcBorders>
            <w:gridSpan w:val="8"/>
          </w:tcPr>
          <w:p>
            <w:pPr>
              <w:spacing w:after="0" w:line="190" w:lineRule="exact"/>
              <w:rPr>
                <w:rFonts w:ascii="Arial" w:cs="Arial" w:eastAsia="Arial" w:hAnsi="Arial"/>
                <w:sz w:val="18"/>
                <w:szCs w:val="18"/>
                <w:color w:val="0000EE"/>
                <w:w w:val="96"/>
              </w:rPr>
            </w:pPr>
            <w:hyperlink r:id="rId214">
              <w:r>
                <w:rPr>
                  <w:rFonts w:ascii="Arial" w:cs="Arial" w:eastAsia="Arial" w:hAnsi="Arial"/>
                  <w:sz w:val="18"/>
                  <w:szCs w:val="18"/>
                  <w:color w:val="0000EE"/>
                  <w:w w:val="96"/>
                </w:rPr>
                <w:t>Form of American Depositary</w:t>
              </w:r>
            </w:hyperlink>
          </w:p>
        </w:tc>
        <w:tc>
          <w:tcPr>
            <w:tcW w:w="500" w:type="dxa"/>
            <w:vAlign w:val="bottom"/>
            <w:gridSpan w:val="10"/>
          </w:tcPr>
          <w:p>
            <w:pPr>
              <w:spacing w:after="0"/>
              <w:rPr>
                <w:sz w:val="16"/>
                <w:szCs w:val="16"/>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Receipt (included in Exhibit 2.1)</w:t>
              </w:r>
            </w:hyperlink>
          </w:p>
        </w:tc>
      </w:tr>
      <w:tr>
        <w:trPr>
          <w:trHeight w:val="203"/>
        </w:trPr>
        <w:tc>
          <w:tcPr>
            <w:tcW w:w="600" w:type="dxa"/>
            <w:vAlign w:val="bottom"/>
          </w:tcPr>
          <w:p>
            <w:pPr>
              <w:jc w:val="right"/>
              <w:ind w:right="192"/>
              <w:spacing w:after="0" w:line="202" w:lineRule="exact"/>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4.3</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202" w:lineRule="exact"/>
              <w:rPr>
                <w:rFonts w:ascii="Arial" w:cs="Arial" w:eastAsia="Arial" w:hAnsi="Arial"/>
                <w:sz w:val="18"/>
                <w:szCs w:val="18"/>
                <w:color w:val="0000EE"/>
                <w:w w:val="94"/>
              </w:rPr>
            </w:pPr>
            <w:hyperlink r:id="rId215">
              <w:r>
                <w:rPr>
                  <w:rFonts w:ascii="Arial" w:cs="Arial" w:eastAsia="Arial" w:hAnsi="Arial"/>
                  <w:sz w:val="18"/>
                  <w:szCs w:val="18"/>
                  <w:color w:val="0000EE"/>
                  <w:w w:val="94"/>
                </w:rPr>
                <w:t>Form of Warrant issued to each of</w:t>
              </w:r>
            </w:hyperlink>
          </w:p>
        </w:tc>
        <w:tc>
          <w:tcPr>
            <w:tcW w:w="200" w:type="dxa"/>
            <w:vAlign w:val="bottom"/>
            <w:gridSpan w:val="6"/>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the investors named in Schedule A</w:t>
              </w:r>
            </w:hyperlink>
          </w:p>
        </w:tc>
        <w:tc>
          <w:tcPr>
            <w:tcW w:w="160" w:type="dxa"/>
            <w:vAlign w:val="bottom"/>
            <w:gridSpan w:val="5"/>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thereto</w:t>
              </w:r>
            </w:hyperlink>
          </w:p>
        </w:tc>
        <w:tc>
          <w:tcPr>
            <w:tcW w:w="2240" w:type="dxa"/>
            <w:vAlign w:val="bottom"/>
            <w:gridSpan w:val="17"/>
          </w:tcPr>
          <w:p>
            <w:pPr>
              <w:spacing w:after="0"/>
              <w:rPr>
                <w:sz w:val="17"/>
                <w:szCs w:val="17"/>
                <w:color w:val="auto"/>
              </w:rPr>
            </w:pPr>
          </w:p>
        </w:tc>
      </w:tr>
      <w:tr>
        <w:trPr>
          <w:trHeight w:val="223"/>
        </w:trPr>
        <w:tc>
          <w:tcPr>
            <w:tcW w:w="600" w:type="dxa"/>
            <w:vAlign w:val="bottom"/>
          </w:tcPr>
          <w:p>
            <w:pPr>
              <w:jc w:val="right"/>
              <w:ind w:right="192"/>
              <w:spacing w:after="0"/>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4.4</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Borders>
              <w:bottom w:val="single" w:sz="8" w:color="0000EE"/>
            </w:tcBorders>
            <w:gridSpan w:val="18"/>
          </w:tcPr>
          <w:p>
            <w:pPr>
              <w:spacing w:after="0"/>
              <w:rPr>
                <w:rFonts w:ascii="Arial" w:cs="Arial" w:eastAsia="Arial" w:hAnsi="Arial"/>
                <w:sz w:val="18"/>
                <w:szCs w:val="18"/>
                <w:color w:val="0000EE"/>
                <w:w w:val="93"/>
              </w:rPr>
            </w:pPr>
            <w:hyperlink r:id="rId216">
              <w:r>
                <w:rPr>
                  <w:rFonts w:ascii="Arial" w:cs="Arial" w:eastAsia="Arial" w:hAnsi="Arial"/>
                  <w:sz w:val="18"/>
                  <w:szCs w:val="18"/>
                  <w:color w:val="0000EE"/>
                  <w:w w:val="93"/>
                </w:rPr>
                <w:t>Warrant Instrument issued to NPlus1</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r:id="rId216">
              <w:r>
                <w:rPr>
                  <w:rFonts w:ascii="Arial" w:cs="Arial" w:eastAsia="Arial" w:hAnsi="Arial"/>
                  <w:sz w:val="18"/>
                  <w:szCs w:val="18"/>
                  <w:color w:val="0000EE"/>
                  <w:w w:val="96"/>
                </w:rPr>
                <w:t>Singer LLP</w:t>
              </w:r>
            </w:hyperlink>
          </w:p>
        </w:tc>
        <w:tc>
          <w:tcPr>
            <w:tcW w:w="1900" w:type="dxa"/>
            <w:vAlign w:val="bottom"/>
            <w:gridSpan w:val="16"/>
          </w:tcPr>
          <w:p>
            <w:pPr>
              <w:spacing w:after="0"/>
              <w:rPr>
                <w:sz w:val="17"/>
                <w:szCs w:val="17"/>
                <w:color w:val="auto"/>
              </w:rPr>
            </w:pPr>
          </w:p>
        </w:tc>
      </w:tr>
      <w:tr>
        <w:trPr>
          <w:trHeight w:val="263"/>
        </w:trPr>
        <w:tc>
          <w:tcPr>
            <w:tcW w:w="600" w:type="dxa"/>
            <w:vAlign w:val="bottom"/>
          </w:tcPr>
          <w:p>
            <w:pPr>
              <w:jc w:val="right"/>
              <w:ind w:right="192"/>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4.5</w:t>
              </w:r>
            </w:hyperlink>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Description of Securities</w:t>
              </w:r>
            </w:hyperlink>
          </w:p>
        </w:tc>
      </w:tr>
      <w:tr>
        <w:trPr>
          <w:trHeight w:val="190"/>
        </w:trPr>
        <w:tc>
          <w:tcPr>
            <w:tcW w:w="600" w:type="dxa"/>
            <w:vAlign w:val="bottom"/>
          </w:tcPr>
          <w:p>
            <w:pPr>
              <w:jc w:val="right"/>
              <w:ind w:right="192"/>
              <w:spacing w:after="0" w:line="190" w:lineRule="exact"/>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5.1</w:t>
              </w:r>
            </w:hyperlink>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18"/>
          </w:tcPr>
          <w:p>
            <w:pPr>
              <w:spacing w:after="0" w:line="190" w:lineRule="exact"/>
              <w:rPr>
                <w:rFonts w:ascii="Arial" w:cs="Arial" w:eastAsia="Arial" w:hAnsi="Arial"/>
                <w:sz w:val="18"/>
                <w:szCs w:val="18"/>
                <w:color w:val="0000EE"/>
              </w:rPr>
            </w:pPr>
            <w:hyperlink w:anchor="page104">
              <w:r>
                <w:rPr>
                  <w:rFonts w:ascii="Arial" w:cs="Arial" w:eastAsia="Arial" w:hAnsi="Arial"/>
                  <w:sz w:val="18"/>
                  <w:szCs w:val="18"/>
                  <w:color w:val="0000EE"/>
                </w:rPr>
                <w:t>Opinion of Latham &amp; Watkins LLP,</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counsel to Registrant</w:t>
              </w:r>
            </w:hyperlink>
          </w:p>
        </w:tc>
        <w:tc>
          <w:tcPr>
            <w:tcW w:w="110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23"/>
        </w:trPr>
        <w:tc>
          <w:tcPr>
            <w:tcW w:w="600" w:type="dxa"/>
            <w:vAlign w:val="bottom"/>
          </w:tcPr>
          <w:p>
            <w:pPr>
              <w:jc w:val="right"/>
              <w:ind w:right="192"/>
              <w:spacing w:after="0"/>
              <w:rPr>
                <w:rFonts w:ascii="Arial" w:cs="Arial" w:eastAsia="Arial" w:hAnsi="Arial"/>
                <w:sz w:val="18"/>
                <w:szCs w:val="18"/>
                <w:u w:val="single" w:color="auto"/>
                <w:color w:val="0000EE"/>
                <w:w w:val="85"/>
              </w:rPr>
            </w:pPr>
            <w:hyperlink r:id="rId218">
              <w:r>
                <w:rPr>
                  <w:rFonts w:ascii="Arial" w:cs="Arial" w:eastAsia="Arial" w:hAnsi="Arial"/>
                  <w:sz w:val="18"/>
                  <w:szCs w:val="18"/>
                  <w:u w:val="single" w:color="auto"/>
                  <w:color w:val="0000EE"/>
                  <w:w w:val="85"/>
                </w:rPr>
                <w:t>10.1</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Borders>
              <w:bottom w:val="single" w:sz="8" w:color="0000EE"/>
            </w:tcBorders>
            <w:gridSpan w:val="9"/>
          </w:tcPr>
          <w:p>
            <w:pPr>
              <w:spacing w:after="0"/>
              <w:rPr>
                <w:rFonts w:ascii="Arial" w:cs="Arial" w:eastAsia="Arial" w:hAnsi="Arial"/>
                <w:sz w:val="18"/>
                <w:szCs w:val="18"/>
                <w:color w:val="0000EE"/>
                <w:w w:val="95"/>
              </w:rPr>
            </w:pPr>
            <w:hyperlink r:id="rId218">
              <w:r>
                <w:rPr>
                  <w:rFonts w:ascii="Arial" w:cs="Arial" w:eastAsia="Arial" w:hAnsi="Arial"/>
                  <w:sz w:val="18"/>
                  <w:szCs w:val="18"/>
                  <w:color w:val="0000EE"/>
                  <w:w w:val="95"/>
                </w:rPr>
                <w:t>Registration Rights Agreement,</w:t>
              </w:r>
            </w:hyperlink>
          </w:p>
        </w:tc>
        <w:tc>
          <w:tcPr>
            <w:tcW w:w="380" w:type="dxa"/>
            <w:vAlign w:val="bottom"/>
            <w:gridSpan w:val="9"/>
          </w:tcPr>
          <w:p>
            <w:pPr>
              <w:spacing w:after="0"/>
              <w:rPr>
                <w:sz w:val="19"/>
                <w:szCs w:val="19"/>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18">
              <w:r>
                <w:rPr>
                  <w:rFonts w:ascii="Arial" w:cs="Arial" w:eastAsia="Arial" w:hAnsi="Arial"/>
                  <w:sz w:val="18"/>
                  <w:szCs w:val="18"/>
                  <w:color w:val="0000EE"/>
                  <w:w w:val="93"/>
                </w:rPr>
                <w:t>dated July 29, 2016, by and among</w:t>
              </w:r>
            </w:hyperlink>
          </w:p>
        </w:tc>
        <w:tc>
          <w:tcPr>
            <w:tcW w:w="1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3"/>
              </w:rPr>
            </w:pPr>
            <w:hyperlink r:id="rId218">
              <w:r>
                <w:rPr>
                  <w:rFonts w:ascii="Arial" w:cs="Arial" w:eastAsia="Arial" w:hAnsi="Arial"/>
                  <w:sz w:val="18"/>
                  <w:szCs w:val="18"/>
                  <w:color w:val="0000EE"/>
                  <w:w w:val="93"/>
                </w:rPr>
                <w:t>Verona Pharma plc and the investors</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set forth therein</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600" w:type="dxa"/>
            <w:vAlign w:val="bottom"/>
          </w:tcPr>
          <w:p>
            <w:pPr>
              <w:jc w:val="right"/>
              <w:ind w:right="192"/>
              <w:spacing w:after="0"/>
              <w:rPr>
                <w:rFonts w:ascii="Arial" w:cs="Arial" w:eastAsia="Arial" w:hAnsi="Arial"/>
                <w:sz w:val="18"/>
                <w:szCs w:val="18"/>
                <w:u w:val="single" w:color="auto"/>
                <w:color w:val="0000EE"/>
                <w:w w:val="85"/>
              </w:rPr>
            </w:pPr>
            <w:hyperlink r:id="rId219">
              <w:r>
                <w:rPr>
                  <w:rFonts w:ascii="Arial" w:cs="Arial" w:eastAsia="Arial" w:hAnsi="Arial"/>
                  <w:sz w:val="18"/>
                  <w:szCs w:val="18"/>
                  <w:u w:val="single" w:color="auto"/>
                  <w:color w:val="0000EE"/>
                  <w:w w:val="85"/>
                </w:rPr>
                <w:t>10.2</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Borders>
              <w:bottom w:val="single" w:sz="8" w:color="0000EE"/>
            </w:tcBorders>
            <w:gridSpan w:val="9"/>
          </w:tcPr>
          <w:p>
            <w:pPr>
              <w:spacing w:after="0"/>
              <w:rPr>
                <w:rFonts w:ascii="Arial" w:cs="Arial" w:eastAsia="Arial" w:hAnsi="Arial"/>
                <w:sz w:val="18"/>
                <w:szCs w:val="18"/>
                <w:color w:val="0000EE"/>
                <w:w w:val="95"/>
              </w:rPr>
            </w:pPr>
            <w:hyperlink r:id="rId219">
              <w:r>
                <w:rPr>
                  <w:rFonts w:ascii="Arial" w:cs="Arial" w:eastAsia="Arial" w:hAnsi="Arial"/>
                  <w:sz w:val="18"/>
                  <w:szCs w:val="18"/>
                  <w:color w:val="0000EE"/>
                  <w:w w:val="95"/>
                </w:rPr>
                <w:t>Registration Rights Agreement,</w:t>
              </w:r>
            </w:hyperlink>
          </w:p>
        </w:tc>
        <w:tc>
          <w:tcPr>
            <w:tcW w:w="380" w:type="dxa"/>
            <w:vAlign w:val="bottom"/>
            <w:gridSpan w:val="9"/>
          </w:tcPr>
          <w:p>
            <w:pPr>
              <w:spacing w:after="0"/>
              <w:rPr>
                <w:sz w:val="19"/>
                <w:szCs w:val="19"/>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19">
              <w:r>
                <w:rPr>
                  <w:rFonts w:ascii="Arial" w:cs="Arial" w:eastAsia="Arial" w:hAnsi="Arial"/>
                  <w:sz w:val="18"/>
                  <w:szCs w:val="18"/>
                  <w:color w:val="0000EE"/>
                  <w:w w:val="93"/>
                </w:rPr>
                <w:t>dated July 16, 2020, by and among</w:t>
              </w:r>
            </w:hyperlink>
          </w:p>
        </w:tc>
        <w:tc>
          <w:tcPr>
            <w:tcW w:w="1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3"/>
              </w:rPr>
            </w:pPr>
            <w:hyperlink r:id="rId219">
              <w:r>
                <w:rPr>
                  <w:rFonts w:ascii="Arial" w:cs="Arial" w:eastAsia="Arial" w:hAnsi="Arial"/>
                  <w:sz w:val="18"/>
                  <w:szCs w:val="18"/>
                  <w:color w:val="0000EE"/>
                  <w:w w:val="93"/>
                </w:rPr>
                <w:t>Verona Pharma plc and the investors</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set forth therein</w:t>
              </w:r>
            </w:hyperlink>
          </w:p>
        </w:tc>
        <w:tc>
          <w:tcPr>
            <w:tcW w:w="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600" w:type="dxa"/>
            <w:vAlign w:val="bottom"/>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10.3†</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Borders>
              <w:bottom w:val="single" w:sz="8" w:color="0000EE"/>
            </w:tcBorders>
            <w:gridSpan w:val="11"/>
          </w:tcPr>
          <w:p>
            <w:pPr>
              <w:spacing w:after="0"/>
              <w:rPr>
                <w:rFonts w:ascii="Arial" w:cs="Arial" w:eastAsia="Arial" w:hAnsi="Arial"/>
                <w:sz w:val="18"/>
                <w:szCs w:val="18"/>
                <w:color w:val="0000EE"/>
                <w:w w:val="96"/>
              </w:rPr>
            </w:pPr>
            <w:hyperlink r:id="rId220">
              <w:r>
                <w:rPr>
                  <w:rFonts w:ascii="Arial" w:cs="Arial" w:eastAsia="Arial" w:hAnsi="Arial"/>
                  <w:sz w:val="18"/>
                  <w:szCs w:val="18"/>
                  <w:color w:val="0000EE"/>
                  <w:w w:val="96"/>
                </w:rPr>
                <w:t>Intellectual Property Assignment</w:t>
              </w:r>
            </w:hyperlink>
          </w:p>
        </w:tc>
        <w:tc>
          <w:tcPr>
            <w:tcW w:w="280" w:type="dxa"/>
            <w:vAlign w:val="bottom"/>
            <w:gridSpan w:val="7"/>
          </w:tcPr>
          <w:p>
            <w:pPr>
              <w:spacing w:after="0"/>
              <w:rPr>
                <w:sz w:val="19"/>
                <w:szCs w:val="19"/>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20">
              <w:r>
                <w:rPr>
                  <w:rFonts w:ascii="Arial" w:cs="Arial" w:eastAsia="Arial" w:hAnsi="Arial"/>
                  <w:sz w:val="18"/>
                  <w:szCs w:val="18"/>
                  <w:color w:val="0000EE"/>
                  <w:w w:val="93"/>
                </w:rPr>
                <w:t>and Licence Agreement between</w:t>
              </w:r>
            </w:hyperlink>
          </w:p>
        </w:tc>
        <w:tc>
          <w:tcPr>
            <w:tcW w:w="300" w:type="dxa"/>
            <w:vAlign w:val="bottom"/>
            <w:gridSpan w:val="8"/>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Vernalis Development Limited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220">
              <w:r>
                <w:rPr>
                  <w:rFonts w:ascii="Arial" w:cs="Arial" w:eastAsia="Arial" w:hAnsi="Arial"/>
                  <w:sz w:val="18"/>
                  <w:szCs w:val="18"/>
                  <w:color w:val="0000EE"/>
                  <w:w w:val="94"/>
                </w:rPr>
                <w:t>Rhinopharma Limited, as</w:t>
              </w:r>
            </w:hyperlink>
          </w:p>
        </w:tc>
        <w:tc>
          <w:tcPr>
            <w:tcW w:w="720" w:type="dxa"/>
            <w:vAlign w:val="bottom"/>
            <w:tcBorders>
              <w:top w:val="single" w:sz="8" w:color="0000EE"/>
            </w:tcBorders>
            <w:gridSpan w:val="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222"/>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18"/>
          </w:tcPr>
          <w:p>
            <w:pPr>
              <w:spacing w:after="0"/>
              <w:rPr>
                <w:rFonts w:ascii="Arial" w:cs="Arial" w:eastAsia="Arial" w:hAnsi="Arial"/>
                <w:sz w:val="18"/>
                <w:szCs w:val="18"/>
                <w:u w:val="single" w:color="auto"/>
                <w:color w:val="0000EE"/>
                <w:w w:val="97"/>
              </w:rPr>
            </w:pPr>
            <w:hyperlink r:id="rId220">
              <w:r>
                <w:rPr>
                  <w:rFonts w:ascii="Arial" w:cs="Arial" w:eastAsia="Arial" w:hAnsi="Arial"/>
                  <w:sz w:val="18"/>
                  <w:szCs w:val="18"/>
                  <w:u w:val="single" w:color="auto"/>
                  <w:color w:val="0000EE"/>
                  <w:w w:val="97"/>
                </w:rPr>
                <w:t>predecessor to Verona Pharma plc,</w:t>
              </w:r>
            </w:hyperlink>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dated February 7, 2005</w:t>
              </w:r>
            </w:hyperlink>
          </w:p>
        </w:tc>
      </w:tr>
      <w:tr>
        <w:trPr>
          <w:trHeight w:val="202"/>
        </w:trPr>
        <w:tc>
          <w:tcPr>
            <w:tcW w:w="600" w:type="dxa"/>
            <w:vAlign w:val="bottom"/>
          </w:tcPr>
          <w:p>
            <w:pPr>
              <w:jc w:val="right"/>
              <w:ind w:right="192"/>
              <w:spacing w:after="0" w:line="202" w:lineRule="exact"/>
              <w:rPr>
                <w:rFonts w:ascii="Arial" w:cs="Arial" w:eastAsia="Arial" w:hAnsi="Arial"/>
                <w:sz w:val="18"/>
                <w:szCs w:val="18"/>
                <w:u w:val="single" w:color="auto"/>
                <w:color w:val="0000EE"/>
                <w:w w:val="85"/>
              </w:rPr>
            </w:pPr>
            <w:hyperlink r:id="rId221">
              <w:r>
                <w:rPr>
                  <w:rFonts w:ascii="Arial" w:cs="Arial" w:eastAsia="Arial" w:hAnsi="Arial"/>
                  <w:sz w:val="18"/>
                  <w:szCs w:val="18"/>
                  <w:u w:val="single" w:color="auto"/>
                  <w:color w:val="0000EE"/>
                  <w:w w:val="85"/>
                </w:rPr>
                <w:t>10.4</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21">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1">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1">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dated October 19, 2017</w:t>
              </w:r>
            </w:hyperlink>
          </w:p>
        </w:tc>
      </w:tr>
      <w:tr>
        <w:trPr>
          <w:trHeight w:val="202"/>
        </w:trPr>
        <w:tc>
          <w:tcPr>
            <w:tcW w:w="600" w:type="dxa"/>
            <w:vAlign w:val="bottom"/>
          </w:tcPr>
          <w:p>
            <w:pPr>
              <w:spacing w:after="0" w:line="202" w:lineRule="exact"/>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10.4.1</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22">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2">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2">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dated November 8, 2017</w:t>
              </w:r>
            </w:hyperlink>
          </w:p>
        </w:tc>
      </w:tr>
      <w:tr>
        <w:trPr>
          <w:trHeight w:val="203"/>
        </w:trPr>
        <w:tc>
          <w:tcPr>
            <w:tcW w:w="600" w:type="dxa"/>
            <w:vAlign w:val="bottom"/>
          </w:tcPr>
          <w:p>
            <w:pPr>
              <w:spacing w:after="0" w:line="202" w:lineRule="exact"/>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10.4.2</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23">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3">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3">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r:id="rId223">
              <w:r>
                <w:rPr>
                  <w:rFonts w:ascii="Arial" w:cs="Arial" w:eastAsia="Arial" w:hAnsi="Arial"/>
                  <w:sz w:val="18"/>
                  <w:szCs w:val="18"/>
                  <w:color w:val="0000EE"/>
                  <w:w w:val="96"/>
                </w:rPr>
                <w:t>dated April 3, 2018</w:t>
              </w:r>
            </w:hyperlink>
          </w:p>
        </w:tc>
        <w:tc>
          <w:tcPr>
            <w:tcW w:w="1300" w:type="dxa"/>
            <w:vAlign w:val="bottom"/>
            <w:gridSpan w:val="14"/>
          </w:tcPr>
          <w:p>
            <w:pPr>
              <w:spacing w:after="0"/>
              <w:rPr>
                <w:sz w:val="17"/>
                <w:szCs w:val="17"/>
                <w:color w:val="auto"/>
              </w:rPr>
            </w:pPr>
          </w:p>
        </w:tc>
      </w:tr>
      <w:tr>
        <w:trPr>
          <w:trHeight w:val="223"/>
        </w:trPr>
        <w:tc>
          <w:tcPr>
            <w:tcW w:w="600" w:type="dxa"/>
            <w:vAlign w:val="bottom"/>
          </w:tcPr>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10.4.3</w:t>
              </w:r>
            </w:hyperlink>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Borders>
              <w:bottom w:val="single" w:sz="8" w:color="0000EE"/>
            </w:tcBorders>
            <w:gridSpan w:val="18"/>
          </w:tcPr>
          <w:p>
            <w:pPr>
              <w:spacing w:after="0"/>
              <w:rPr>
                <w:rFonts w:ascii="Arial" w:cs="Arial" w:eastAsia="Arial" w:hAnsi="Arial"/>
                <w:sz w:val="18"/>
                <w:szCs w:val="18"/>
                <w:color w:val="0000EE"/>
                <w:w w:val="93"/>
              </w:rPr>
            </w:pPr>
            <w:hyperlink r:id="rId224">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4">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4">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dated September 16, 2017#1</w:t>
              </w:r>
            </w:hyperlink>
          </w:p>
        </w:tc>
      </w:tr>
      <w:tr>
        <w:trPr>
          <w:trHeight w:val="202"/>
        </w:trPr>
        <w:tc>
          <w:tcPr>
            <w:tcW w:w="600" w:type="dxa"/>
            <w:vAlign w:val="bottom"/>
          </w:tcPr>
          <w:p>
            <w:pPr>
              <w:spacing w:after="0" w:line="202" w:lineRule="exact"/>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10.4.4</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2" w:lineRule="exact"/>
              <w:rPr>
                <w:rFonts w:ascii="Arial" w:cs="Arial" w:eastAsia="Arial" w:hAnsi="Arial"/>
                <w:sz w:val="18"/>
                <w:szCs w:val="18"/>
                <w:color w:val="0000EE"/>
                <w:w w:val="93"/>
              </w:rPr>
            </w:pPr>
            <w:hyperlink r:id="rId225">
              <w:r>
                <w:rPr>
                  <w:rFonts w:ascii="Arial" w:cs="Arial" w:eastAsia="Arial" w:hAnsi="Arial"/>
                  <w:sz w:val="18"/>
                  <w:szCs w:val="18"/>
                  <w:color w:val="0000EE"/>
                  <w:w w:val="93"/>
                </w:rPr>
                <w:t>Renewal Agreement to Lease by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18"/>
          </w:tcPr>
          <w:p>
            <w:pPr>
              <w:spacing w:after="0" w:line="196" w:lineRule="exact"/>
              <w:rPr>
                <w:rFonts w:ascii="Arial" w:cs="Arial" w:eastAsia="Arial" w:hAnsi="Arial"/>
                <w:sz w:val="18"/>
                <w:szCs w:val="18"/>
                <w:color w:val="0000EE"/>
                <w:w w:val="94"/>
              </w:rPr>
            </w:pPr>
            <w:hyperlink r:id="rId225">
              <w:r>
                <w:rPr>
                  <w:rFonts w:ascii="Arial" w:cs="Arial" w:eastAsia="Arial" w:hAnsi="Arial"/>
                  <w:sz w:val="18"/>
                  <w:szCs w:val="18"/>
                  <w:color w:val="0000EE"/>
                  <w:w w:val="94"/>
                </w:rPr>
                <w:t>between the Verona Pharma plc and</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225">
              <w:r>
                <w:rPr>
                  <w:rFonts w:ascii="Arial" w:cs="Arial" w:eastAsia="Arial" w:hAnsi="Arial"/>
                  <w:sz w:val="18"/>
                  <w:szCs w:val="18"/>
                  <w:color w:val="0000EE"/>
                  <w:w w:val="95"/>
                </w:rPr>
                <w:t>Regus Management (UK) Limited</w:t>
              </w:r>
            </w:hyperlink>
          </w:p>
        </w:tc>
        <w:tc>
          <w:tcPr>
            <w:tcW w:w="12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36"/>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18"/>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dated September 16, 2017#2</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Filing</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Filed /</w:t>
            </w:r>
          </w:p>
        </w:tc>
        <w:tc>
          <w:tcPr>
            <w:tcW w:w="0" w:type="dxa"/>
            <w:vAlign w:val="bottom"/>
          </w:tcPr>
          <w:p>
            <w:pPr>
              <w:spacing w:after="0"/>
              <w:rPr>
                <w:sz w:val="1"/>
                <w:szCs w:val="1"/>
                <w:color w:val="auto"/>
              </w:rPr>
            </w:pPr>
          </w:p>
        </w:tc>
      </w:tr>
      <w:tr>
        <w:trPr>
          <w:trHeight w:val="186"/>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84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26"/>
        </w:trPr>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jc w:val="center"/>
              <w:spacing w:after="0"/>
              <w:rPr>
                <w:rFonts w:ascii="Arial" w:cs="Arial" w:eastAsia="Arial" w:hAnsi="Arial"/>
                <w:sz w:val="18"/>
                <w:szCs w:val="18"/>
                <w:u w:val="single" w:color="auto"/>
                <w:color w:val="0000EE"/>
                <w:w w:val="96"/>
              </w:rPr>
            </w:pPr>
            <w:hyperlink r:id="rId213">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3">
              <w:r>
                <w:rPr>
                  <w:rFonts w:ascii="Arial" w:cs="Arial" w:eastAsia="Arial" w:hAnsi="Arial"/>
                  <w:sz w:val="18"/>
                  <w:szCs w:val="18"/>
                  <w:u w:val="single" w:color="auto"/>
                  <w:color w:val="0000EE"/>
                  <w:w w:val="93"/>
                </w:rPr>
                <w:t>333-217124</w:t>
              </w:r>
            </w:hyperlink>
          </w:p>
        </w:tc>
        <w:tc>
          <w:tcPr>
            <w:tcW w:w="200" w:type="dxa"/>
            <w:vAlign w:val="bottom"/>
          </w:tcPr>
          <w:p>
            <w:pPr>
              <w:spacing w:after="0"/>
              <w:rPr>
                <w:sz w:val="20"/>
                <w:szCs w:val="20"/>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3">
              <w:r>
                <w:rPr>
                  <w:rFonts w:ascii="Arial" w:cs="Arial" w:eastAsia="Arial" w:hAnsi="Arial"/>
                  <w:sz w:val="18"/>
                  <w:szCs w:val="18"/>
                  <w:u w:val="single" w:color="auto"/>
                  <w:color w:val="0000EE"/>
                  <w:w w:val="95"/>
                </w:rPr>
                <w:t>3.1</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4/3/2017</w:t>
              </w:r>
            </w:hyperlink>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00" w:type="dxa"/>
            <w:vAlign w:val="bottom"/>
          </w:tcPr>
          <w:p>
            <w:pPr>
              <w:jc w:val="center"/>
              <w:spacing w:after="0"/>
              <w:rPr>
                <w:rFonts w:ascii="Arial" w:cs="Arial" w:eastAsia="Arial" w:hAnsi="Arial"/>
                <w:sz w:val="18"/>
                <w:szCs w:val="18"/>
                <w:u w:val="single" w:color="auto"/>
                <w:color w:val="0000EE"/>
                <w:w w:val="97"/>
              </w:rPr>
            </w:pPr>
            <w:hyperlink r:id="rId214">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4">
              <w:r>
                <w:rPr>
                  <w:rFonts w:ascii="Arial" w:cs="Arial" w:eastAsia="Arial" w:hAnsi="Arial"/>
                  <w:sz w:val="18"/>
                  <w:szCs w:val="18"/>
                  <w:u w:val="single" w:color="auto"/>
                  <w:color w:val="0000EE"/>
                  <w:w w:val="95"/>
                </w:rPr>
                <w:t>2.1</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4">
              <w:r>
                <w:rPr>
                  <w:rFonts w:ascii="Arial" w:cs="Arial" w:eastAsia="Arial" w:hAnsi="Arial"/>
                  <w:sz w:val="18"/>
                  <w:szCs w:val="18"/>
                  <w:u w:val="single" w:color="auto"/>
                  <w:color w:val="0000EE"/>
                  <w:w w:val="92"/>
                </w:rPr>
                <w:t>2/27/2018</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jc w:val="center"/>
              <w:spacing w:after="0"/>
              <w:rPr>
                <w:rFonts w:ascii="Arial" w:cs="Arial" w:eastAsia="Arial" w:hAnsi="Arial"/>
                <w:sz w:val="18"/>
                <w:szCs w:val="18"/>
                <w:u w:val="single" w:color="auto"/>
                <w:color w:val="0000EE"/>
                <w:w w:val="97"/>
              </w:rPr>
            </w:pPr>
            <w:hyperlink r:id="rId214">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001-38067</w:t>
              </w:r>
            </w:hyperlink>
          </w:p>
        </w:tc>
        <w:tc>
          <w:tcPr>
            <w:tcW w:w="200" w:type="dxa"/>
            <w:vAlign w:val="bottom"/>
          </w:tcPr>
          <w:p>
            <w:pPr>
              <w:spacing w:after="0"/>
              <w:rPr>
                <w:sz w:val="20"/>
                <w:szCs w:val="20"/>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4">
              <w:r>
                <w:rPr>
                  <w:rFonts w:ascii="Arial" w:cs="Arial" w:eastAsia="Arial" w:hAnsi="Arial"/>
                  <w:sz w:val="18"/>
                  <w:szCs w:val="18"/>
                  <w:u w:val="single" w:color="auto"/>
                  <w:color w:val="0000EE"/>
                  <w:w w:val="95"/>
                </w:rPr>
                <w:t>2.2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4">
              <w:r>
                <w:rPr>
                  <w:rFonts w:ascii="Arial" w:cs="Arial" w:eastAsia="Arial" w:hAnsi="Arial"/>
                  <w:sz w:val="18"/>
                  <w:szCs w:val="18"/>
                  <w:u w:val="single" w:color="auto"/>
                  <w:color w:val="0000EE"/>
                  <w:w w:val="92"/>
                </w:rPr>
                <w:t>2/27/2018</w:t>
              </w:r>
            </w:hyperlink>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0" w:type="dxa"/>
            <w:vAlign w:val="bottom"/>
          </w:tcPr>
          <w:p>
            <w:pPr>
              <w:jc w:val="center"/>
              <w:spacing w:after="0"/>
              <w:rPr>
                <w:rFonts w:ascii="Arial" w:cs="Arial" w:eastAsia="Arial" w:hAnsi="Arial"/>
                <w:sz w:val="18"/>
                <w:szCs w:val="18"/>
                <w:u w:val="single" w:color="auto"/>
                <w:color w:val="0000EE"/>
                <w:w w:val="96"/>
              </w:rPr>
            </w:pPr>
            <w:hyperlink r:id="rId215">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5">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5">
              <w:r>
                <w:rPr>
                  <w:rFonts w:ascii="Arial" w:cs="Arial" w:eastAsia="Arial" w:hAnsi="Arial"/>
                  <w:sz w:val="18"/>
                  <w:szCs w:val="18"/>
                  <w:u w:val="single" w:color="auto"/>
                  <w:color w:val="0000EE"/>
                  <w:w w:val="95"/>
                </w:rPr>
                <w:t>4.3</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00" w:type="dxa"/>
            <w:vAlign w:val="bottom"/>
          </w:tcPr>
          <w:p>
            <w:pPr>
              <w:jc w:val="center"/>
              <w:spacing w:after="0"/>
              <w:rPr>
                <w:rFonts w:ascii="Arial" w:cs="Arial" w:eastAsia="Arial" w:hAnsi="Arial"/>
                <w:sz w:val="18"/>
                <w:szCs w:val="18"/>
                <w:u w:val="single" w:color="auto"/>
                <w:color w:val="0000EE"/>
                <w:w w:val="96"/>
              </w:rPr>
            </w:pPr>
            <w:hyperlink r:id="rId216">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6">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6">
              <w:r>
                <w:rPr>
                  <w:rFonts w:ascii="Arial" w:cs="Arial" w:eastAsia="Arial" w:hAnsi="Arial"/>
                  <w:sz w:val="18"/>
                  <w:szCs w:val="18"/>
                  <w:u w:val="single" w:color="auto"/>
                  <w:color w:val="0000EE"/>
                  <w:w w:val="95"/>
                </w:rPr>
                <w:t>4.4</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0" w:type="dxa"/>
            <w:vAlign w:val="bottom"/>
          </w:tcPr>
          <w:p>
            <w:pPr>
              <w:jc w:val="center"/>
              <w:spacing w:after="0"/>
              <w:rPr>
                <w:rFonts w:ascii="Arial" w:cs="Arial" w:eastAsia="Arial" w:hAnsi="Arial"/>
                <w:sz w:val="18"/>
                <w:szCs w:val="18"/>
                <w:u w:val="single" w:color="auto"/>
                <w:color w:val="0000EE"/>
                <w:w w:val="97"/>
              </w:rPr>
            </w:pPr>
            <w:hyperlink r:id="rId217">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17">
              <w:r>
                <w:rPr>
                  <w:rFonts w:ascii="Arial" w:cs="Arial" w:eastAsia="Arial" w:hAnsi="Arial"/>
                  <w:sz w:val="18"/>
                  <w:szCs w:val="18"/>
                  <w:u w:val="single" w:color="auto"/>
                  <w:color w:val="0000EE"/>
                  <w:w w:val="95"/>
                </w:rPr>
                <w:t>2.5</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7">
              <w:r>
                <w:rPr>
                  <w:rFonts w:ascii="Arial" w:cs="Arial" w:eastAsia="Arial" w:hAnsi="Arial"/>
                  <w:sz w:val="18"/>
                  <w:szCs w:val="18"/>
                  <w:u w:val="single" w:color="auto"/>
                  <w:color w:val="0000EE"/>
                  <w:w w:val="92"/>
                </w:rPr>
                <w:t>2/27/2020</w:t>
              </w:r>
            </w:hyperlink>
          </w:p>
        </w:tc>
        <w:tc>
          <w:tcPr>
            <w:tcW w:w="840" w:type="dxa"/>
            <w:vAlign w:val="bottom"/>
            <w:gridSpan w:val="2"/>
            <w:vMerge w:val="restart"/>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w:t>
              </w:r>
            </w:hyperlink>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00" w:type="dxa"/>
            <w:vAlign w:val="bottom"/>
          </w:tcPr>
          <w:p>
            <w:pPr>
              <w:jc w:val="center"/>
              <w:spacing w:after="0"/>
              <w:rPr>
                <w:rFonts w:ascii="Arial" w:cs="Arial" w:eastAsia="Arial" w:hAnsi="Arial"/>
                <w:sz w:val="18"/>
                <w:szCs w:val="18"/>
                <w:u w:val="single" w:color="auto"/>
                <w:color w:val="0000EE"/>
                <w:w w:val="96"/>
              </w:rPr>
            </w:pPr>
            <w:hyperlink r:id="rId218">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18">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18">
              <w:r>
                <w:rPr>
                  <w:rFonts w:ascii="Arial" w:cs="Arial" w:eastAsia="Arial" w:hAnsi="Arial"/>
                  <w:sz w:val="18"/>
                  <w:szCs w:val="18"/>
                  <w:u w:val="single" w:color="auto"/>
                  <w:color w:val="0000EE"/>
                  <w:w w:val="91"/>
                </w:rPr>
                <w:t>10.1</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600" w:type="dxa"/>
            <w:vAlign w:val="bottom"/>
          </w:tcPr>
          <w:p>
            <w:pPr>
              <w:jc w:val="center"/>
              <w:spacing w:after="0"/>
              <w:rPr>
                <w:rFonts w:ascii="Arial" w:cs="Arial" w:eastAsia="Arial" w:hAnsi="Arial"/>
                <w:sz w:val="18"/>
                <w:szCs w:val="18"/>
                <w:u w:val="single" w:color="auto"/>
                <w:color w:val="0000EE"/>
                <w:w w:val="99"/>
              </w:rPr>
            </w:pPr>
            <w:hyperlink r:id="rId219">
              <w:r>
                <w:rPr>
                  <w:rFonts w:ascii="Arial" w:cs="Arial" w:eastAsia="Arial" w:hAnsi="Arial"/>
                  <w:sz w:val="18"/>
                  <w:szCs w:val="18"/>
                  <w:u w:val="single" w:color="auto"/>
                  <w:color w:val="0000EE"/>
                  <w:w w:val="99"/>
                </w:rPr>
                <w:t>6-K</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79"/>
              </w:rPr>
            </w:pPr>
            <w:hyperlink r:id="rId219">
              <w:r>
                <w:rPr>
                  <w:rFonts w:ascii="Arial" w:cs="Arial" w:eastAsia="Arial" w:hAnsi="Arial"/>
                  <w:sz w:val="18"/>
                  <w:szCs w:val="18"/>
                  <w:u w:val="single" w:color="auto"/>
                  <w:color w:val="0000EE"/>
                  <w:w w:val="79"/>
                </w:rPr>
                <w:t>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9">
              <w:r>
                <w:rPr>
                  <w:rFonts w:ascii="Arial" w:cs="Arial" w:eastAsia="Arial" w:hAnsi="Arial"/>
                  <w:sz w:val="18"/>
                  <w:szCs w:val="18"/>
                  <w:u w:val="single" w:color="auto"/>
                  <w:color w:val="0000EE"/>
                  <w:w w:val="92"/>
                </w:rPr>
                <w:t>7/22/2020</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600" w:type="dxa"/>
            <w:vAlign w:val="bottom"/>
          </w:tcPr>
          <w:p>
            <w:pPr>
              <w:jc w:val="center"/>
              <w:spacing w:after="0"/>
              <w:rPr>
                <w:rFonts w:ascii="Arial" w:cs="Arial" w:eastAsia="Arial" w:hAnsi="Arial"/>
                <w:sz w:val="18"/>
                <w:szCs w:val="18"/>
                <w:u w:val="single" w:color="auto"/>
                <w:color w:val="0000EE"/>
                <w:w w:val="96"/>
              </w:rPr>
            </w:pPr>
            <w:hyperlink r:id="rId220">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20">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20">
              <w:r>
                <w:rPr>
                  <w:rFonts w:ascii="Arial" w:cs="Arial" w:eastAsia="Arial" w:hAnsi="Arial"/>
                  <w:sz w:val="18"/>
                  <w:szCs w:val="18"/>
                  <w:u w:val="single" w:color="auto"/>
                  <w:color w:val="0000EE"/>
                  <w:w w:val="91"/>
                </w:rPr>
                <w:t>10.2</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20" w:type="dxa"/>
            <w:vAlign w:val="bottom"/>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95"/>
              </w:rPr>
            </w:pPr>
            <w:hyperlink r:id="rId221">
              <w:r>
                <w:rPr>
                  <w:rFonts w:ascii="Arial" w:cs="Arial" w:eastAsia="Arial" w:hAnsi="Arial"/>
                  <w:sz w:val="18"/>
                  <w:szCs w:val="18"/>
                  <w:u w:val="single" w:color="auto"/>
                  <w:color w:val="0000EE"/>
                  <w:w w:val="95"/>
                </w:rPr>
                <w:t>4.3</w:t>
              </w:r>
            </w:hyperlink>
          </w:p>
        </w:tc>
        <w:tc>
          <w:tcPr>
            <w:tcW w:w="920" w:type="dxa"/>
            <w:vAlign w:val="bottom"/>
          </w:tcPr>
          <w:p>
            <w:pPr>
              <w:jc w:val="right"/>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3/19/2019</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2">
              <w:r>
                <w:rPr>
                  <w:rFonts w:ascii="Arial" w:cs="Arial" w:eastAsia="Arial" w:hAnsi="Arial"/>
                  <w:sz w:val="18"/>
                  <w:szCs w:val="18"/>
                  <w:u w:val="single" w:color="auto"/>
                  <w:color w:val="0000EE"/>
                  <w:w w:val="89"/>
                </w:rPr>
                <w:t>4.3.1</w:t>
              </w:r>
            </w:hyperlink>
          </w:p>
        </w:tc>
        <w:tc>
          <w:tcPr>
            <w:tcW w:w="920" w:type="dxa"/>
            <w:vAlign w:val="bottom"/>
          </w:tcPr>
          <w:p>
            <w:pPr>
              <w:jc w:val="right"/>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3/19/2019</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3">
              <w:r>
                <w:rPr>
                  <w:rFonts w:ascii="Arial" w:cs="Arial" w:eastAsia="Arial" w:hAnsi="Arial"/>
                  <w:sz w:val="18"/>
                  <w:szCs w:val="18"/>
                  <w:u w:val="single" w:color="auto"/>
                  <w:color w:val="0000EE"/>
                  <w:w w:val="89"/>
                </w:rPr>
                <w:t>4.3.2</w:t>
              </w:r>
            </w:hyperlink>
          </w:p>
        </w:tc>
        <w:tc>
          <w:tcPr>
            <w:tcW w:w="920" w:type="dxa"/>
            <w:vAlign w:val="bottom"/>
          </w:tcPr>
          <w:p>
            <w:pPr>
              <w:jc w:val="right"/>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3/19/2019</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4">
              <w:r>
                <w:rPr>
                  <w:rFonts w:ascii="Arial" w:cs="Arial" w:eastAsia="Arial" w:hAnsi="Arial"/>
                  <w:sz w:val="18"/>
                  <w:szCs w:val="18"/>
                  <w:u w:val="single" w:color="auto"/>
                  <w:color w:val="0000EE"/>
                  <w:w w:val="89"/>
                </w:rPr>
                <w:t>4.3.3</w:t>
              </w:r>
            </w:hyperlink>
          </w:p>
        </w:tc>
        <w:tc>
          <w:tcPr>
            <w:tcW w:w="920" w:type="dxa"/>
            <w:vAlign w:val="bottom"/>
          </w:tcPr>
          <w:p>
            <w:pPr>
              <w:jc w:val="right"/>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2/27/2020</w:t>
              </w:r>
            </w:hyperlink>
          </w:p>
        </w:tc>
      </w:tr>
      <w:tr>
        <w:trPr>
          <w:trHeight w:val="891"/>
        </w:trPr>
        <w:tc>
          <w:tcPr>
            <w:tcW w:w="520" w:type="dxa"/>
            <w:vAlign w:val="bottom"/>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20-F</w:t>
              </w:r>
            </w:hyperlink>
          </w:p>
        </w:tc>
        <w:tc>
          <w:tcPr>
            <w:tcW w:w="1200" w:type="dxa"/>
            <w:vAlign w:val="bottom"/>
          </w:tcPr>
          <w:p>
            <w:pPr>
              <w:jc w:val="right"/>
              <w:ind w:right="130"/>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001-38067</w:t>
              </w:r>
            </w:hyperlink>
          </w:p>
        </w:tc>
        <w:tc>
          <w:tcPr>
            <w:tcW w:w="760" w:type="dxa"/>
            <w:vAlign w:val="bottom"/>
          </w:tcPr>
          <w:p>
            <w:pPr>
              <w:jc w:val="center"/>
              <w:spacing w:after="0"/>
              <w:rPr>
                <w:rFonts w:ascii="Arial" w:cs="Arial" w:eastAsia="Arial" w:hAnsi="Arial"/>
                <w:sz w:val="18"/>
                <w:szCs w:val="18"/>
                <w:u w:val="single" w:color="auto"/>
                <w:color w:val="0000EE"/>
                <w:w w:val="89"/>
              </w:rPr>
            </w:pPr>
            <w:hyperlink r:id="rId225">
              <w:r>
                <w:rPr>
                  <w:rFonts w:ascii="Arial" w:cs="Arial" w:eastAsia="Arial" w:hAnsi="Arial"/>
                  <w:sz w:val="18"/>
                  <w:szCs w:val="18"/>
                  <w:u w:val="single" w:color="auto"/>
                  <w:color w:val="0000EE"/>
                  <w:w w:val="89"/>
                </w:rPr>
                <w:t>4.3.4</w:t>
              </w:r>
            </w:hyperlink>
          </w:p>
        </w:tc>
        <w:tc>
          <w:tcPr>
            <w:tcW w:w="920" w:type="dxa"/>
            <w:vAlign w:val="bottom"/>
          </w:tcPr>
          <w:p>
            <w:pPr>
              <w:jc w:val="right"/>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2/27/2020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263525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4900" w:space="220"/>
            <w:col w:w="501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1"/>
          </w:tcPr>
          <w:p>
            <w:pPr>
              <w:ind w:left="4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660" w:type="dxa"/>
            <w:vAlign w:val="bottom"/>
          </w:tcPr>
          <w:p>
            <w:pPr>
              <w:spacing w:after="0" w:line="196" w:lineRule="exact"/>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10.4.5</w:t>
              </w:r>
            </w:hyperlink>
          </w:p>
        </w:tc>
        <w:tc>
          <w:tcPr>
            <w:tcW w:w="2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27">
              <w:r>
                <w:rPr>
                  <w:rFonts w:ascii="Arial" w:cs="Arial" w:eastAsia="Arial" w:hAnsi="Arial"/>
                  <w:sz w:val="18"/>
                  <w:szCs w:val="18"/>
                  <w:color w:val="0000EE"/>
                  <w:w w:val="93"/>
                </w:rPr>
                <w:t>Renewal Agreement to Lease by</w:t>
              </w:r>
            </w:hyperlink>
          </w:p>
        </w:tc>
        <w:tc>
          <w:tcPr>
            <w:tcW w:w="300" w:type="dxa"/>
            <w:vAlign w:val="bottom"/>
            <w:gridSpan w:val="9"/>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and between the Verona Pharma plc</w:t>
              </w:r>
            </w:hyperlink>
          </w:p>
        </w:tc>
        <w:tc>
          <w:tcPr>
            <w:tcW w:w="6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27">
              <w:r>
                <w:rPr>
                  <w:rFonts w:ascii="Arial" w:cs="Arial" w:eastAsia="Arial" w:hAnsi="Arial"/>
                  <w:sz w:val="18"/>
                  <w:szCs w:val="18"/>
                  <w:color w:val="0000EE"/>
                  <w:w w:val="93"/>
                </w:rPr>
                <w:t>and Regus Management (UK)</w:t>
              </w:r>
            </w:hyperlink>
          </w:p>
        </w:tc>
        <w:tc>
          <w:tcPr>
            <w:tcW w:w="500" w:type="dxa"/>
            <w:vAlign w:val="bottom"/>
            <w:gridSpan w:val="13"/>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Limited dated September 16,</w:t>
              </w:r>
            </w:hyperlink>
          </w:p>
        </w:tc>
      </w:tr>
      <w:tr>
        <w:trPr>
          <w:trHeight w:val="230"/>
        </w:trPr>
        <w:tc>
          <w:tcPr>
            <w:tcW w:w="660" w:type="dxa"/>
            <w:vAlign w:val="bottom"/>
          </w:tcPr>
          <w:p>
            <w:pPr>
              <w:spacing w:after="0"/>
              <w:rPr>
                <w:sz w:val="20"/>
                <w:szCs w:val="20"/>
                <w:color w:val="auto"/>
              </w:rPr>
            </w:pPr>
          </w:p>
        </w:tc>
        <w:tc>
          <w:tcPr>
            <w:tcW w:w="820" w:type="dxa"/>
            <w:vAlign w:val="bottom"/>
            <w:gridSpan w:val="2"/>
          </w:tcPr>
          <w:p>
            <w:pPr>
              <w:ind w:left="220"/>
              <w:spacing w:after="0"/>
              <w:rPr>
                <w:rFonts w:ascii="Arial" w:cs="Arial" w:eastAsia="Arial" w:hAnsi="Arial"/>
                <w:sz w:val="18"/>
                <w:szCs w:val="18"/>
                <w:u w:val="single" w:color="auto"/>
                <w:color w:val="0000EE"/>
                <w:w w:val="96"/>
              </w:rPr>
            </w:pPr>
            <w:hyperlink r:id="rId227">
              <w:r>
                <w:rPr>
                  <w:rFonts w:ascii="Arial" w:cs="Arial" w:eastAsia="Arial" w:hAnsi="Arial"/>
                  <w:sz w:val="18"/>
                  <w:szCs w:val="18"/>
                  <w:u w:val="single" w:color="auto"/>
                  <w:color w:val="0000EE"/>
                  <w:w w:val="96"/>
                </w:rPr>
                <w:t>2017#3</w:t>
              </w:r>
            </w:hyperlink>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10.4.6</w:t>
              </w:r>
            </w:hyperlink>
          </w:p>
        </w:tc>
        <w:tc>
          <w:tcPr>
            <w:tcW w:w="220" w:type="dxa"/>
            <w:vAlign w:val="bottom"/>
          </w:tcPr>
          <w:p>
            <w:pPr>
              <w:spacing w:after="0"/>
              <w:rPr>
                <w:sz w:val="18"/>
                <w:szCs w:val="18"/>
                <w:color w:val="auto"/>
              </w:rPr>
            </w:pPr>
          </w:p>
        </w:tc>
        <w:tc>
          <w:tcPr>
            <w:tcW w:w="2460" w:type="dxa"/>
            <w:vAlign w:val="bottom"/>
            <w:tcBorders>
              <w:bottom w:val="single" w:sz="8" w:color="0000EE"/>
            </w:tcBorders>
            <w:gridSpan w:val="14"/>
          </w:tcPr>
          <w:p>
            <w:pPr>
              <w:spacing w:after="0"/>
              <w:rPr>
                <w:rFonts w:ascii="Arial" w:cs="Arial" w:eastAsia="Arial" w:hAnsi="Arial"/>
                <w:sz w:val="18"/>
                <w:szCs w:val="18"/>
                <w:color w:val="0000EE"/>
                <w:w w:val="93"/>
              </w:rPr>
            </w:pPr>
            <w:hyperlink r:id="rId228">
              <w:r>
                <w:rPr>
                  <w:rFonts w:ascii="Arial" w:cs="Arial" w:eastAsia="Arial" w:hAnsi="Arial"/>
                  <w:sz w:val="18"/>
                  <w:szCs w:val="18"/>
                  <w:color w:val="0000EE"/>
                  <w:w w:val="93"/>
                </w:rPr>
                <w:t>Renewal Agreement to Lease by</w:t>
              </w:r>
            </w:hyperlink>
          </w:p>
        </w:tc>
        <w:tc>
          <w:tcPr>
            <w:tcW w:w="300" w:type="dxa"/>
            <w:vAlign w:val="bottom"/>
            <w:gridSpan w:val="9"/>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and between the Verona Pharma Inc.</w:t>
              </w:r>
            </w:hyperlink>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228">
              <w:r>
                <w:rPr>
                  <w:rFonts w:ascii="Arial" w:cs="Arial" w:eastAsia="Arial" w:hAnsi="Arial"/>
                  <w:sz w:val="18"/>
                  <w:szCs w:val="18"/>
                  <w:color w:val="0000EE"/>
                  <w:w w:val="93"/>
                </w:rPr>
                <w:t>and Regus Management Group LLC</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28">
              <w:r>
                <w:rPr>
                  <w:rFonts w:ascii="Arial" w:cs="Arial" w:eastAsia="Arial" w:hAnsi="Arial"/>
                  <w:sz w:val="18"/>
                  <w:szCs w:val="18"/>
                  <w:color w:val="0000EE"/>
                  <w:w w:val="92"/>
                </w:rPr>
                <w:t>dated July 16, 2019</w:t>
              </w:r>
            </w:hyperlink>
          </w:p>
        </w:tc>
        <w:tc>
          <w:tcPr>
            <w:tcW w:w="1280" w:type="dxa"/>
            <w:vAlign w:val="bottom"/>
            <w:gridSpan w:val="18"/>
          </w:tcPr>
          <w:p>
            <w:pPr>
              <w:spacing w:after="0"/>
              <w:rPr>
                <w:sz w:val="17"/>
                <w:szCs w:val="17"/>
                <w:color w:val="auto"/>
              </w:rPr>
            </w:pPr>
          </w:p>
        </w:tc>
      </w:tr>
      <w:tr>
        <w:trPr>
          <w:trHeight w:val="291"/>
        </w:trPr>
        <w:tc>
          <w:tcPr>
            <w:tcW w:w="660" w:type="dxa"/>
            <w:vAlign w:val="bottom"/>
          </w:tcPr>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10.5#</w:t>
              </w:r>
            </w:hyperlink>
          </w:p>
        </w:tc>
        <w:tc>
          <w:tcPr>
            <w:tcW w:w="220" w:type="dxa"/>
            <w:vAlign w:val="bottom"/>
          </w:tcPr>
          <w:p>
            <w:pPr>
              <w:spacing w:after="0"/>
              <w:rPr>
                <w:sz w:val="24"/>
                <w:szCs w:val="24"/>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EMI Option Scheme</w:t>
              </w:r>
            </w:hyperlink>
          </w:p>
        </w:tc>
      </w:tr>
      <w:tr>
        <w:trPr>
          <w:trHeight w:val="203"/>
        </w:trPr>
        <w:tc>
          <w:tcPr>
            <w:tcW w:w="660" w:type="dxa"/>
            <w:vAlign w:val="bottom"/>
          </w:tcPr>
          <w:p>
            <w:pPr>
              <w:spacing w:after="0" w:line="202" w:lineRule="exact"/>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10.6#</w:t>
              </w:r>
            </w:hyperlink>
          </w:p>
        </w:tc>
        <w:tc>
          <w:tcPr>
            <w:tcW w:w="22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202"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Unapproved Share Option Scheme,</w:t>
              </w:r>
            </w:hyperlink>
          </w:p>
        </w:tc>
        <w:tc>
          <w:tcPr>
            <w:tcW w:w="80" w:type="dxa"/>
            <w:vAlign w:val="bottom"/>
            <w:gridSpan w:val="3"/>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230">
              <w:r>
                <w:rPr>
                  <w:rFonts w:ascii="Arial" w:cs="Arial" w:eastAsia="Arial" w:hAnsi="Arial"/>
                  <w:sz w:val="18"/>
                  <w:szCs w:val="18"/>
                  <w:color w:val="0000EE"/>
                  <w:w w:val="86"/>
                </w:rPr>
                <w:t>as amended</w:t>
              </w:r>
            </w:hyperlink>
          </w:p>
        </w:tc>
        <w:tc>
          <w:tcPr>
            <w:tcW w:w="1880" w:type="dxa"/>
            <w:vAlign w:val="bottom"/>
            <w:gridSpan w:val="20"/>
          </w:tcPr>
          <w:p>
            <w:pPr>
              <w:spacing w:after="0"/>
              <w:rPr>
                <w:sz w:val="17"/>
                <w:szCs w:val="17"/>
                <w:color w:val="auto"/>
              </w:rPr>
            </w:pPr>
          </w:p>
        </w:tc>
      </w:tr>
      <w:tr>
        <w:trPr>
          <w:trHeight w:val="236"/>
        </w:trPr>
        <w:tc>
          <w:tcPr>
            <w:tcW w:w="660" w:type="dxa"/>
            <w:vAlign w:val="bottom"/>
          </w:tcPr>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10.7#</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31">
              <w:r>
                <w:rPr>
                  <w:rFonts w:ascii="Arial" w:cs="Arial" w:eastAsia="Arial" w:hAnsi="Arial"/>
                  <w:sz w:val="18"/>
                  <w:szCs w:val="18"/>
                  <w:color w:val="0000EE"/>
                </w:rPr>
                <w:t>2017 Incentive Award Plan and</w:t>
              </w:r>
            </w:hyperlink>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231">
              <w:r>
                <w:rPr>
                  <w:rFonts w:ascii="Arial" w:cs="Arial" w:eastAsia="Arial" w:hAnsi="Arial"/>
                  <w:sz w:val="18"/>
                  <w:szCs w:val="18"/>
                  <w:color w:val="0000EE"/>
                  <w:w w:val="93"/>
                </w:rPr>
                <w:t>forms of award agreements</w:t>
              </w:r>
            </w:hyperlink>
          </w:p>
        </w:tc>
        <w:tc>
          <w:tcPr>
            <w:tcW w:w="300" w:type="dxa"/>
            <w:vAlign w:val="bottom"/>
            <w:tcBorders>
              <w:top w:val="single" w:sz="8" w:color="0000EE"/>
            </w:tcBorders>
            <w:gridSpan w:val="5"/>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3"/>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thereunder</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2">
              <w:r>
                <w:rPr>
                  <w:rFonts w:ascii="Arial" w:cs="Arial" w:eastAsia="Arial" w:hAnsi="Arial"/>
                  <w:sz w:val="18"/>
                  <w:szCs w:val="18"/>
                  <w:u w:val="single" w:color="auto"/>
                  <w:color w:val="0000EE"/>
                </w:rPr>
                <w:t>10.8#</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32">
              <w:r>
                <w:rPr>
                  <w:rFonts w:ascii="Arial" w:cs="Arial" w:eastAsia="Arial" w:hAnsi="Arial"/>
                  <w:sz w:val="18"/>
                  <w:szCs w:val="18"/>
                  <w:color w:val="0000EE"/>
                </w:rPr>
                <w:t>Employment Agreement, dated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232">
              <w:r>
                <w:rPr>
                  <w:rFonts w:ascii="Arial" w:cs="Arial" w:eastAsia="Arial" w:hAnsi="Arial"/>
                  <w:sz w:val="18"/>
                  <w:szCs w:val="18"/>
                  <w:color w:val="0000EE"/>
                  <w:w w:val="92"/>
                </w:rPr>
                <w:t>January 28, 2020, between Verona</w:t>
              </w:r>
            </w:hyperlink>
          </w:p>
        </w:tc>
        <w:tc>
          <w:tcPr>
            <w:tcW w:w="160" w:type="dxa"/>
            <w:vAlign w:val="bottom"/>
            <w:gridSpan w:val="5"/>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232">
              <w:r>
                <w:rPr>
                  <w:rFonts w:ascii="Arial" w:cs="Arial" w:eastAsia="Arial" w:hAnsi="Arial"/>
                  <w:sz w:val="18"/>
                  <w:szCs w:val="18"/>
                  <w:color w:val="0000EE"/>
                  <w:w w:val="94"/>
                </w:rPr>
                <w:t>Pharma Inc. and David Zaccardelli,</w:t>
              </w:r>
            </w:hyperlink>
          </w:p>
        </w:tc>
        <w:tc>
          <w:tcPr>
            <w:tcW w:w="80" w:type="dxa"/>
            <w:vAlign w:val="bottom"/>
            <w:gridSpan w:val="3"/>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3"/>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Pharm. 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10.9#</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33">
              <w:r>
                <w:rPr>
                  <w:rFonts w:ascii="Arial" w:cs="Arial" w:eastAsia="Arial" w:hAnsi="Arial"/>
                  <w:sz w:val="18"/>
                  <w:szCs w:val="18"/>
                  <w:color w:val="0000EE"/>
                </w:rPr>
                <w:t>Employment Agreement, dated</w:t>
              </w:r>
            </w:hyperlink>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33">
              <w:r>
                <w:rPr>
                  <w:rFonts w:ascii="Arial" w:cs="Arial" w:eastAsia="Arial" w:hAnsi="Arial"/>
                  <w:sz w:val="18"/>
                  <w:szCs w:val="18"/>
                  <w:color w:val="0000EE"/>
                  <w:w w:val="92"/>
                </w:rPr>
                <w:t>December 21, 2019, between</w:t>
              </w:r>
            </w:hyperlink>
          </w:p>
        </w:tc>
        <w:tc>
          <w:tcPr>
            <w:tcW w:w="140" w:type="dxa"/>
            <w:vAlign w:val="bottom"/>
            <w:tcBorders>
              <w:top w:val="single" w:sz="8" w:color="0000EE"/>
            </w:tcBorders>
            <w:gridSpan w:val="3"/>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33">
              <w:r>
                <w:rPr>
                  <w:rFonts w:ascii="Arial" w:cs="Arial" w:eastAsia="Arial" w:hAnsi="Arial"/>
                  <w:sz w:val="18"/>
                  <w:szCs w:val="18"/>
                  <w:color w:val="0000EE"/>
                  <w:w w:val="92"/>
                </w:rPr>
                <w:t>Verona Pharma plc and Kathleen</w:t>
              </w:r>
            </w:hyperlink>
          </w:p>
        </w:tc>
        <w:tc>
          <w:tcPr>
            <w:tcW w:w="280" w:type="dxa"/>
            <w:vAlign w:val="bottom"/>
            <w:gridSpan w:val="8"/>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233">
              <w:r>
                <w:rPr>
                  <w:rFonts w:ascii="Arial" w:cs="Arial" w:eastAsia="Arial" w:hAnsi="Arial"/>
                  <w:sz w:val="18"/>
                  <w:szCs w:val="18"/>
                  <w:color w:val="0000EE"/>
                  <w:w w:val="94"/>
                </w:rPr>
                <w:t>Rickard</w:t>
              </w:r>
            </w:hyperlink>
          </w:p>
        </w:tc>
        <w:tc>
          <w:tcPr>
            <w:tcW w:w="2160" w:type="dxa"/>
            <w:vAlign w:val="bottom"/>
            <w:gridSpan w:val="22"/>
          </w:tcPr>
          <w:p>
            <w:pPr>
              <w:spacing w:after="0"/>
              <w:rPr>
                <w:sz w:val="17"/>
                <w:szCs w:val="17"/>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10.11#</w:t>
              </w:r>
            </w:hyperlink>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color w:val="0000EE"/>
              </w:rPr>
            </w:pPr>
            <w:hyperlink r:id="rId234">
              <w:r>
                <w:rPr>
                  <w:rFonts w:ascii="Arial" w:cs="Arial" w:eastAsia="Arial" w:hAnsi="Arial"/>
                  <w:sz w:val="18"/>
                  <w:szCs w:val="18"/>
                  <w:color w:val="0000EE"/>
                </w:rPr>
                <w:t>Employment Agreement, dated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234">
              <w:r>
                <w:rPr>
                  <w:rFonts w:ascii="Arial" w:cs="Arial" w:eastAsia="Arial" w:hAnsi="Arial"/>
                  <w:sz w:val="18"/>
                  <w:szCs w:val="18"/>
                  <w:color w:val="0000EE"/>
                  <w:w w:val="92"/>
                </w:rPr>
                <w:t>October 1, 2016, between Verona</w:t>
              </w:r>
            </w:hyperlink>
          </w:p>
        </w:tc>
        <w:tc>
          <w:tcPr>
            <w:tcW w:w="240" w:type="dxa"/>
            <w:vAlign w:val="bottom"/>
            <w:gridSpan w:val="7"/>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Pharma plc and Claire Poll</w:t>
              </w:r>
            </w:hyperlink>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10.12#</w:t>
              </w:r>
            </w:hyperlink>
          </w:p>
        </w:tc>
        <w:tc>
          <w:tcPr>
            <w:tcW w:w="220" w:type="dxa"/>
            <w:vAlign w:val="bottom"/>
          </w:tcPr>
          <w:p>
            <w:pPr>
              <w:spacing w:after="0"/>
              <w:rPr>
                <w:sz w:val="18"/>
                <w:szCs w:val="18"/>
                <w:color w:val="auto"/>
              </w:rPr>
            </w:pPr>
          </w:p>
        </w:tc>
        <w:tc>
          <w:tcPr>
            <w:tcW w:w="2760" w:type="dxa"/>
            <w:vAlign w:val="bottom"/>
            <w:gridSpan w:val="23"/>
          </w:tcPr>
          <w:p>
            <w:pPr>
              <w:spacing w:after="0"/>
              <w:rPr>
                <w:rFonts w:ascii="Arial" w:cs="Arial" w:eastAsia="Arial" w:hAnsi="Arial"/>
                <w:sz w:val="18"/>
                <w:szCs w:val="18"/>
                <w:color w:val="0000EE"/>
              </w:rPr>
            </w:pPr>
            <w:hyperlink r:id="rId235">
              <w:r>
                <w:rPr>
                  <w:rFonts w:ascii="Arial" w:cs="Arial" w:eastAsia="Arial" w:hAnsi="Arial"/>
                  <w:sz w:val="18"/>
                  <w:szCs w:val="18"/>
                  <w:color w:val="0000EE"/>
                </w:rPr>
                <w:t>Employment Agreement, dated</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235">
              <w:r>
                <w:rPr>
                  <w:rFonts w:ascii="Arial" w:cs="Arial" w:eastAsia="Arial" w:hAnsi="Arial"/>
                  <w:sz w:val="18"/>
                  <w:szCs w:val="18"/>
                  <w:color w:val="0000EE"/>
                  <w:w w:val="92"/>
                </w:rPr>
                <w:t>February 1, 2020, between Verona</w:t>
              </w:r>
            </w:hyperlink>
          </w:p>
        </w:tc>
        <w:tc>
          <w:tcPr>
            <w:tcW w:w="160" w:type="dxa"/>
            <w:vAlign w:val="bottom"/>
            <w:gridSpan w:val="5"/>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Pharma plc and Mark Hahn</w:t>
              </w:r>
            </w:hyperlink>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10.13</w:t>
              </w:r>
            </w:hyperlink>
          </w:p>
        </w:tc>
        <w:tc>
          <w:tcPr>
            <w:tcW w:w="220" w:type="dxa"/>
            <w:vAlign w:val="bottom"/>
          </w:tcPr>
          <w:p>
            <w:pPr>
              <w:spacing w:after="0"/>
              <w:rPr>
                <w:sz w:val="18"/>
                <w:szCs w:val="18"/>
                <w:color w:val="auto"/>
              </w:rPr>
            </w:pPr>
          </w:p>
        </w:tc>
        <w:tc>
          <w:tcPr>
            <w:tcW w:w="2740" w:type="dxa"/>
            <w:vAlign w:val="bottom"/>
            <w:tcBorders>
              <w:bottom w:val="single" w:sz="8" w:color="0000EE"/>
            </w:tcBorders>
            <w:gridSpan w:val="22"/>
          </w:tcPr>
          <w:p>
            <w:pPr>
              <w:spacing w:after="0"/>
              <w:rPr>
                <w:rFonts w:ascii="Arial" w:cs="Arial" w:eastAsia="Arial" w:hAnsi="Arial"/>
                <w:sz w:val="18"/>
                <w:szCs w:val="18"/>
                <w:color w:val="0000EE"/>
                <w:w w:val="96"/>
              </w:rPr>
            </w:pPr>
            <w:hyperlink r:id="rId236">
              <w:r>
                <w:rPr>
                  <w:rFonts w:ascii="Arial" w:cs="Arial" w:eastAsia="Arial" w:hAnsi="Arial"/>
                  <w:sz w:val="18"/>
                  <w:szCs w:val="18"/>
                  <w:color w:val="0000EE"/>
                  <w:w w:val="96"/>
                </w:rPr>
                <w:t>Form of Indemnification Agreement</w:t>
              </w:r>
            </w:hyperlink>
          </w:p>
        </w:tc>
        <w:tc>
          <w:tcPr>
            <w:tcW w:w="2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3"/>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for board members</w:t>
              </w:r>
            </w:hyperlink>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10.14</w:t>
              </w:r>
            </w:hyperlink>
          </w:p>
        </w:tc>
        <w:tc>
          <w:tcPr>
            <w:tcW w:w="220" w:type="dxa"/>
            <w:vAlign w:val="bottom"/>
          </w:tcPr>
          <w:p>
            <w:pPr>
              <w:spacing w:after="0"/>
              <w:rPr>
                <w:sz w:val="20"/>
                <w:szCs w:val="20"/>
                <w:color w:val="auto"/>
              </w:rPr>
            </w:pPr>
          </w:p>
        </w:tc>
        <w:tc>
          <w:tcPr>
            <w:tcW w:w="2740" w:type="dxa"/>
            <w:vAlign w:val="bottom"/>
            <w:tcBorders>
              <w:bottom w:val="single" w:sz="8" w:color="0000EE"/>
            </w:tcBorders>
            <w:gridSpan w:val="22"/>
          </w:tcPr>
          <w:p>
            <w:pPr>
              <w:spacing w:after="0"/>
              <w:rPr>
                <w:rFonts w:ascii="Arial" w:cs="Arial" w:eastAsia="Arial" w:hAnsi="Arial"/>
                <w:sz w:val="18"/>
                <w:szCs w:val="18"/>
                <w:color w:val="0000EE"/>
                <w:w w:val="96"/>
              </w:rPr>
            </w:pPr>
            <w:hyperlink r:id="rId237">
              <w:r>
                <w:rPr>
                  <w:rFonts w:ascii="Arial" w:cs="Arial" w:eastAsia="Arial" w:hAnsi="Arial"/>
                  <w:sz w:val="18"/>
                  <w:szCs w:val="18"/>
                  <w:color w:val="0000EE"/>
                  <w:w w:val="96"/>
                </w:rPr>
                <w:t>Form of Indemnification Agreement</w:t>
              </w:r>
            </w:hyperlink>
          </w:p>
        </w:tc>
        <w:tc>
          <w:tcPr>
            <w:tcW w:w="20" w:type="dxa"/>
            <w:vAlign w:val="bottom"/>
          </w:tcPr>
          <w:p>
            <w:pPr>
              <w:spacing w:after="0"/>
              <w:rPr>
                <w:sz w:val="20"/>
                <w:szCs w:val="20"/>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r:id="rId237">
              <w:r>
                <w:rPr>
                  <w:rFonts w:ascii="Arial" w:cs="Arial" w:eastAsia="Arial" w:hAnsi="Arial"/>
                  <w:sz w:val="18"/>
                  <w:szCs w:val="18"/>
                  <w:color w:val="0000EE"/>
                  <w:w w:val="96"/>
                </w:rPr>
                <w:t>for executive officers</w:t>
              </w:r>
            </w:hyperlink>
          </w:p>
        </w:tc>
        <w:tc>
          <w:tcPr>
            <w:tcW w:w="1140" w:type="dxa"/>
            <w:vAlign w:val="bottom"/>
            <w:gridSpan w:val="17"/>
          </w:tcPr>
          <w:p>
            <w:pPr>
              <w:spacing w:after="0"/>
              <w:rPr>
                <w:sz w:val="17"/>
                <w:szCs w:val="17"/>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10.15</w:t>
              </w:r>
            </w:hyperlink>
          </w:p>
        </w:tc>
        <w:tc>
          <w:tcPr>
            <w:tcW w:w="220" w:type="dxa"/>
            <w:vAlign w:val="bottom"/>
          </w:tcPr>
          <w:p>
            <w:pPr>
              <w:spacing w:after="0"/>
              <w:rPr>
                <w:sz w:val="20"/>
                <w:szCs w:val="20"/>
                <w:color w:val="auto"/>
              </w:rPr>
            </w:pPr>
          </w:p>
        </w:tc>
        <w:tc>
          <w:tcPr>
            <w:tcW w:w="2660" w:type="dxa"/>
            <w:vAlign w:val="bottom"/>
            <w:tcBorders>
              <w:bottom w:val="single" w:sz="8" w:color="0000EE"/>
            </w:tcBorders>
            <w:gridSpan w:val="19"/>
          </w:tcPr>
          <w:p>
            <w:pPr>
              <w:spacing w:after="0"/>
              <w:rPr>
                <w:rFonts w:ascii="Arial" w:cs="Arial" w:eastAsia="Arial" w:hAnsi="Arial"/>
                <w:sz w:val="18"/>
                <w:szCs w:val="18"/>
                <w:color w:val="0000EE"/>
                <w:w w:val="95"/>
              </w:rPr>
            </w:pPr>
            <w:hyperlink r:id="rId238">
              <w:r>
                <w:rPr>
                  <w:rFonts w:ascii="Arial" w:cs="Arial" w:eastAsia="Arial" w:hAnsi="Arial"/>
                  <w:sz w:val="18"/>
                  <w:szCs w:val="18"/>
                  <w:color w:val="0000EE"/>
                  <w:w w:val="95"/>
                </w:rPr>
                <w:t>Relationship Agreement relating to</w:t>
              </w:r>
            </w:hyperlink>
          </w:p>
        </w:tc>
        <w:tc>
          <w:tcPr>
            <w:tcW w:w="100" w:type="dxa"/>
            <w:vAlign w:val="bottom"/>
            <w:gridSpan w:val="4"/>
          </w:tcPr>
          <w:p>
            <w:pPr>
              <w:spacing w:after="0"/>
              <w:rPr>
                <w:sz w:val="20"/>
                <w:szCs w:val="20"/>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38">
              <w:r>
                <w:rPr>
                  <w:rFonts w:ascii="Arial" w:cs="Arial" w:eastAsia="Arial" w:hAnsi="Arial"/>
                  <w:sz w:val="18"/>
                  <w:szCs w:val="18"/>
                  <w:color w:val="0000EE"/>
                  <w:w w:val="92"/>
                </w:rPr>
                <w:t>Verona Pharma plc, dated July 29,</w:t>
              </w:r>
            </w:hyperlink>
          </w:p>
        </w:tc>
        <w:tc>
          <w:tcPr>
            <w:tcW w:w="180" w:type="dxa"/>
            <w:vAlign w:val="bottom"/>
            <w:gridSpan w:val="6"/>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38">
              <w:r>
                <w:rPr>
                  <w:rFonts w:ascii="Arial" w:cs="Arial" w:eastAsia="Arial" w:hAnsi="Arial"/>
                  <w:sz w:val="18"/>
                  <w:szCs w:val="18"/>
                  <w:color w:val="0000EE"/>
                  <w:w w:val="92"/>
                </w:rPr>
                <w:t>2016, by and among the Verona</w:t>
              </w:r>
            </w:hyperlink>
          </w:p>
        </w:tc>
        <w:tc>
          <w:tcPr>
            <w:tcW w:w="360" w:type="dxa"/>
            <w:vAlign w:val="bottom"/>
            <w:gridSpan w:val="10"/>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238">
              <w:r>
                <w:rPr>
                  <w:rFonts w:ascii="Arial" w:cs="Arial" w:eastAsia="Arial" w:hAnsi="Arial"/>
                  <w:sz w:val="18"/>
                  <w:szCs w:val="18"/>
                  <w:color w:val="0000EE"/>
                  <w:w w:val="95"/>
                </w:rPr>
                <w:t>Pharma plc, OrbiMed Private</w:t>
              </w:r>
            </w:hyperlink>
          </w:p>
        </w:tc>
        <w:tc>
          <w:tcPr>
            <w:tcW w:w="540" w:type="dxa"/>
            <w:vAlign w:val="bottom"/>
            <w:gridSpan w:val="14"/>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Investments VI, LP and NPlus1</w:t>
              </w:r>
            </w:hyperlink>
          </w:p>
        </w:tc>
      </w:tr>
      <w:tr>
        <w:trPr>
          <w:trHeight w:val="230"/>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3"/>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Singer Advisory LLP</w:t>
              </w:r>
            </w:hyperlink>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10.16</w:t>
              </w:r>
            </w:hyperlink>
          </w:p>
        </w:tc>
        <w:tc>
          <w:tcPr>
            <w:tcW w:w="220" w:type="dxa"/>
            <w:vAlign w:val="bottom"/>
          </w:tcPr>
          <w:p>
            <w:pPr>
              <w:spacing w:after="0"/>
              <w:rPr>
                <w:sz w:val="18"/>
                <w:szCs w:val="18"/>
                <w:color w:val="auto"/>
              </w:rPr>
            </w:pPr>
          </w:p>
        </w:tc>
        <w:tc>
          <w:tcPr>
            <w:tcW w:w="2660" w:type="dxa"/>
            <w:vAlign w:val="bottom"/>
            <w:tcBorders>
              <w:bottom w:val="single" w:sz="8" w:color="0000EE"/>
            </w:tcBorders>
            <w:gridSpan w:val="19"/>
          </w:tcPr>
          <w:p>
            <w:pPr>
              <w:spacing w:after="0"/>
              <w:rPr>
                <w:rFonts w:ascii="Arial" w:cs="Arial" w:eastAsia="Arial" w:hAnsi="Arial"/>
                <w:sz w:val="18"/>
                <w:szCs w:val="18"/>
                <w:color w:val="0000EE"/>
                <w:w w:val="95"/>
              </w:rPr>
            </w:pPr>
            <w:hyperlink r:id="rId239">
              <w:r>
                <w:rPr>
                  <w:rFonts w:ascii="Arial" w:cs="Arial" w:eastAsia="Arial" w:hAnsi="Arial"/>
                  <w:sz w:val="18"/>
                  <w:szCs w:val="18"/>
                  <w:color w:val="0000EE"/>
                  <w:w w:val="95"/>
                </w:rPr>
                <w:t>Relationship Agreement relating to</w:t>
              </w:r>
            </w:hyperlink>
          </w:p>
        </w:tc>
        <w:tc>
          <w:tcPr>
            <w:tcW w:w="100" w:type="dxa"/>
            <w:vAlign w:val="bottom"/>
            <w:gridSpan w:val="4"/>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39">
              <w:r>
                <w:rPr>
                  <w:rFonts w:ascii="Arial" w:cs="Arial" w:eastAsia="Arial" w:hAnsi="Arial"/>
                  <w:sz w:val="18"/>
                  <w:szCs w:val="18"/>
                  <w:color w:val="0000EE"/>
                  <w:w w:val="92"/>
                </w:rPr>
                <w:t>Verona Pharma plc, dated July 29,</w:t>
              </w:r>
            </w:hyperlink>
          </w:p>
        </w:tc>
        <w:tc>
          <w:tcPr>
            <w:tcW w:w="180" w:type="dxa"/>
            <w:vAlign w:val="bottom"/>
            <w:gridSpan w:val="6"/>
          </w:tcPr>
          <w:p>
            <w:pPr>
              <w:spacing w:after="0"/>
              <w:rPr>
                <w:sz w:val="17"/>
                <w:szCs w:val="17"/>
                <w:color w:val="auto"/>
              </w:rPr>
            </w:pPr>
          </w:p>
        </w:tc>
      </w:tr>
    </w:tbl>
    <w:p>
      <w:pPr>
        <w:spacing w:after="0" w:line="13" w:lineRule="exact"/>
        <w:rPr>
          <w:sz w:val="20"/>
          <w:szCs w:val="20"/>
          <w:color w:val="auto"/>
        </w:rPr>
      </w:pPr>
    </w:p>
    <w:p>
      <w:pPr>
        <w:ind w:left="214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2016, by and among the Verona</w:t>
        </w:r>
      </w:hyperlink>
    </w:p>
    <w:p>
      <w:pPr>
        <w:spacing w:after="0" w:line="23" w:lineRule="exact"/>
        <w:rPr>
          <w:sz w:val="20"/>
          <w:szCs w:val="20"/>
          <w:color w:val="auto"/>
        </w:rPr>
      </w:pPr>
    </w:p>
    <w:p>
      <w:pPr>
        <w:ind w:left="214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Pharma plc, Abingworth</w:t>
        </w:r>
      </w:hyperlink>
    </w:p>
    <w:p>
      <w:pPr>
        <w:spacing w:after="0" w:line="9" w:lineRule="exact"/>
        <w:rPr>
          <w:sz w:val="20"/>
          <w:szCs w:val="20"/>
          <w:color w:val="auto"/>
        </w:rPr>
      </w:pPr>
    </w:p>
    <w:p>
      <w:pPr>
        <w:ind w:left="214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Bioventures VI LP and NPlus1</w:t>
        </w:r>
      </w:hyperlink>
    </w:p>
    <w:p>
      <w:pPr>
        <w:spacing w:after="0" w:line="9" w:lineRule="exact"/>
        <w:rPr>
          <w:sz w:val="20"/>
          <w:szCs w:val="20"/>
          <w:color w:val="auto"/>
        </w:rPr>
      </w:pPr>
    </w:p>
    <w:p>
      <w:pPr>
        <w:ind w:left="214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Singer Advisory LLP</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Filing</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Filed /</w:t>
            </w:r>
          </w:p>
        </w:tc>
      </w:tr>
      <w:tr>
        <w:trPr>
          <w:trHeight w:val="186"/>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8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Furnished</w:t>
            </w:r>
          </w:p>
        </w:tc>
      </w:tr>
      <w:tr>
        <w:trPr>
          <w:trHeight w:val="26"/>
        </w:trPr>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center"/>
              <w:spacing w:after="0"/>
              <w:rPr>
                <w:rFonts w:ascii="Arial" w:cs="Arial" w:eastAsia="Arial" w:hAnsi="Arial"/>
                <w:sz w:val="18"/>
                <w:szCs w:val="18"/>
                <w:u w:val="single" w:color="auto"/>
                <w:color w:val="0000EE"/>
                <w:w w:val="97"/>
              </w:rPr>
            </w:pPr>
            <w:hyperlink r:id="rId227">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001-38067</w:t>
              </w:r>
            </w:hyperlink>
          </w:p>
        </w:tc>
        <w:tc>
          <w:tcPr>
            <w:tcW w:w="200" w:type="dxa"/>
            <w:vAlign w:val="bottom"/>
          </w:tcPr>
          <w:p>
            <w:pPr>
              <w:spacing w:after="0"/>
              <w:rPr>
                <w:sz w:val="20"/>
                <w:szCs w:val="20"/>
                <w:color w:val="auto"/>
              </w:rPr>
            </w:pPr>
          </w:p>
        </w:tc>
        <w:tc>
          <w:tcPr>
            <w:tcW w:w="600" w:type="dxa"/>
            <w:vAlign w:val="bottom"/>
          </w:tcPr>
          <w:p>
            <w:pPr>
              <w:jc w:val="center"/>
              <w:spacing w:after="0"/>
              <w:rPr>
                <w:rFonts w:ascii="Arial" w:cs="Arial" w:eastAsia="Arial" w:hAnsi="Arial"/>
                <w:sz w:val="18"/>
                <w:szCs w:val="18"/>
                <w:u w:val="single" w:color="auto"/>
                <w:color w:val="0000EE"/>
                <w:w w:val="89"/>
              </w:rPr>
            </w:pPr>
            <w:hyperlink r:id="rId227">
              <w:r>
                <w:rPr>
                  <w:rFonts w:ascii="Arial" w:cs="Arial" w:eastAsia="Arial" w:hAnsi="Arial"/>
                  <w:sz w:val="18"/>
                  <w:szCs w:val="18"/>
                  <w:u w:val="single" w:color="auto"/>
                  <w:color w:val="0000EE"/>
                  <w:w w:val="89"/>
                </w:rPr>
                <w:t>4.3.5</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27">
              <w:r>
                <w:rPr>
                  <w:rFonts w:ascii="Arial" w:cs="Arial" w:eastAsia="Arial" w:hAnsi="Arial"/>
                  <w:sz w:val="18"/>
                  <w:szCs w:val="18"/>
                  <w:u w:val="single" w:color="auto"/>
                  <w:color w:val="0000EE"/>
                  <w:w w:val="92"/>
                </w:rPr>
                <w:t>2/27/2020</w:t>
              </w:r>
            </w:hyperlink>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120"/>
        </w:trPr>
        <w:tc>
          <w:tcPr>
            <w:tcW w:w="600" w:type="dxa"/>
            <w:vAlign w:val="bottom"/>
          </w:tcPr>
          <w:p>
            <w:pPr>
              <w:jc w:val="center"/>
              <w:spacing w:after="0"/>
              <w:rPr>
                <w:rFonts w:ascii="Arial" w:cs="Arial" w:eastAsia="Arial" w:hAnsi="Arial"/>
                <w:sz w:val="18"/>
                <w:szCs w:val="18"/>
                <w:u w:val="single" w:color="auto"/>
                <w:color w:val="0000EE"/>
                <w:w w:val="97"/>
              </w:rPr>
            </w:pPr>
            <w:hyperlink r:id="rId228">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89"/>
              </w:rPr>
            </w:pPr>
            <w:hyperlink r:id="rId228">
              <w:r>
                <w:rPr>
                  <w:rFonts w:ascii="Arial" w:cs="Arial" w:eastAsia="Arial" w:hAnsi="Arial"/>
                  <w:sz w:val="18"/>
                  <w:szCs w:val="18"/>
                  <w:u w:val="single" w:color="auto"/>
                  <w:color w:val="0000EE"/>
                  <w:w w:val="89"/>
                </w:rPr>
                <w:t>4.3.6</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28">
              <w:r>
                <w:rPr>
                  <w:rFonts w:ascii="Arial" w:cs="Arial" w:eastAsia="Arial" w:hAnsi="Arial"/>
                  <w:sz w:val="18"/>
                  <w:szCs w:val="18"/>
                  <w:u w:val="single" w:color="auto"/>
                  <w:color w:val="0000EE"/>
                  <w:w w:val="92"/>
                </w:rPr>
                <w:t>2/20/2020</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18"/>
        </w:trPr>
        <w:tc>
          <w:tcPr>
            <w:tcW w:w="600" w:type="dxa"/>
            <w:vAlign w:val="bottom"/>
          </w:tcPr>
          <w:p>
            <w:pPr>
              <w:jc w:val="center"/>
              <w:spacing w:after="0"/>
              <w:rPr>
                <w:rFonts w:ascii="Arial" w:cs="Arial" w:eastAsia="Arial" w:hAnsi="Arial"/>
                <w:sz w:val="18"/>
                <w:szCs w:val="18"/>
                <w:u w:val="single" w:color="auto"/>
                <w:color w:val="0000EE"/>
                <w:w w:val="96"/>
              </w:rPr>
            </w:pPr>
            <w:hyperlink r:id="rId229">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29">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29">
              <w:r>
                <w:rPr>
                  <w:rFonts w:ascii="Arial" w:cs="Arial" w:eastAsia="Arial" w:hAnsi="Arial"/>
                  <w:sz w:val="18"/>
                  <w:szCs w:val="18"/>
                  <w:u w:val="single" w:color="auto"/>
                  <w:color w:val="0000EE"/>
                  <w:w w:val="91"/>
                </w:rPr>
                <w:t>10.4</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600" w:type="dxa"/>
            <w:vAlign w:val="bottom"/>
          </w:tcPr>
          <w:p>
            <w:pPr>
              <w:jc w:val="center"/>
              <w:spacing w:after="0"/>
              <w:rPr>
                <w:rFonts w:ascii="Arial" w:cs="Arial" w:eastAsia="Arial" w:hAnsi="Arial"/>
                <w:sz w:val="18"/>
                <w:szCs w:val="18"/>
                <w:u w:val="single" w:color="auto"/>
                <w:color w:val="0000EE"/>
                <w:w w:val="96"/>
              </w:rPr>
            </w:pPr>
            <w:hyperlink r:id="rId230">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0">
              <w:r>
                <w:rPr>
                  <w:rFonts w:ascii="Arial" w:cs="Arial" w:eastAsia="Arial" w:hAnsi="Arial"/>
                  <w:sz w:val="18"/>
                  <w:szCs w:val="18"/>
                  <w:u w:val="single" w:color="auto"/>
                  <w:color w:val="0000EE"/>
                  <w:w w:val="93"/>
                </w:rPr>
                <w:t>333-217124</w:t>
              </w:r>
            </w:hyperlink>
          </w:p>
        </w:tc>
        <w:tc>
          <w:tcPr>
            <w:tcW w:w="200" w:type="dxa"/>
            <w:vAlign w:val="bottom"/>
          </w:tcPr>
          <w:p>
            <w:pPr>
              <w:spacing w:after="0"/>
              <w:rPr>
                <w:sz w:val="21"/>
                <w:szCs w:val="21"/>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30">
              <w:r>
                <w:rPr>
                  <w:rFonts w:ascii="Arial" w:cs="Arial" w:eastAsia="Arial" w:hAnsi="Arial"/>
                  <w:sz w:val="18"/>
                  <w:szCs w:val="18"/>
                  <w:u w:val="single" w:color="auto"/>
                  <w:color w:val="0000EE"/>
                  <w:w w:val="91"/>
                </w:rPr>
                <w:t>10.5</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4/3/2017</w:t>
              </w:r>
            </w:hyperlink>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73"/>
        </w:trPr>
        <w:tc>
          <w:tcPr>
            <w:tcW w:w="600" w:type="dxa"/>
            <w:vAlign w:val="bottom"/>
          </w:tcPr>
          <w:p>
            <w:pPr>
              <w:jc w:val="center"/>
              <w:spacing w:after="0"/>
              <w:rPr>
                <w:rFonts w:ascii="Arial" w:cs="Arial" w:eastAsia="Arial" w:hAnsi="Arial"/>
                <w:sz w:val="18"/>
                <w:szCs w:val="18"/>
                <w:u w:val="single" w:color="auto"/>
                <w:color w:val="0000EE"/>
                <w:w w:val="97"/>
              </w:rPr>
            </w:pPr>
            <w:hyperlink r:id="rId231">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31">
              <w:r>
                <w:rPr>
                  <w:rFonts w:ascii="Arial" w:cs="Arial" w:eastAsia="Arial" w:hAnsi="Arial"/>
                  <w:sz w:val="18"/>
                  <w:szCs w:val="18"/>
                  <w:u w:val="single" w:color="auto"/>
                  <w:color w:val="0000EE"/>
                  <w:w w:val="95"/>
                </w:rPr>
                <w:t>4.6</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1">
              <w:r>
                <w:rPr>
                  <w:rFonts w:ascii="Arial" w:cs="Arial" w:eastAsia="Arial" w:hAnsi="Arial"/>
                  <w:sz w:val="18"/>
                  <w:szCs w:val="18"/>
                  <w:u w:val="single" w:color="auto"/>
                  <w:color w:val="0000EE"/>
                  <w:w w:val="92"/>
                </w:rPr>
                <w:t>2/27/2018</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8"/>
        </w:trPr>
        <w:tc>
          <w:tcPr>
            <w:tcW w:w="600" w:type="dxa"/>
            <w:vAlign w:val="bottom"/>
          </w:tcPr>
          <w:p>
            <w:pPr>
              <w:jc w:val="center"/>
              <w:spacing w:after="0"/>
              <w:rPr>
                <w:rFonts w:ascii="Arial" w:cs="Arial" w:eastAsia="Arial" w:hAnsi="Arial"/>
                <w:sz w:val="18"/>
                <w:szCs w:val="18"/>
                <w:u w:val="single" w:color="auto"/>
                <w:color w:val="0000EE"/>
                <w:w w:val="97"/>
              </w:rPr>
            </w:pPr>
            <w:hyperlink r:id="rId232">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32">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5"/>
              </w:rPr>
            </w:pPr>
            <w:hyperlink r:id="rId232">
              <w:r>
                <w:rPr>
                  <w:rFonts w:ascii="Arial" w:cs="Arial" w:eastAsia="Arial" w:hAnsi="Arial"/>
                  <w:sz w:val="18"/>
                  <w:szCs w:val="18"/>
                  <w:u w:val="single" w:color="auto"/>
                  <w:color w:val="0000EE"/>
                  <w:w w:val="95"/>
                </w:rPr>
                <w:t>4.7</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2">
              <w:r>
                <w:rPr>
                  <w:rFonts w:ascii="Arial" w:cs="Arial" w:eastAsia="Arial" w:hAnsi="Arial"/>
                  <w:sz w:val="18"/>
                  <w:szCs w:val="18"/>
                  <w:u w:val="single" w:color="auto"/>
                  <w:color w:val="0000EE"/>
                  <w:w w:val="92"/>
                </w:rPr>
                <w:t>2/27/2020</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05"/>
        </w:trPr>
        <w:tc>
          <w:tcPr>
            <w:tcW w:w="600" w:type="dxa"/>
            <w:vAlign w:val="bottom"/>
          </w:tcPr>
          <w:p>
            <w:pPr>
              <w:jc w:val="center"/>
              <w:spacing w:after="0"/>
              <w:rPr>
                <w:rFonts w:ascii="Arial" w:cs="Arial" w:eastAsia="Arial" w:hAnsi="Arial"/>
                <w:sz w:val="18"/>
                <w:szCs w:val="18"/>
                <w:u w:val="single" w:color="auto"/>
                <w:color w:val="0000EE"/>
                <w:w w:val="97"/>
              </w:rPr>
            </w:pPr>
            <w:hyperlink r:id="rId233">
              <w:r>
                <w:rPr>
                  <w:rFonts w:ascii="Arial" w:cs="Arial" w:eastAsia="Arial" w:hAnsi="Arial"/>
                  <w:sz w:val="18"/>
                  <w:szCs w:val="18"/>
                  <w:u w:val="single" w:color="auto"/>
                  <w:color w:val="0000EE"/>
                  <w:w w:val="97"/>
                </w:rPr>
                <w:t>20-F</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001-38067</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89"/>
              </w:rPr>
            </w:pPr>
            <w:hyperlink r:id="rId233">
              <w:r>
                <w:rPr>
                  <w:rFonts w:ascii="Arial" w:cs="Arial" w:eastAsia="Arial" w:hAnsi="Arial"/>
                  <w:sz w:val="18"/>
                  <w:szCs w:val="18"/>
                  <w:u w:val="single" w:color="auto"/>
                  <w:color w:val="0000EE"/>
                  <w:w w:val="89"/>
                </w:rPr>
                <w:t>4.3.2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3">
              <w:r>
                <w:rPr>
                  <w:rFonts w:ascii="Arial" w:cs="Arial" w:eastAsia="Arial" w:hAnsi="Arial"/>
                  <w:sz w:val="18"/>
                  <w:szCs w:val="18"/>
                  <w:u w:val="single" w:color="auto"/>
                  <w:color w:val="0000EE"/>
                  <w:w w:val="92"/>
                </w:rPr>
                <w:t>3/19/2019</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04"/>
        </w:trPr>
        <w:tc>
          <w:tcPr>
            <w:tcW w:w="600" w:type="dxa"/>
            <w:vAlign w:val="bottom"/>
          </w:tcPr>
          <w:p>
            <w:pPr>
              <w:jc w:val="center"/>
              <w:spacing w:after="0"/>
              <w:rPr>
                <w:rFonts w:ascii="Arial" w:cs="Arial" w:eastAsia="Arial" w:hAnsi="Arial"/>
                <w:sz w:val="18"/>
                <w:szCs w:val="18"/>
                <w:u w:val="single" w:color="auto"/>
                <w:color w:val="0000EE"/>
                <w:w w:val="96"/>
              </w:rPr>
            </w:pPr>
            <w:hyperlink r:id="rId234">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4">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34">
              <w:r>
                <w:rPr>
                  <w:rFonts w:ascii="Arial" w:cs="Arial" w:eastAsia="Arial" w:hAnsi="Arial"/>
                  <w:sz w:val="18"/>
                  <w:szCs w:val="18"/>
                  <w:u w:val="single" w:color="auto"/>
                  <w:color w:val="0000EE"/>
                  <w:w w:val="91"/>
                </w:rPr>
                <w:t>10.9</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8"/>
        </w:trPr>
        <w:tc>
          <w:tcPr>
            <w:tcW w:w="600" w:type="dxa"/>
            <w:vAlign w:val="bottom"/>
          </w:tcPr>
          <w:p>
            <w:pPr>
              <w:jc w:val="center"/>
              <w:spacing w:after="0"/>
              <w:rPr>
                <w:rFonts w:ascii="Arial" w:cs="Arial" w:eastAsia="Arial" w:hAnsi="Arial"/>
                <w:sz w:val="18"/>
                <w:szCs w:val="18"/>
                <w:u w:val="single" w:color="auto"/>
                <w:color w:val="0000EE"/>
                <w:w w:val="96"/>
              </w:rPr>
            </w:pPr>
            <w:hyperlink r:id="rId235">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5">
              <w:r>
                <w:rPr>
                  <w:rFonts w:ascii="Arial" w:cs="Arial" w:eastAsia="Arial" w:hAnsi="Arial"/>
                  <w:sz w:val="18"/>
                  <w:szCs w:val="18"/>
                  <w:u w:val="single" w:color="auto"/>
                  <w:color w:val="0000EE"/>
                  <w:w w:val="93"/>
                </w:rPr>
                <w:t>333-247928</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5">
              <w:r>
                <w:rPr>
                  <w:rFonts w:ascii="Arial" w:cs="Arial" w:eastAsia="Arial" w:hAnsi="Arial"/>
                  <w:sz w:val="18"/>
                  <w:szCs w:val="18"/>
                  <w:u w:val="single" w:color="auto"/>
                  <w:color w:val="0000EE"/>
                  <w:w w:val="93"/>
                </w:rPr>
                <w:t>10.12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5">
              <w:r>
                <w:rPr>
                  <w:rFonts w:ascii="Arial" w:cs="Arial" w:eastAsia="Arial" w:hAnsi="Arial"/>
                  <w:sz w:val="18"/>
                  <w:szCs w:val="18"/>
                  <w:u w:val="single" w:color="auto"/>
                  <w:color w:val="0000EE"/>
                  <w:w w:val="92"/>
                </w:rPr>
                <w:t>8/17/2020</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9"/>
        </w:trPr>
        <w:tc>
          <w:tcPr>
            <w:tcW w:w="600" w:type="dxa"/>
            <w:vAlign w:val="bottom"/>
          </w:tcPr>
          <w:p>
            <w:pPr>
              <w:jc w:val="center"/>
              <w:spacing w:after="0"/>
              <w:rPr>
                <w:rFonts w:ascii="Arial" w:cs="Arial" w:eastAsia="Arial" w:hAnsi="Arial"/>
                <w:sz w:val="18"/>
                <w:szCs w:val="18"/>
                <w:u w:val="single" w:color="auto"/>
                <w:color w:val="0000EE"/>
                <w:w w:val="99"/>
              </w:rPr>
            </w:pPr>
            <w:hyperlink r:id="rId236">
              <w:r>
                <w:rPr>
                  <w:rFonts w:ascii="Arial" w:cs="Arial" w:eastAsia="Arial" w:hAnsi="Arial"/>
                  <w:sz w:val="18"/>
                  <w:szCs w:val="18"/>
                  <w:u w:val="single" w:color="auto"/>
                  <w:color w:val="0000EE"/>
                  <w:w w:val="99"/>
                </w:rPr>
                <w:t>F-1/A</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6">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6">
              <w:r>
                <w:rPr>
                  <w:rFonts w:ascii="Arial" w:cs="Arial" w:eastAsia="Arial" w:hAnsi="Arial"/>
                  <w:sz w:val="18"/>
                  <w:szCs w:val="18"/>
                  <w:u w:val="single" w:color="auto"/>
                  <w:color w:val="0000EE"/>
                  <w:w w:val="93"/>
                </w:rPr>
                <w:t>10.11.1</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6">
              <w:r>
                <w:rPr>
                  <w:rFonts w:ascii="Arial" w:cs="Arial" w:eastAsia="Arial" w:hAnsi="Arial"/>
                  <w:sz w:val="18"/>
                  <w:szCs w:val="18"/>
                  <w:u w:val="single" w:color="auto"/>
                  <w:color w:val="0000EE"/>
                  <w:w w:val="92"/>
                </w:rPr>
                <w:t>4/18/2017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73"/>
        </w:trPr>
        <w:tc>
          <w:tcPr>
            <w:tcW w:w="600" w:type="dxa"/>
            <w:vAlign w:val="bottom"/>
          </w:tcPr>
          <w:p>
            <w:pPr>
              <w:jc w:val="center"/>
              <w:spacing w:after="0"/>
              <w:rPr>
                <w:rFonts w:ascii="Arial" w:cs="Arial" w:eastAsia="Arial" w:hAnsi="Arial"/>
                <w:sz w:val="18"/>
                <w:szCs w:val="18"/>
                <w:u w:val="single" w:color="auto"/>
                <w:color w:val="0000EE"/>
                <w:w w:val="99"/>
              </w:rPr>
            </w:pPr>
            <w:hyperlink r:id="rId237">
              <w:r>
                <w:rPr>
                  <w:rFonts w:ascii="Arial" w:cs="Arial" w:eastAsia="Arial" w:hAnsi="Arial"/>
                  <w:sz w:val="18"/>
                  <w:szCs w:val="18"/>
                  <w:u w:val="single" w:color="auto"/>
                  <w:color w:val="0000EE"/>
                  <w:w w:val="99"/>
                </w:rPr>
                <w:t>F-1/A</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7">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7">
              <w:r>
                <w:rPr>
                  <w:rFonts w:ascii="Arial" w:cs="Arial" w:eastAsia="Arial" w:hAnsi="Arial"/>
                  <w:sz w:val="18"/>
                  <w:szCs w:val="18"/>
                  <w:u w:val="single" w:color="auto"/>
                  <w:color w:val="0000EE"/>
                  <w:w w:val="93"/>
                </w:rPr>
                <w:t>10.11.2</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37">
              <w:r>
                <w:rPr>
                  <w:rFonts w:ascii="Arial" w:cs="Arial" w:eastAsia="Arial" w:hAnsi="Arial"/>
                  <w:sz w:val="18"/>
                  <w:szCs w:val="18"/>
                  <w:u w:val="single" w:color="auto"/>
                  <w:color w:val="0000EE"/>
                  <w:w w:val="92"/>
                </w:rPr>
                <w:t>4/18/2017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72"/>
        </w:trPr>
        <w:tc>
          <w:tcPr>
            <w:tcW w:w="600" w:type="dxa"/>
            <w:vAlign w:val="bottom"/>
          </w:tcPr>
          <w:p>
            <w:pPr>
              <w:jc w:val="center"/>
              <w:spacing w:after="0"/>
              <w:rPr>
                <w:rFonts w:ascii="Arial" w:cs="Arial" w:eastAsia="Arial" w:hAnsi="Arial"/>
                <w:sz w:val="18"/>
                <w:szCs w:val="18"/>
                <w:u w:val="single" w:color="auto"/>
                <w:color w:val="0000EE"/>
                <w:w w:val="96"/>
              </w:rPr>
            </w:pPr>
            <w:hyperlink r:id="rId238">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8">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8">
              <w:r>
                <w:rPr>
                  <w:rFonts w:ascii="Arial" w:cs="Arial" w:eastAsia="Arial" w:hAnsi="Arial"/>
                  <w:sz w:val="18"/>
                  <w:szCs w:val="18"/>
                  <w:u w:val="single" w:color="auto"/>
                  <w:color w:val="0000EE"/>
                  <w:w w:val="93"/>
                </w:rPr>
                <w:t>10.12</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37"/>
        </w:trPr>
        <w:tc>
          <w:tcPr>
            <w:tcW w:w="600" w:type="dxa"/>
            <w:vAlign w:val="bottom"/>
          </w:tcPr>
          <w:p>
            <w:pPr>
              <w:jc w:val="center"/>
              <w:spacing w:after="0"/>
              <w:rPr>
                <w:rFonts w:ascii="Arial" w:cs="Arial" w:eastAsia="Arial" w:hAnsi="Arial"/>
                <w:sz w:val="18"/>
                <w:szCs w:val="18"/>
                <w:u w:val="single" w:color="auto"/>
                <w:color w:val="0000EE"/>
                <w:w w:val="96"/>
              </w:rPr>
            </w:pPr>
            <w:hyperlink r:id="rId239">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39">
              <w:r>
                <w:rPr>
                  <w:rFonts w:ascii="Arial" w:cs="Arial" w:eastAsia="Arial" w:hAnsi="Arial"/>
                  <w:sz w:val="18"/>
                  <w:szCs w:val="18"/>
                  <w:u w:val="single" w:color="auto"/>
                  <w:color w:val="0000EE"/>
                  <w:w w:val="93"/>
                </w:rPr>
                <w:t>333-217124</w:t>
              </w:r>
            </w:hyperlink>
          </w:p>
        </w:tc>
        <w:tc>
          <w:tcPr>
            <w:tcW w:w="200" w:type="dxa"/>
            <w:vAlign w:val="bottom"/>
          </w:tcPr>
          <w:p>
            <w:pPr>
              <w:spacing w:after="0"/>
              <w:rPr>
                <w:sz w:val="24"/>
                <w:szCs w:val="24"/>
                <w:color w:val="auto"/>
              </w:rPr>
            </w:pPr>
          </w:p>
        </w:tc>
        <w:tc>
          <w:tcPr>
            <w:tcW w:w="600" w:type="dxa"/>
            <w:vAlign w:val="bottom"/>
          </w:tcPr>
          <w:p>
            <w:pPr>
              <w:jc w:val="center"/>
              <w:spacing w:after="0"/>
              <w:rPr>
                <w:rFonts w:ascii="Arial" w:cs="Arial" w:eastAsia="Arial" w:hAnsi="Arial"/>
                <w:sz w:val="18"/>
                <w:szCs w:val="18"/>
                <w:u w:val="single" w:color="auto"/>
                <w:color w:val="0000EE"/>
                <w:w w:val="93"/>
              </w:rPr>
            </w:pPr>
            <w:hyperlink r:id="rId239">
              <w:r>
                <w:rPr>
                  <w:rFonts w:ascii="Arial" w:cs="Arial" w:eastAsia="Arial" w:hAnsi="Arial"/>
                  <w:sz w:val="18"/>
                  <w:szCs w:val="18"/>
                  <w:u w:val="single" w:color="auto"/>
                  <w:color w:val="0000EE"/>
                  <w:w w:val="93"/>
                </w:rPr>
                <w:t>10.13</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4/3/2017</w:t>
              </w:r>
            </w:hyperlink>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263525</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4900" w:space="220"/>
            <w:col w:w="501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Filing</w:t>
            </w:r>
          </w:p>
        </w:tc>
        <w:tc>
          <w:tcPr>
            <w:tcW w:w="2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Filed /</w:t>
            </w:r>
          </w:p>
        </w:tc>
      </w:tr>
      <w:tr>
        <w:trPr>
          <w:trHeight w:val="186"/>
        </w:trPr>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14"/>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Furnished</w:t>
            </w:r>
          </w:p>
        </w:tc>
      </w:tr>
      <w:tr>
        <w:trPr>
          <w:trHeight w:val="26"/>
        </w:trPr>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6"/>
        </w:trPr>
        <w:tc>
          <w:tcPr>
            <w:tcW w:w="660" w:type="dxa"/>
            <w:vAlign w:val="bottom"/>
          </w:tcPr>
          <w:p>
            <w:pPr>
              <w:spacing w:after="0" w:line="196" w:lineRule="exact"/>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10.17</w:t>
              </w:r>
            </w:hyperlink>
          </w:p>
        </w:tc>
        <w:tc>
          <w:tcPr>
            <w:tcW w:w="20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241">
              <w:r>
                <w:rPr>
                  <w:rFonts w:ascii="Arial" w:cs="Arial" w:eastAsia="Arial" w:hAnsi="Arial"/>
                  <w:sz w:val="18"/>
                  <w:szCs w:val="18"/>
                  <w:color w:val="0000EE"/>
                  <w:w w:val="95"/>
                </w:rPr>
                <w:t>Relationship Agreement relating to</w:t>
              </w:r>
            </w:hyperlink>
          </w:p>
        </w:tc>
        <w:tc>
          <w:tcPr>
            <w:tcW w:w="340" w:type="dxa"/>
            <w:vAlign w:val="bottom"/>
            <w:gridSpan w:val="4"/>
          </w:tcPr>
          <w:p>
            <w:pPr>
              <w:spacing w:after="0"/>
              <w:rPr>
                <w:sz w:val="17"/>
                <w:szCs w:val="17"/>
                <w:color w:val="auto"/>
              </w:rPr>
            </w:pPr>
          </w:p>
        </w:tc>
        <w:tc>
          <w:tcPr>
            <w:tcW w:w="600" w:type="dxa"/>
            <w:vAlign w:val="bottom"/>
          </w:tcPr>
          <w:p>
            <w:pPr>
              <w:jc w:val="center"/>
              <w:spacing w:after="0" w:line="196" w:lineRule="exact"/>
              <w:rPr>
                <w:rFonts w:ascii="Arial" w:cs="Arial" w:eastAsia="Arial" w:hAnsi="Arial"/>
                <w:sz w:val="18"/>
                <w:szCs w:val="18"/>
                <w:u w:val="single" w:color="auto"/>
                <w:color w:val="0000EE"/>
                <w:w w:val="96"/>
              </w:rPr>
            </w:pPr>
            <w:hyperlink r:id="rId241">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line="196" w:lineRule="exact"/>
              <w:rPr>
                <w:rFonts w:ascii="Arial" w:cs="Arial" w:eastAsia="Arial" w:hAnsi="Arial"/>
                <w:sz w:val="18"/>
                <w:szCs w:val="18"/>
                <w:u w:val="single" w:color="auto"/>
                <w:color w:val="0000EE"/>
                <w:w w:val="93"/>
              </w:rPr>
            </w:pPr>
            <w:hyperlink r:id="rId241">
              <w:r>
                <w:rPr>
                  <w:rFonts w:ascii="Arial" w:cs="Arial" w:eastAsia="Arial" w:hAnsi="Arial"/>
                  <w:sz w:val="18"/>
                  <w:szCs w:val="18"/>
                  <w:u w:val="single" w:color="auto"/>
                  <w:color w:val="0000EE"/>
                  <w:w w:val="93"/>
                </w:rPr>
                <w:t>333-217124</w:t>
              </w:r>
            </w:hyperlink>
          </w:p>
        </w:tc>
        <w:tc>
          <w:tcPr>
            <w:tcW w:w="200" w:type="dxa"/>
            <w:vAlign w:val="bottom"/>
          </w:tcPr>
          <w:p>
            <w:pPr>
              <w:spacing w:after="0"/>
              <w:rPr>
                <w:sz w:val="17"/>
                <w:szCs w:val="17"/>
                <w:color w:val="auto"/>
              </w:rPr>
            </w:pPr>
          </w:p>
        </w:tc>
        <w:tc>
          <w:tcPr>
            <w:tcW w:w="600" w:type="dxa"/>
            <w:vAlign w:val="bottom"/>
          </w:tcPr>
          <w:p>
            <w:pPr>
              <w:jc w:val="center"/>
              <w:spacing w:after="0" w:line="196" w:lineRule="exact"/>
              <w:rPr>
                <w:rFonts w:ascii="Arial" w:cs="Arial" w:eastAsia="Arial" w:hAnsi="Arial"/>
                <w:sz w:val="18"/>
                <w:szCs w:val="18"/>
                <w:u w:val="single" w:color="auto"/>
                <w:color w:val="0000EE"/>
                <w:w w:val="93"/>
              </w:rPr>
            </w:pPr>
            <w:hyperlink r:id="rId241">
              <w:r>
                <w:rPr>
                  <w:rFonts w:ascii="Arial" w:cs="Arial" w:eastAsia="Arial" w:hAnsi="Arial"/>
                  <w:sz w:val="18"/>
                  <w:szCs w:val="18"/>
                  <w:u w:val="single" w:color="auto"/>
                  <w:color w:val="0000EE"/>
                  <w:w w:val="93"/>
                </w:rPr>
                <w:t>10.14</w:t>
              </w:r>
            </w:hyperlink>
          </w:p>
        </w:tc>
        <w:tc>
          <w:tcPr>
            <w:tcW w:w="980" w:type="dxa"/>
            <w:vAlign w:val="bottom"/>
            <w:gridSpan w:val="2"/>
          </w:tcPr>
          <w:p>
            <w:pPr>
              <w:ind w:left="220"/>
              <w:spacing w:after="0" w:line="196" w:lineRule="exact"/>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4/3/2017</w:t>
              </w:r>
            </w:hyperlink>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Verona Pharma plc, dated July 29,</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41">
              <w:r>
                <w:rPr>
                  <w:rFonts w:ascii="Arial" w:cs="Arial" w:eastAsia="Arial" w:hAnsi="Arial"/>
                  <w:sz w:val="18"/>
                  <w:szCs w:val="18"/>
                  <w:color w:val="0000EE"/>
                  <w:w w:val="89"/>
                </w:rPr>
                <w:t>2016, by and among the Verona</w:t>
              </w:r>
            </w:hyperlink>
          </w:p>
        </w:tc>
        <w:tc>
          <w:tcPr>
            <w:tcW w:w="240" w:type="dxa"/>
            <w:vAlign w:val="bottom"/>
            <w:tcBorders>
              <w:top w:val="single" w:sz="8" w:color="0000EE"/>
            </w:tcBorders>
            <w:gridSpan w:val="5"/>
          </w:tcPr>
          <w:p>
            <w:pPr>
              <w:spacing w:after="0"/>
              <w:rPr>
                <w:sz w:val="17"/>
                <w:szCs w:val="17"/>
                <w:color w:val="auto"/>
              </w:rPr>
            </w:pPr>
          </w:p>
        </w:tc>
        <w:tc>
          <w:tcPr>
            <w:tcW w:w="42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Pharma plc, Vivo Ventures</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Fund VII, L.P., Vivo Ventures VII</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241">
              <w:r>
                <w:rPr>
                  <w:rFonts w:ascii="Arial" w:cs="Arial" w:eastAsia="Arial" w:hAnsi="Arial"/>
                  <w:sz w:val="18"/>
                  <w:szCs w:val="18"/>
                  <w:color w:val="0000EE"/>
                  <w:w w:val="97"/>
                </w:rPr>
                <w:t>Affiliates Fund, L.P., Vivo Ventures</w:t>
              </w:r>
            </w:hyperlink>
          </w:p>
        </w:tc>
        <w:tc>
          <w:tcPr>
            <w:tcW w:w="2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Fund VI, L.P., Vivo Ventures VI</w:t>
              </w:r>
            </w:hyperlink>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Affiliates Fund, L.P. and NPlus1</w:t>
              </w:r>
            </w:hyperlink>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Singer Advisory LLP</w:t>
              </w:r>
            </w:hyperlink>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6"/>
        </w:trPr>
        <w:tc>
          <w:tcPr>
            <w:tcW w:w="660" w:type="dxa"/>
            <w:vAlign w:val="bottom"/>
          </w:tcPr>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10.18</w:t>
              </w:r>
            </w:hyperlink>
          </w:p>
        </w:tc>
        <w:tc>
          <w:tcPr>
            <w:tcW w:w="200" w:type="dxa"/>
            <w:vAlign w:val="bottom"/>
          </w:tcPr>
          <w:p>
            <w:pPr>
              <w:spacing w:after="0"/>
              <w:rPr>
                <w:sz w:val="18"/>
                <w:szCs w:val="18"/>
                <w:color w:val="auto"/>
              </w:rPr>
            </w:pPr>
          </w:p>
        </w:tc>
        <w:tc>
          <w:tcPr>
            <w:tcW w:w="3000" w:type="dxa"/>
            <w:vAlign w:val="bottom"/>
            <w:gridSpan w:val="16"/>
          </w:tcPr>
          <w:p>
            <w:pPr>
              <w:spacing w:after="0"/>
              <w:rPr>
                <w:rFonts w:ascii="Arial" w:cs="Arial" w:eastAsia="Arial" w:hAnsi="Arial"/>
                <w:sz w:val="18"/>
                <w:szCs w:val="18"/>
                <w:color w:val="0000EE"/>
              </w:rPr>
            </w:pPr>
            <w:hyperlink r:id="rId219">
              <w:r>
                <w:rPr>
                  <w:rFonts w:ascii="Arial" w:cs="Arial" w:eastAsia="Arial" w:hAnsi="Arial"/>
                  <w:sz w:val="18"/>
                  <w:szCs w:val="18"/>
                  <w:color w:val="0000EE"/>
                </w:rPr>
                <w:t>Securities Purchase Agreement,</w:t>
              </w:r>
            </w:hyperlink>
          </w:p>
        </w:tc>
        <w:tc>
          <w:tcPr>
            <w:tcW w:w="600" w:type="dxa"/>
            <w:vAlign w:val="bottom"/>
          </w:tcPr>
          <w:p>
            <w:pPr>
              <w:jc w:val="center"/>
              <w:spacing w:after="0"/>
              <w:rPr>
                <w:rFonts w:ascii="Arial" w:cs="Arial" w:eastAsia="Arial" w:hAnsi="Arial"/>
                <w:sz w:val="18"/>
                <w:szCs w:val="18"/>
                <w:u w:val="single" w:color="auto"/>
                <w:color w:val="0000EE"/>
                <w:w w:val="99"/>
              </w:rPr>
            </w:pPr>
            <w:hyperlink r:id="rId219">
              <w:r>
                <w:rPr>
                  <w:rFonts w:ascii="Arial" w:cs="Arial" w:eastAsia="Arial" w:hAnsi="Arial"/>
                  <w:sz w:val="18"/>
                  <w:szCs w:val="18"/>
                  <w:u w:val="single" w:color="auto"/>
                  <w:color w:val="0000EE"/>
                  <w:w w:val="99"/>
                </w:rPr>
                <w:t>6-K</w:t>
              </w:r>
            </w:hyperlink>
          </w:p>
        </w:tc>
        <w:tc>
          <w:tcPr>
            <w:tcW w:w="1140" w:type="dxa"/>
            <w:vAlign w:val="bottom"/>
            <w:gridSpan w:val="2"/>
          </w:tcPr>
          <w:p>
            <w:pPr>
              <w:ind w:left="220"/>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01-38067</w:t>
              </w:r>
            </w:hyperlink>
          </w:p>
        </w:tc>
        <w:tc>
          <w:tcPr>
            <w:tcW w:w="200" w:type="dxa"/>
            <w:vAlign w:val="bottom"/>
          </w:tcPr>
          <w:p>
            <w:pPr>
              <w:spacing w:after="0"/>
              <w:rPr>
                <w:sz w:val="18"/>
                <w:szCs w:val="18"/>
                <w:color w:val="auto"/>
              </w:rPr>
            </w:pPr>
          </w:p>
        </w:tc>
        <w:tc>
          <w:tcPr>
            <w:tcW w:w="600" w:type="dxa"/>
            <w:vAlign w:val="bottom"/>
          </w:tcPr>
          <w:p>
            <w:pPr>
              <w:jc w:val="center"/>
              <w:spacing w:after="0"/>
              <w:rPr>
                <w:rFonts w:ascii="Arial" w:cs="Arial" w:eastAsia="Arial" w:hAnsi="Arial"/>
                <w:sz w:val="18"/>
                <w:szCs w:val="18"/>
                <w:u w:val="single" w:color="auto"/>
                <w:color w:val="0000EE"/>
                <w:w w:val="79"/>
              </w:rPr>
            </w:pPr>
            <w:hyperlink r:id="rId219">
              <w:r>
                <w:rPr>
                  <w:rFonts w:ascii="Arial" w:cs="Arial" w:eastAsia="Arial" w:hAnsi="Arial"/>
                  <w:sz w:val="18"/>
                  <w:szCs w:val="18"/>
                  <w:u w:val="single" w:color="auto"/>
                  <w:color w:val="0000EE"/>
                  <w:w w:val="79"/>
                </w:rPr>
                <w:t>1</w:t>
              </w:r>
            </w:hyperlink>
          </w:p>
        </w:tc>
        <w:tc>
          <w:tcPr>
            <w:tcW w:w="980" w:type="dxa"/>
            <w:vAlign w:val="bottom"/>
            <w:gridSpan w:val="2"/>
          </w:tcPr>
          <w:p>
            <w:pPr>
              <w:ind w:left="220"/>
              <w:spacing w:after="0"/>
              <w:rPr>
                <w:rFonts w:ascii="Arial" w:cs="Arial" w:eastAsia="Arial" w:hAnsi="Arial"/>
                <w:sz w:val="18"/>
                <w:szCs w:val="18"/>
                <w:u w:val="single" w:color="auto"/>
                <w:color w:val="0000EE"/>
                <w:w w:val="92"/>
              </w:rPr>
            </w:pPr>
            <w:hyperlink r:id="rId219">
              <w:r>
                <w:rPr>
                  <w:rFonts w:ascii="Arial" w:cs="Arial" w:eastAsia="Arial" w:hAnsi="Arial"/>
                  <w:sz w:val="18"/>
                  <w:szCs w:val="18"/>
                  <w:u w:val="single" w:color="auto"/>
                  <w:color w:val="0000EE"/>
                  <w:w w:val="92"/>
                </w:rPr>
                <w:t>7/22/2020</w:t>
              </w:r>
            </w:hyperlink>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219">
              <w:r>
                <w:rPr>
                  <w:rFonts w:ascii="Arial" w:cs="Arial" w:eastAsia="Arial" w:hAnsi="Arial"/>
                  <w:sz w:val="18"/>
                  <w:szCs w:val="18"/>
                  <w:color w:val="0000EE"/>
                  <w:w w:val="95"/>
                </w:rPr>
                <w:t>dated as of July 17, 2020, by and</w:t>
              </w:r>
            </w:hyperlink>
          </w:p>
        </w:tc>
        <w:tc>
          <w:tcPr>
            <w:tcW w:w="44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among Verona Pharma plc and the</w:t>
              </w:r>
            </w:hyperlink>
          </w:p>
        </w:tc>
        <w:tc>
          <w:tcPr>
            <w:tcW w:w="4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investors set forth therein</w:t>
              </w:r>
            </w:hyperlink>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660" w:type="dxa"/>
            <w:vAlign w:val="bottom"/>
          </w:tcPr>
          <w:p>
            <w:pPr>
              <w:spacing w:after="0"/>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21.1</w:t>
              </w:r>
            </w:hyperlink>
          </w:p>
        </w:tc>
        <w:tc>
          <w:tcPr>
            <w:tcW w:w="200" w:type="dxa"/>
            <w:vAlign w:val="bottom"/>
          </w:tcPr>
          <w:p>
            <w:pPr>
              <w:spacing w:after="0"/>
              <w:rPr>
                <w:sz w:val="23"/>
                <w:szCs w:val="23"/>
                <w:color w:val="auto"/>
              </w:rPr>
            </w:pPr>
          </w:p>
        </w:tc>
        <w:tc>
          <w:tcPr>
            <w:tcW w:w="3000" w:type="dxa"/>
            <w:vAlign w:val="bottom"/>
            <w:gridSpan w:val="16"/>
          </w:tcPr>
          <w:p>
            <w:pPr>
              <w:spacing w:after="0"/>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List of Subsidiaries</w:t>
              </w:r>
            </w:hyperlink>
          </w:p>
        </w:tc>
        <w:tc>
          <w:tcPr>
            <w:tcW w:w="600" w:type="dxa"/>
            <w:vAlign w:val="bottom"/>
          </w:tcPr>
          <w:p>
            <w:pPr>
              <w:jc w:val="center"/>
              <w:spacing w:after="0"/>
              <w:rPr>
                <w:rFonts w:ascii="Arial" w:cs="Arial" w:eastAsia="Arial" w:hAnsi="Arial"/>
                <w:sz w:val="18"/>
                <w:szCs w:val="18"/>
                <w:u w:val="single" w:color="auto"/>
                <w:color w:val="0000EE"/>
                <w:w w:val="96"/>
              </w:rPr>
            </w:pPr>
            <w:hyperlink r:id="rId242">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r:id="rId242">
              <w:r>
                <w:rPr>
                  <w:rFonts w:ascii="Arial" w:cs="Arial" w:eastAsia="Arial" w:hAnsi="Arial"/>
                  <w:sz w:val="18"/>
                  <w:szCs w:val="18"/>
                  <w:u w:val="single" w:color="auto"/>
                  <w:color w:val="0000EE"/>
                  <w:w w:val="93"/>
                </w:rPr>
                <w:t>333-217124</w:t>
              </w:r>
            </w:hyperlink>
          </w:p>
        </w:tc>
        <w:tc>
          <w:tcPr>
            <w:tcW w:w="200" w:type="dxa"/>
            <w:vAlign w:val="bottom"/>
          </w:tcPr>
          <w:p>
            <w:pPr>
              <w:spacing w:after="0"/>
              <w:rPr>
                <w:sz w:val="23"/>
                <w:szCs w:val="23"/>
                <w:color w:val="auto"/>
              </w:rPr>
            </w:pPr>
          </w:p>
        </w:tc>
        <w:tc>
          <w:tcPr>
            <w:tcW w:w="600" w:type="dxa"/>
            <w:vAlign w:val="bottom"/>
          </w:tcPr>
          <w:p>
            <w:pPr>
              <w:jc w:val="center"/>
              <w:spacing w:after="0"/>
              <w:rPr>
                <w:rFonts w:ascii="Arial" w:cs="Arial" w:eastAsia="Arial" w:hAnsi="Arial"/>
                <w:sz w:val="18"/>
                <w:szCs w:val="18"/>
                <w:u w:val="single" w:color="auto"/>
                <w:color w:val="0000EE"/>
                <w:w w:val="91"/>
              </w:rPr>
            </w:pPr>
            <w:hyperlink r:id="rId242">
              <w:r>
                <w:rPr>
                  <w:rFonts w:ascii="Arial" w:cs="Arial" w:eastAsia="Arial" w:hAnsi="Arial"/>
                  <w:sz w:val="18"/>
                  <w:szCs w:val="18"/>
                  <w:u w:val="single" w:color="auto"/>
                  <w:color w:val="0000EE"/>
                  <w:w w:val="91"/>
                </w:rPr>
                <w:t>21.1</w:t>
              </w:r>
            </w:hyperlink>
          </w:p>
        </w:tc>
        <w:tc>
          <w:tcPr>
            <w:tcW w:w="980" w:type="dxa"/>
            <w:vAlign w:val="bottom"/>
            <w:gridSpan w:val="2"/>
          </w:tcPr>
          <w:p>
            <w:pPr>
              <w:ind w:left="220"/>
              <w:spacing w:after="0"/>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4/3/2017</w:t>
              </w:r>
            </w:hyperlink>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02"/>
        </w:trPr>
        <w:tc>
          <w:tcPr>
            <w:tcW w:w="660" w:type="dxa"/>
            <w:vAlign w:val="bottom"/>
          </w:tcPr>
          <w:p>
            <w:pPr>
              <w:spacing w:after="0" w:line="202"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23.1</w:t>
              </w:r>
            </w:hyperlink>
          </w:p>
        </w:tc>
        <w:tc>
          <w:tcPr>
            <w:tcW w:w="20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202"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Consent of PricewaterhouseCoopers</w:t>
              </w:r>
            </w:hyperlink>
          </w:p>
        </w:tc>
        <w:tc>
          <w:tcPr>
            <w:tcW w:w="2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gridSpan w:val="2"/>
          </w:tcPr>
          <w:p>
            <w:pPr>
              <w:jc w:val="right"/>
              <w:spacing w:after="0" w:line="202"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110">
              <w:r>
                <w:rPr>
                  <w:rFonts w:ascii="Arial" w:cs="Arial" w:eastAsia="Arial" w:hAnsi="Arial"/>
                  <w:sz w:val="18"/>
                  <w:szCs w:val="18"/>
                  <w:color w:val="0000EE"/>
                  <w:w w:val="99"/>
                </w:rPr>
                <w:t>LLP</w:t>
              </w:r>
            </w:hyperlink>
          </w:p>
        </w:tc>
        <w:tc>
          <w:tcPr>
            <w:tcW w:w="266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7"/>
        </w:trPr>
        <w:tc>
          <w:tcPr>
            <w:tcW w:w="66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23.2</w:t>
              </w:r>
            </w:hyperlink>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Consent of Latham &amp; Watkins,</w:t>
              </w:r>
            </w:hyperlink>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2"/>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04">
              <w:r>
                <w:rPr>
                  <w:rFonts w:ascii="Arial" w:cs="Arial" w:eastAsia="Arial" w:hAnsi="Arial"/>
                  <w:sz w:val="18"/>
                  <w:szCs w:val="18"/>
                  <w:color w:val="0000EE"/>
                  <w:w w:val="95"/>
                </w:rPr>
                <w:t>counsel to registrant (included in</w:t>
              </w:r>
            </w:hyperlink>
          </w:p>
        </w:tc>
        <w:tc>
          <w:tcPr>
            <w:tcW w:w="50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Exhibit 5.1)</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6"/>
        </w:trPr>
        <w:tc>
          <w:tcPr>
            <w:tcW w:w="66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24.1</w:t>
              </w:r>
            </w:hyperlink>
          </w:p>
        </w:tc>
        <w:tc>
          <w:tcPr>
            <w:tcW w:w="200" w:type="dxa"/>
            <w:vAlign w:val="bottom"/>
          </w:tcPr>
          <w:p>
            <w:pPr>
              <w:spacing w:after="0"/>
              <w:rPr>
                <w:sz w:val="20"/>
                <w:szCs w:val="20"/>
                <w:color w:val="auto"/>
              </w:rPr>
            </w:pPr>
          </w:p>
        </w:tc>
        <w:tc>
          <w:tcPr>
            <w:tcW w:w="3000" w:type="dxa"/>
            <w:vAlign w:val="bottom"/>
            <w:gridSpan w:val="1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Powers of attorney (included on</w:t>
              </w:r>
            </w:hyperlink>
          </w:p>
        </w:tc>
        <w:tc>
          <w:tcPr>
            <w:tcW w:w="600" w:type="dxa"/>
            <w:vAlign w:val="bottom"/>
          </w:tcPr>
          <w:p>
            <w:pPr>
              <w:jc w:val="center"/>
              <w:spacing w:after="0"/>
              <w:rPr>
                <w:rFonts w:ascii="Arial" w:cs="Arial" w:eastAsia="Arial" w:hAnsi="Arial"/>
                <w:sz w:val="18"/>
                <w:szCs w:val="18"/>
                <w:u w:val="single" w:color="auto"/>
                <w:color w:val="0000EE"/>
                <w:w w:val="96"/>
              </w:rPr>
            </w:pPr>
            <w:hyperlink w:anchor="page100">
              <w:r>
                <w:rPr>
                  <w:rFonts w:ascii="Arial" w:cs="Arial" w:eastAsia="Arial" w:hAnsi="Arial"/>
                  <w:sz w:val="18"/>
                  <w:szCs w:val="18"/>
                  <w:u w:val="single" w:color="auto"/>
                  <w:color w:val="0000EE"/>
                  <w:w w:val="96"/>
                </w:rPr>
                <w:t>F-1</w:t>
              </w:r>
            </w:hyperlink>
          </w:p>
        </w:tc>
        <w:tc>
          <w:tcPr>
            <w:tcW w:w="1140" w:type="dxa"/>
            <w:vAlign w:val="bottom"/>
            <w:gridSpan w:val="2"/>
          </w:tcPr>
          <w:p>
            <w:pPr>
              <w:ind w:left="220"/>
              <w:spacing w:after="0"/>
              <w:rPr>
                <w:rFonts w:ascii="Arial" w:cs="Arial" w:eastAsia="Arial" w:hAnsi="Arial"/>
                <w:sz w:val="18"/>
                <w:szCs w:val="18"/>
                <w:u w:val="single" w:color="auto"/>
                <w:color w:val="0000EE"/>
                <w:w w:val="93"/>
              </w:rPr>
            </w:pPr>
            <w:hyperlink w:anchor="page100">
              <w:r>
                <w:rPr>
                  <w:rFonts w:ascii="Arial" w:cs="Arial" w:eastAsia="Arial" w:hAnsi="Arial"/>
                  <w:sz w:val="18"/>
                  <w:szCs w:val="18"/>
                  <w:u w:val="single" w:color="auto"/>
                  <w:color w:val="0000EE"/>
                  <w:w w:val="93"/>
                </w:rPr>
                <w:t>333-247928</w:t>
              </w:r>
            </w:hyperlink>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2"/>
          </w:tcPr>
          <w:p>
            <w:pPr>
              <w:ind w:left="220"/>
              <w:spacing w:after="0"/>
              <w:rPr>
                <w:rFonts w:ascii="Arial" w:cs="Arial" w:eastAsia="Arial" w:hAnsi="Arial"/>
                <w:sz w:val="18"/>
                <w:szCs w:val="18"/>
                <w:u w:val="single" w:color="auto"/>
                <w:color w:val="0000EE"/>
                <w:w w:val="92"/>
              </w:rPr>
            </w:pPr>
            <w:hyperlink w:anchor="page100">
              <w:r>
                <w:rPr>
                  <w:rFonts w:ascii="Arial" w:cs="Arial" w:eastAsia="Arial" w:hAnsi="Arial"/>
                  <w:sz w:val="18"/>
                  <w:szCs w:val="18"/>
                  <w:u w:val="single" w:color="auto"/>
                  <w:color w:val="0000EE"/>
                  <w:w w:val="92"/>
                </w:rPr>
                <w:t>8/17/2020</w:t>
              </w:r>
            </w:hyperlink>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1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signature page to the registration</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statement)</w:t>
              </w:r>
            </w:hyperlink>
          </w:p>
        </w:tc>
        <w:tc>
          <w:tcPr>
            <w:tcW w:w="1680" w:type="dxa"/>
            <w:vAlign w:val="bottom"/>
            <w:tcBorders>
              <w:top w:val="single" w:sz="8" w:color="0000EE"/>
            </w:tcBorders>
            <w:gridSpan w:val="5"/>
          </w:tcPr>
          <w:p>
            <w:pPr>
              <w:spacing w:after="0"/>
              <w:rPr>
                <w:sz w:val="17"/>
                <w:szCs w:val="17"/>
                <w:color w:val="auto"/>
              </w:rPr>
            </w:pPr>
          </w:p>
        </w:tc>
        <w:tc>
          <w:tcPr>
            <w:tcW w:w="52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162560</wp:posOffset>
            </wp:positionV>
            <wp:extent cx="12344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hanging="358"/>
        <w:spacing w:after="0"/>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620" w:hanging="35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ind w:left="1620" w:right="959" w:hanging="358"/>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the exhibit. Confidential materials omitted and filed separately with the SEC.</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undersigned registrant hereby undertakes:</w:t>
      </w:r>
    </w:p>
    <w:p>
      <w:pPr>
        <w:spacing w:after="0" w:line="144" w:lineRule="exact"/>
        <w:rPr>
          <w:sz w:val="20"/>
          <w:szCs w:val="20"/>
          <w:color w:val="auto"/>
        </w:rPr>
      </w:pPr>
    </w:p>
    <w:p>
      <w:pPr>
        <w:ind w:left="1980" w:right="839" w:hanging="358"/>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sz w:val="20"/>
          <w:szCs w:val="20"/>
          <w:color w:val="auto"/>
        </w:rPr>
      </w:pPr>
    </w:p>
    <w:p>
      <w:pPr>
        <w:ind w:left="1980" w:hanging="358"/>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980" w:right="719" w:hanging="358"/>
        <w:spacing w:after="0" w:line="253"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3" w:lineRule="exact"/>
        <w:rPr>
          <w:rFonts w:ascii="Arial" w:cs="Arial" w:eastAsia="Arial" w:hAnsi="Arial"/>
          <w:sz w:val="18"/>
          <w:szCs w:val="18"/>
          <w:color w:val="auto"/>
        </w:rPr>
      </w:pPr>
    </w:p>
    <w:p>
      <w:pPr>
        <w:ind w:left="1980" w:right="1359" w:hanging="358"/>
        <w:spacing w:after="0" w:line="263"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left="1620" w:right="799"/>
        <w:spacing w:after="0" w:line="24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w:t>
      </w:r>
    </w:p>
    <w:p>
      <w:pPr>
        <w:sectPr>
          <w:pgSz w:w="11900" w:h="16838" w:orient="portrait"/>
          <w:cols w:equalWidth="0" w:num="1">
            <w:col w:w="10139"/>
          </w:cols>
          <w:pgMar w:left="32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43" w:lineRule="auto"/>
        <w:rPr>
          <w:sz w:val="20"/>
          <w:szCs w:val="20"/>
          <w:color w:val="auto"/>
        </w:rPr>
      </w:pPr>
      <w:r>
        <w:rPr>
          <w:rFonts w:ascii="Arial" w:cs="Arial" w:eastAsia="Arial" w:hAnsi="Arial"/>
          <w:sz w:val="18"/>
          <w:szCs w:val="18"/>
          <w:color w:val="auto"/>
        </w:rPr>
        <w:t>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07" w:lineRule="exact"/>
        <w:rPr>
          <w:sz w:val="20"/>
          <w:szCs w:val="20"/>
          <w:color w:val="auto"/>
        </w:rPr>
      </w:pPr>
    </w:p>
    <w:p>
      <w:pPr>
        <w:ind w:left="1620" w:right="979" w:hanging="358"/>
        <w:spacing w:after="0" w:line="259"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1620" w:right="1259" w:hanging="358"/>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620" w:right="679" w:hanging="358"/>
        <w:spacing w:after="0" w:line="269" w:lineRule="auto"/>
        <w:tabs>
          <w:tab w:leader="none" w:pos="1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97" w:lineRule="exact"/>
        <w:rPr>
          <w:rFonts w:ascii="Arial" w:cs="Arial" w:eastAsia="Arial" w:hAnsi="Arial"/>
          <w:sz w:val="17"/>
          <w:szCs w:val="17"/>
          <w:color w:val="auto"/>
        </w:rPr>
      </w:pPr>
    </w:p>
    <w:p>
      <w:pPr>
        <w:ind w:left="1620" w:hanging="358"/>
        <w:spacing w:after="0"/>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57" w:lineRule="exact"/>
        <w:rPr>
          <w:rFonts w:ascii="Arial" w:cs="Arial" w:eastAsia="Arial" w:hAnsi="Arial"/>
          <w:sz w:val="18"/>
          <w:szCs w:val="18"/>
          <w:color w:val="auto"/>
        </w:rPr>
      </w:pPr>
    </w:p>
    <w:p>
      <w:pPr>
        <w:ind w:left="1620" w:right="739" w:firstLine="2"/>
        <w:spacing w:after="0" w:line="248" w:lineRule="auto"/>
        <w:tabs>
          <w:tab w:leader="none" w:pos="1929"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4" w:lineRule="exact"/>
        <w:rPr>
          <w:rFonts w:ascii="Arial" w:cs="Arial" w:eastAsia="Arial" w:hAnsi="Arial"/>
          <w:sz w:val="18"/>
          <w:szCs w:val="18"/>
          <w:color w:val="auto"/>
        </w:rPr>
      </w:pPr>
    </w:p>
    <w:p>
      <w:pPr>
        <w:ind w:left="1620" w:right="739" w:firstLine="2"/>
        <w:spacing w:after="0" w:line="236" w:lineRule="auto"/>
        <w:tabs>
          <w:tab w:leader="none" w:pos="19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 (i),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8" w:lineRule="exact"/>
        <w:rPr>
          <w:rFonts w:ascii="Arial" w:cs="Arial" w:eastAsia="Arial" w:hAnsi="Arial"/>
          <w:sz w:val="18"/>
          <w:szCs w:val="18"/>
          <w:color w:val="auto"/>
        </w:rPr>
      </w:pPr>
    </w:p>
    <w:p>
      <w:pPr>
        <w:ind w:left="1620" w:right="879" w:hanging="358"/>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103" w:lineRule="exact"/>
        <w:rPr>
          <w:sz w:val="20"/>
          <w:szCs w:val="20"/>
          <w:color w:val="auto"/>
        </w:rPr>
      </w:pPr>
    </w:p>
    <w:p>
      <w:pPr>
        <w:ind w:left="1620" w:right="719"/>
        <w:spacing w:after="0" w:line="241"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8" w:lineRule="exact"/>
        <w:rPr>
          <w:sz w:val="20"/>
          <w:szCs w:val="20"/>
          <w:color w:val="auto"/>
        </w:rPr>
      </w:pPr>
    </w:p>
    <w:p>
      <w:pPr>
        <w:ind w:left="1980" w:right="1019" w:hanging="358"/>
        <w:spacing w:after="0" w:line="27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939" w:hanging="358"/>
        <w:spacing w:after="0" w:line="277" w:lineRule="auto"/>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9" w:lineRule="exact"/>
        <w:rPr>
          <w:rFonts w:ascii="Arial" w:cs="Arial" w:eastAsia="Arial" w:hAnsi="Arial"/>
          <w:sz w:val="18"/>
          <w:szCs w:val="18"/>
          <w:color w:val="auto"/>
        </w:rPr>
      </w:pPr>
    </w:p>
    <w:p>
      <w:pPr>
        <w:ind w:left="1980" w:right="859" w:hanging="358"/>
        <w:spacing w:after="0" w:line="263" w:lineRule="auto"/>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prepared by or on behalf of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980" w:right="939" w:hanging="358"/>
        <w:spacing w:after="0" w:line="277" w:lineRule="auto"/>
        <w:tabs>
          <w:tab w:leader="none" w:pos="1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102" w:lineRule="exact"/>
        <w:rPr>
          <w:rFonts w:ascii="Arial" w:cs="Arial" w:eastAsia="Arial" w:hAnsi="Arial"/>
          <w:sz w:val="18"/>
          <w:szCs w:val="18"/>
          <w:color w:val="auto"/>
        </w:rPr>
      </w:pPr>
    </w:p>
    <w:p>
      <w:pPr>
        <w:ind w:left="1260" w:right="819" w:firstLine="2"/>
        <w:spacing w:after="0" w:line="274" w:lineRule="auto"/>
        <w:tabs>
          <w:tab w:leader="none" w:pos="162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w:t>
      </w:r>
    </w:p>
    <w:p>
      <w:pPr>
        <w:ind w:left="1260" w:right="879"/>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9" w:lineRule="exact"/>
        <w:rPr>
          <w:rFonts w:ascii="Arial" w:cs="Arial" w:eastAsia="Arial" w:hAnsi="Arial"/>
          <w:sz w:val="17"/>
          <w:szCs w:val="17"/>
          <w:color w:val="auto"/>
        </w:rPr>
      </w:pPr>
    </w:p>
    <w:p>
      <w:pPr>
        <w:ind w:left="1260" w:right="679" w:firstLine="2"/>
        <w:spacing w:after="0" w:line="253" w:lineRule="auto"/>
        <w:tabs>
          <w:tab w:leader="none" w:pos="16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City of London, the United Kingdom on August 25, 2020.</w:t>
      </w:r>
    </w:p>
    <w:p>
      <w:pPr>
        <w:spacing w:after="0" w:line="2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VERONA PHARMA PLC</w:t>
      </w:r>
    </w:p>
    <w:p>
      <w:pPr>
        <w:spacing w:after="0" w:line="200" w:lineRule="exact"/>
        <w:rPr>
          <w:sz w:val="20"/>
          <w:szCs w:val="20"/>
          <w:color w:val="auto"/>
        </w:rPr>
      </w:pPr>
    </w:p>
    <w:p>
      <w:pPr>
        <w:spacing w:after="0" w:line="286" w:lineRule="exact"/>
        <w:rPr>
          <w:sz w:val="20"/>
          <w:szCs w:val="20"/>
          <w:color w:val="auto"/>
        </w:rPr>
      </w:pPr>
    </w:p>
    <w:p>
      <w:pPr>
        <w:ind w:left="4840"/>
        <w:spacing w:after="0"/>
        <w:tabs>
          <w:tab w:leader="none" w:pos="5340" w:val="left"/>
        </w:tabs>
        <w:rPr>
          <w:sz w:val="20"/>
          <w:szCs w:val="20"/>
          <w:color w:val="auto"/>
        </w:rPr>
      </w:pPr>
      <w:r>
        <w:rPr>
          <w:rFonts w:ascii="Arial" w:cs="Arial" w:eastAsia="Arial" w:hAnsi="Arial"/>
          <w:sz w:val="18"/>
          <w:szCs w:val="18"/>
          <w:color w:val="auto"/>
        </w:rPr>
        <w:t>By:</w:t>
        <w:tab/>
        <w:t>/s/ David Zaccardelli, Pharm.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31750</wp:posOffset>
            </wp:positionV>
            <wp:extent cx="25800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24" w:lineRule="exact"/>
        <w:rPr>
          <w:sz w:val="20"/>
          <w:szCs w:val="20"/>
          <w:color w:val="auto"/>
        </w:rPr>
      </w:pPr>
    </w:p>
    <w:p>
      <w:pPr>
        <w:ind w:left="5360"/>
        <w:spacing w:after="0"/>
        <w:tabs>
          <w:tab w:leader="none" w:pos="6040" w:val="left"/>
        </w:tabs>
        <w:rPr>
          <w:sz w:val="20"/>
          <w:szCs w:val="20"/>
          <w:color w:val="auto"/>
        </w:rPr>
      </w:pPr>
      <w:r>
        <w:rPr>
          <w:rFonts w:ascii="Arial" w:cs="Arial" w:eastAsia="Arial" w:hAnsi="Arial"/>
          <w:sz w:val="18"/>
          <w:szCs w:val="18"/>
          <w:color w:val="auto"/>
        </w:rPr>
        <w:t>Name:</w:t>
        <w:tab/>
        <w:t>David Zaccardelli, Pharm. D</w:t>
      </w:r>
    </w:p>
    <w:p>
      <w:pPr>
        <w:spacing w:after="0" w:line="23" w:lineRule="exact"/>
        <w:rPr>
          <w:sz w:val="20"/>
          <w:szCs w:val="20"/>
          <w:color w:val="auto"/>
        </w:rPr>
      </w:pPr>
    </w:p>
    <w:p>
      <w:pPr>
        <w:ind w:left="5360"/>
        <w:spacing w:after="0"/>
        <w:tabs>
          <w:tab w:leader="none" w:pos="6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30"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August 25, 2020 in the capacities indicated:</w:t>
      </w:r>
    </w:p>
    <w:p>
      <w:pPr>
        <w:spacing w:after="0" w:line="108" w:lineRule="exact"/>
        <w:rPr>
          <w:sz w:val="20"/>
          <w:szCs w:val="20"/>
          <w:color w:val="auto"/>
        </w:rPr>
      </w:pPr>
    </w:p>
    <w:p>
      <w:pPr>
        <w:ind w:left="3080"/>
        <w:spacing w:after="0"/>
        <w:tabs>
          <w:tab w:leader="none" w:pos="73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David Zaccardelli</w:t>
      </w:r>
    </w:p>
    <w:p>
      <w:pPr>
        <w:spacing w:after="0" w:line="374"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Mark W. Hahn</w:t>
      </w:r>
    </w:p>
    <w:p>
      <w:pPr>
        <w:spacing w:after="0" w:line="200" w:lineRule="exact"/>
        <w:rPr>
          <w:sz w:val="20"/>
          <w:szCs w:val="20"/>
          <w:color w:val="auto"/>
        </w:rPr>
      </w:pPr>
    </w:p>
    <w:p>
      <w:pPr>
        <w:spacing w:after="0" w:line="255"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7"/>
          <w:szCs w:val="17"/>
          <w:color w:val="auto"/>
        </w:rPr>
        <w:t>David Ebsworth, Ph.D.</w:t>
      </w:r>
    </w:p>
    <w:p>
      <w:pPr>
        <w:spacing w:after="0" w:line="385"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7"/>
          <w:szCs w:val="17"/>
          <w:color w:val="auto"/>
        </w:rPr>
        <w:t>Ken Cunningham, M.D.</w:t>
      </w:r>
    </w:p>
    <w:p>
      <w:pPr>
        <w:spacing w:after="0" w:line="385"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Rishi Gupta</w:t>
      </w:r>
    </w:p>
    <w:p>
      <w:pPr>
        <w:spacing w:after="0" w:line="374"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7"/>
          <w:szCs w:val="17"/>
          <w:color w:val="auto"/>
        </w:rPr>
        <w:t>Mahendra Shah, Ph.D.</w:t>
      </w:r>
    </w:p>
    <w:p>
      <w:pPr>
        <w:spacing w:after="0" w:line="385"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7"/>
          <w:szCs w:val="17"/>
          <w:color w:val="auto"/>
        </w:rPr>
        <w:t>Andrew Sinclair, Ph.D.</w:t>
      </w:r>
    </w:p>
    <w:p>
      <w:pPr>
        <w:spacing w:after="0" w:line="385"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48895</wp:posOffset>
            </wp:positionV>
            <wp:extent cx="25374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Vikas Sinha</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Chief Executive Officer and Executive Director</w:t>
      </w:r>
    </w:p>
    <w:p>
      <w:pPr>
        <w:spacing w:after="0" w:line="35"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jc w:val="center"/>
        <w:ind w:left="-19" w:right="220"/>
        <w:spacing w:after="0" w:line="263" w:lineRule="auto"/>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Non-Executive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Non-Executive Director</w:t>
      </w:r>
    </w:p>
    <w:p>
      <w:pPr>
        <w:spacing w:after="0" w:line="510" w:lineRule="exact"/>
        <w:rPr>
          <w:sz w:val="20"/>
          <w:szCs w:val="20"/>
          <w:color w:val="auto"/>
        </w:rPr>
      </w:pPr>
    </w:p>
    <w:p>
      <w:pPr>
        <w:sectPr>
          <w:pgSz w:w="11900" w:h="16838" w:orient="portrait"/>
          <w:cols w:equalWidth="0" w:num="2">
            <w:col w:w="4920" w:space="720"/>
            <w:col w:w="44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1580" w:type="dxa"/>
            <w:vAlign w:val="bottom"/>
            <w:gridSpan w:val="2"/>
          </w:tcPr>
          <w:p>
            <w:pPr>
              <w:jc w:val="right"/>
              <w:ind w:right="60"/>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tc>
        <w:tc>
          <w:tcPr>
            <w:tcW w:w="1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972"/>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26"/>
        </w:trPr>
        <w:tc>
          <w:tcPr>
            <w:tcW w:w="1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561"/>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Non-Executive Director</w:t>
            </w:r>
          </w:p>
        </w:tc>
      </w:tr>
      <w:tr>
        <w:trPr>
          <w:trHeight w:val="40"/>
        </w:trPr>
        <w:tc>
          <w:tcPr>
            <w:tcW w:w="1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00" w:type="dxa"/>
            <w:vAlign w:val="bottom"/>
          </w:tcPr>
          <w:p>
            <w:pPr>
              <w:spacing w:after="0"/>
              <w:rPr>
                <w:sz w:val="3"/>
                <w:szCs w:val="3"/>
                <w:color w:val="auto"/>
              </w:rPr>
            </w:pPr>
          </w:p>
        </w:tc>
      </w:tr>
      <w:tr>
        <w:trPr>
          <w:trHeight w:val="250"/>
        </w:trPr>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8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Anders Ullman, M.D., Ph.D.</w:t>
            </w:r>
          </w:p>
        </w:tc>
        <w:tc>
          <w:tcPr>
            <w:tcW w:w="22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580"/>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Non-Executive Director</w:t>
            </w:r>
          </w:p>
        </w:tc>
      </w:tr>
      <w:tr>
        <w:trPr>
          <w:trHeight w:val="41"/>
        </w:trPr>
        <w:tc>
          <w:tcPr>
            <w:tcW w:w="1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00" w:type="dxa"/>
            <w:vAlign w:val="bottom"/>
          </w:tcPr>
          <w:p>
            <w:pPr>
              <w:spacing w:after="0"/>
              <w:rPr>
                <w:sz w:val="3"/>
                <w:szCs w:val="3"/>
                <w:color w:val="auto"/>
              </w:rPr>
            </w:pPr>
          </w:p>
        </w:tc>
      </w:tr>
      <w:tr>
        <w:trPr>
          <w:trHeight w:val="250"/>
        </w:trPr>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8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Martin Edwards, M.D.</w:t>
            </w:r>
          </w:p>
        </w:tc>
        <w:tc>
          <w:tcPr>
            <w:tcW w:w="22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418"/>
        </w:trPr>
        <w:tc>
          <w:tcPr>
            <w:tcW w:w="1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72"/>
        </w:trPr>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80" w:type="dxa"/>
            <w:vAlign w:val="bottom"/>
            <w:gridSpan w:val="2"/>
          </w:tcPr>
          <w:p>
            <w:pPr>
              <w:jc w:val="center"/>
              <w:ind w:right="2040"/>
              <w:spacing w:after="0"/>
              <w:rPr>
                <w:sz w:val="20"/>
                <w:szCs w:val="20"/>
                <w:color w:val="auto"/>
              </w:rPr>
            </w:pPr>
            <w:r>
              <w:rPr>
                <w:rFonts w:ascii="Arial" w:cs="Arial" w:eastAsia="Arial" w:hAnsi="Arial"/>
                <w:sz w:val="18"/>
                <w:szCs w:val="18"/>
                <w:color w:val="auto"/>
                <w:w w:val="96"/>
              </w:rPr>
              <w:t>/s/ Mark Hahn</w:t>
            </w: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4"/>
        </w:trPr>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0" w:type="dxa"/>
            <w:vAlign w:val="bottom"/>
          </w:tcPr>
          <w:p>
            <w:pPr>
              <w:spacing w:after="0"/>
              <w:rPr>
                <w:sz w:val="4"/>
                <w:szCs w:val="4"/>
                <w:color w:val="auto"/>
              </w:rPr>
            </w:pPr>
          </w:p>
        </w:tc>
      </w:tr>
      <w:tr>
        <w:trPr>
          <w:trHeight w:val="236"/>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gridSpan w:val="2"/>
          </w:tcPr>
          <w:p>
            <w:pPr>
              <w:jc w:val="center"/>
              <w:ind w:right="2100"/>
              <w:spacing w:after="0"/>
              <w:rPr>
                <w:sz w:val="20"/>
                <w:szCs w:val="20"/>
                <w:color w:val="auto"/>
              </w:rPr>
            </w:pPr>
            <w:r>
              <w:rPr>
                <w:rFonts w:ascii="Arial" w:cs="Arial" w:eastAsia="Arial" w:hAnsi="Arial"/>
                <w:sz w:val="18"/>
                <w:szCs w:val="18"/>
                <w:color w:val="auto"/>
                <w:w w:val="97"/>
              </w:rPr>
              <w:t>Mark Hahn</w:t>
            </w: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230"/>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gridSpan w:val="2"/>
          </w:tcPr>
          <w:p>
            <w:pPr>
              <w:jc w:val="center"/>
              <w:ind w:right="2060"/>
              <w:spacing w:after="0"/>
              <w:rPr>
                <w:sz w:val="20"/>
                <w:szCs w:val="20"/>
                <w:color w:val="auto"/>
              </w:rPr>
            </w:pPr>
            <w:r>
              <w:rPr>
                <w:rFonts w:ascii="Arial" w:cs="Arial" w:eastAsia="Arial" w:hAnsi="Arial"/>
                <w:sz w:val="18"/>
                <w:szCs w:val="18"/>
                <w:color w:val="auto"/>
                <w:w w:val="99"/>
              </w:rPr>
              <w:t>Attorney-in-fact</w:t>
            </w: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SIGNATURE OF AUTHORIZED UNITED STATES REPRESENTATIVE</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Verona Pharma plc has signed this registration statement in the City of New York, New York on August 25, 2020.</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Authorized U.S. Representative</w:t>
      </w:r>
    </w:p>
    <w:p>
      <w:pPr>
        <w:spacing w:after="0" w:line="11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spacing w:after="0" w:line="200" w:lineRule="exact"/>
        <w:rPr>
          <w:sz w:val="20"/>
          <w:szCs w:val="20"/>
          <w:color w:val="auto"/>
        </w:rPr>
      </w:pPr>
    </w:p>
    <w:p>
      <w:pPr>
        <w:spacing w:after="0" w:line="380" w:lineRule="exact"/>
        <w:rPr>
          <w:sz w:val="20"/>
          <w:szCs w:val="20"/>
          <w:color w:val="auto"/>
        </w:rPr>
      </w:pPr>
    </w:p>
    <w:p>
      <w:pPr>
        <w:ind w:left="4840"/>
        <w:spacing w:after="0"/>
        <w:tabs>
          <w:tab w:leader="none" w:pos="534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23495</wp:posOffset>
            </wp:positionV>
            <wp:extent cx="25800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44"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Colleen A. De Vries</w:t>
      </w:r>
    </w:p>
    <w:p>
      <w:pPr>
        <w:spacing w:after="0" w:line="48" w:lineRule="exact"/>
        <w:rPr>
          <w:sz w:val="20"/>
          <w:szCs w:val="20"/>
          <w:color w:val="auto"/>
        </w:rPr>
      </w:pPr>
    </w:p>
    <w:p>
      <w:pPr>
        <w:sectPr>
          <w:pgSz w:w="11900" w:h="16838" w:orient="portrait"/>
          <w:cols w:equalWidth="0" w:num="2">
            <w:col w:w="5840" w:space="220"/>
            <w:col w:w="4079"/>
          </w:cols>
          <w:pgMar w:left="320" w:top="131" w:right="1440"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759"/>
        <w:spacing w:after="0" w:line="277" w:lineRule="auto"/>
        <w:rPr>
          <w:sz w:val="20"/>
          <w:szCs w:val="20"/>
          <w:color w:val="auto"/>
        </w:rPr>
      </w:pPr>
      <w:r>
        <w:rPr>
          <w:rFonts w:ascii="Arial" w:cs="Arial" w:eastAsia="Arial" w:hAnsi="Arial"/>
          <w:sz w:val="18"/>
          <w:szCs w:val="18"/>
          <w:color w:val="auto"/>
        </w:rPr>
        <w:t>Senior Vice President on behalf of Cogency Global Inc.</w:t>
      </w:r>
    </w:p>
    <w:p>
      <w:pPr>
        <w:spacing w:after="0" w:line="200" w:lineRule="exact"/>
        <w:rPr>
          <w:sz w:val="20"/>
          <w:szCs w:val="20"/>
          <w:color w:val="auto"/>
        </w:rPr>
      </w:pPr>
    </w:p>
    <w:p>
      <w:pPr>
        <w:sectPr>
          <w:pgSz w:w="11900" w:h="16838" w:orient="portrait"/>
          <w:cols w:equalWidth="0" w:num="2">
            <w:col w:w="5760" w:space="300"/>
            <w:col w:w="407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ind w:left="1040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240"/>
          </w:cols>
          <w:pgMar w:left="320" w:top="337" w:right="339" w:bottom="1440" w:gutter="0" w:footer="0" w:header="0"/>
        </w:sectPr>
      </w:pP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99 Bishopsgate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London EC2M 3XF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Tel: +44(0)20.7710.1000</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Fax: +44(0)20.7374.4460</w:t>
      </w:r>
    </w:p>
    <w:p>
      <w:pPr>
        <w:spacing w:after="0" w:line="423" w:lineRule="exact"/>
        <w:rPr>
          <w:sz w:val="20"/>
          <w:szCs w:val="20"/>
          <w:color w:val="auto"/>
        </w:rPr>
      </w:pPr>
    </w:p>
    <w:p>
      <w:pPr>
        <w:sectPr>
          <w:pgSz w:w="11900" w:h="16838" w:orient="portrait"/>
          <w:cols w:equalWidth="0" w:num="2">
            <w:col w:w="8560" w:space="100"/>
            <w:col w:w="25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25 August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FIRM / AFFILIATE OFFICES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Brussels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Century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Düsseldorf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Frankfurt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Orange County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438" w:lineRule="exact"/>
        <w:rPr>
          <w:sz w:val="20"/>
          <w:szCs w:val="20"/>
          <w:color w:val="auto"/>
        </w:rPr>
      </w:pPr>
    </w:p>
    <w:p>
      <w:pPr>
        <w:sectPr>
          <w:pgSz w:w="11900" w:h="16838" w:orient="portrait"/>
          <w:cols w:equalWidth="0" w:num="3">
            <w:col w:w="6040" w:space="720"/>
            <w:col w:w="2240" w:space="0"/>
            <w:col w:w="2240"/>
          </w:cols>
          <w:pgMar w:left="320" w:top="33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Central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CF10 1FS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Verona Pharma plc – Registration Statement on Form F-1 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acted as English legal advisers to Verona Pharma plc, a public limited company incorporated in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private placement of 38,440,009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each representing eight ordinary shares of £0.05 each in the capital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and 48,088,896 non-voting ordinary shares of £0.05 each that may be re-designated as ordinary shares, nominal value £0.05 per share (the “</w:t>
      </w:r>
      <w:r>
        <w:rPr>
          <w:rFonts w:ascii="Arial" w:cs="Arial" w:eastAsia="Arial" w:hAnsi="Arial"/>
          <w:sz w:val="18"/>
          <w:szCs w:val="18"/>
          <w:b w:val="1"/>
          <w:bCs w:val="1"/>
          <w:color w:val="auto"/>
        </w:rPr>
        <w:t>Non-Voting Ordinary Shares</w:t>
      </w:r>
      <w:r>
        <w:rPr>
          <w:rFonts w:ascii="Arial" w:cs="Arial" w:eastAsia="Arial" w:hAnsi="Arial"/>
          <w:sz w:val="18"/>
          <w:szCs w:val="18"/>
          <w:color w:val="auto"/>
        </w:rPr>
        <w:t>”) and the subscription of 222,216 ordinary shares of £0.05 each (the “</w:t>
      </w:r>
      <w:r>
        <w:rPr>
          <w:rFonts w:ascii="Arial" w:cs="Arial" w:eastAsia="Arial" w:hAnsi="Arial"/>
          <w:sz w:val="18"/>
          <w:szCs w:val="18"/>
          <w:b w:val="1"/>
          <w:bCs w:val="1"/>
          <w:color w:val="auto"/>
        </w:rPr>
        <w:t>Subscription Ordinary Shares</w:t>
      </w:r>
      <w:r>
        <w:rPr>
          <w:rFonts w:ascii="Arial" w:cs="Arial" w:eastAsia="Arial" w:hAnsi="Arial"/>
          <w:sz w:val="18"/>
          <w:szCs w:val="18"/>
          <w:color w:val="auto"/>
        </w:rPr>
        <w:t>”, together, with the Non-Voting Ordinary Shares and the Ordinary Shares allotted and issued in connection with the private placement therewith, the “</w:t>
      </w:r>
      <w:r>
        <w:rPr>
          <w:rFonts w:ascii="Arial" w:cs="Arial" w:eastAsia="Arial" w:hAnsi="Arial"/>
          <w:sz w:val="18"/>
          <w:szCs w:val="18"/>
          <w:b w:val="1"/>
          <w:bCs w:val="1"/>
          <w:color w:val="auto"/>
        </w:rPr>
        <w:t>Shares</w:t>
      </w:r>
      <w:r>
        <w:rPr>
          <w:rFonts w:ascii="Arial" w:cs="Arial" w:eastAsia="Arial" w:hAnsi="Arial"/>
          <w:sz w:val="18"/>
          <w:szCs w:val="18"/>
          <w:color w:val="auto"/>
        </w:rPr>
        <w:t>”)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7"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jc w:val="both"/>
        <w:ind w:left="640"/>
        <w:spacing w:after="0" w:line="301" w:lineRule="auto"/>
        <w:rPr>
          <w:sz w:val="20"/>
          <w:szCs w:val="20"/>
          <w:color w:val="auto"/>
        </w:rPr>
      </w:pPr>
      <w:r>
        <w:rPr>
          <w:rFonts w:ascii="Arial" w:cs="Arial" w:eastAsia="Arial" w:hAnsi="Arial"/>
          <w:sz w:val="16"/>
          <w:szCs w:val="16"/>
          <w:color w:val="auto"/>
        </w:rPr>
        <w:t>In connection with the preparation and filing of the registration statement on Form F-1 to which this letter is attached as an exhibit (such registration statement, as amended, including the documents incorporated by reference therein,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pursuant to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we have been asked to provide an opinion on certain matters, as set out below. We have taken instruction in this regard solely from the Company.</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1280" w:hanging="638"/>
        <w:spacing w:after="0" w:line="277"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66"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4" w:name="page105"/>
    <w:bookmarkEnd w:id="104"/>
    <w:p>
      <w:pPr>
        <w:ind w:left="1280" w:hanging="638"/>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3416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162560"/>
                    </a:xfrm>
                    <a:prstGeom prst="rect">
                      <a:avLst/>
                    </a:prstGeom>
                    <a:noFill/>
                  </pic:spPr>
                </pic:pic>
              </a:graphicData>
            </a:graphic>
          </wp:anchor>
        </w:drawing>
        <w:t>headings are for ease of reference only and shall not affect interpretation.</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purpose of issuing this letter we have reviewed only the following documents and conducted only the following enquiries and searches:</w:t>
      </w:r>
    </w:p>
    <w:p>
      <w:pPr>
        <w:spacing w:after="0" w:line="248" w:lineRule="exact"/>
        <w:rPr>
          <w:sz w:val="20"/>
          <w:szCs w:val="20"/>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search at Companies House in respect of the Company conducted on 14 August 2020;</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enquiry at the Central Registry of Winding Up Petitions, London on 14 August 2020 at 11:11 a.m. (London time) with respect to the Company ((a) and (b)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PDF copy of the minutes of the annual general meeting of the Company held on 16 April 2020 (the “</w:t>
      </w:r>
      <w:r>
        <w:rPr>
          <w:rFonts w:ascii="Arial" w:cs="Arial" w:eastAsia="Arial" w:hAnsi="Arial"/>
          <w:sz w:val="17"/>
          <w:szCs w:val="17"/>
          <w:b w:val="1"/>
          <w:bCs w:val="1"/>
          <w:color w:val="auto"/>
        </w:rPr>
        <w:t>Annual General Meeting</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PDF copy of the minutes of the meeting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held on 15 July 2020,</w:t>
      </w:r>
    </w:p>
    <w:p>
      <w:pPr>
        <w:spacing w:after="0" w:line="229"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PDF copy of a written resolution of the Board dated 21 July 2020;</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copy of the terms of issue of the Non-Voting Ordinary Shares;</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24 February 2005;</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copy of the certificate of incorporation on change of name of the Company dated 18 September 2006;</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PDF copy of the current articles of association of the Company adopted pursuant to a special resolution of shareholders passed at the general meeting held on 8 February 2017;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draft copy of the Registration Statement as at 24 August 2020 and to be filed with the SEC on 25 August 2020.</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shall be construed in accordance with English law (including European Union law to the extent directly applicable) and relate only to English law (including European Union law to the extent directly applicable) as applied by the English courts as at today’s date. In particular:</w:t>
      </w:r>
    </w:p>
    <w:p>
      <w:pPr>
        <w:spacing w:after="0" w:line="187" w:lineRule="exact"/>
        <w:rPr>
          <w:sz w:val="20"/>
          <w:szCs w:val="20"/>
          <w:color w:val="auto"/>
        </w:rPr>
      </w:pPr>
    </w:p>
    <w:p>
      <w:pPr>
        <w:ind w:left="1280" w:hanging="638"/>
        <w:spacing w:after="0" w:line="277"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25"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United Kingdom exited the European Union on 31 January 2020. By virtue of sections 1A and 1B of the European Union (Withdrawal) Act 2018 (as amended by the European Union (Withdrawal Agreement) Act 2020) (“</w:t>
      </w:r>
      <w:r>
        <w:rPr>
          <w:rFonts w:ascii="Arial" w:cs="Arial" w:eastAsia="Arial" w:hAnsi="Arial"/>
          <w:sz w:val="18"/>
          <w:szCs w:val="18"/>
          <w:b w:val="1"/>
          <w:bCs w:val="1"/>
          <w:color w:val="auto"/>
        </w:rPr>
        <w:t>EUWA</w:t>
      </w:r>
      <w:r>
        <w:rPr>
          <w:rFonts w:ascii="Arial" w:cs="Arial" w:eastAsia="Arial" w:hAnsi="Arial"/>
          <w:sz w:val="18"/>
          <w:szCs w:val="18"/>
          <w:color w:val="auto"/>
        </w:rPr>
        <w:t>”), European Union law will continue to be applicable to the United Kingdom for the duration of the implementation period set out in section 1A(6) of the EUWA. We express no opinion on the effect of European Union law in the United Kingdom after the end of such implementation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5" w:name="page106"/>
    <w:bookmarkEnd w:id="105"/>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3416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162560"/>
                    </a:xfrm>
                    <a:prstGeom prst="rect">
                      <a:avLst/>
                    </a:prstGeom>
                    <a:noFill/>
                  </pic:spPr>
                </pic:pic>
              </a:graphicData>
            </a:graphic>
          </wp:anchor>
        </w:drawing>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The opinions given in this letter are given on the basis of each of the assumptions set out in Schedule 1 (</w:t>
      </w:r>
      <w:r>
        <w:rPr>
          <w:rFonts w:ascii="Arial" w:cs="Arial" w:eastAsia="Arial" w:hAnsi="Arial"/>
          <w:sz w:val="16"/>
          <w:szCs w:val="16"/>
          <w:i w:val="1"/>
          <w:iCs w:val="1"/>
          <w:color w:val="auto"/>
        </w:rPr>
        <w:t>Assumptions</w:t>
      </w:r>
      <w:r>
        <w:rPr>
          <w:rFonts w:ascii="Arial" w:cs="Arial" w:eastAsia="Arial" w:hAnsi="Arial"/>
          <w:sz w:val="16"/>
          <w:szCs w:val="16"/>
          <w:color w:val="auto"/>
        </w:rPr>
        <w:t>) and are subject to each of the reservations set out in Schedule 2 (</w:t>
      </w:r>
      <w:r>
        <w:rPr>
          <w:rFonts w:ascii="Arial" w:cs="Arial" w:eastAsia="Arial" w:hAnsi="Arial"/>
          <w:sz w:val="16"/>
          <w:szCs w:val="16"/>
          <w:i w:val="1"/>
          <w:iCs w:val="1"/>
          <w:color w:val="auto"/>
        </w:rPr>
        <w:t>Reservations</w:t>
      </w:r>
      <w:r>
        <w:rPr>
          <w:rFonts w:ascii="Arial" w:cs="Arial" w:eastAsia="Arial" w:hAnsi="Arial"/>
          <w:sz w:val="16"/>
          <w:szCs w:val="16"/>
          <w:color w:val="auto"/>
        </w:rPr>
        <w:t>) to this letter. The opinions given in this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below and do not extend, and should not be read as extending, by implication or otherwise, to any other matters.</w:t>
      </w:r>
    </w:p>
    <w:p>
      <w:pPr>
        <w:spacing w:after="0" w:line="145"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36" w:lineRule="exact"/>
        <w:rPr>
          <w:rFonts w:ascii="Arial" w:cs="Arial" w:eastAsia="Arial" w:hAnsi="Arial"/>
          <w:sz w:val="18"/>
          <w:szCs w:val="18"/>
          <w:b w:val="1"/>
          <w:bCs w:val="1"/>
          <w:color w:val="auto"/>
        </w:rPr>
      </w:pPr>
    </w:p>
    <w:p>
      <w:pPr>
        <w:ind w:left="1280" w:hanging="638"/>
        <w:spacing w:after="0"/>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Registration Statement, as finally amended, having become effective under the Securities Act;</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name of the recipient in the books and registers of the Company;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Shares having been delivered in accordance with the terms and conditions of the Offering and the Registration Statement,</w:t>
      </w:r>
    </w:p>
    <w:p>
      <w:pPr>
        <w:spacing w:after="0" w:line="23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it is our opinion that the Shares were duly and validly authorised and issued, fully paid or credited as fully paid (subject to the receipt of valid consideration by the Company for the issue thereof) and are not subject to any call for payment of further capital.</w:t>
      </w:r>
    </w:p>
    <w:p>
      <w:pPr>
        <w:spacing w:after="0" w:line="166"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Offering.</w:t>
      </w:r>
    </w:p>
    <w:p>
      <w:pPr>
        <w:spacing w:after="0" w:line="170" w:lineRule="exact"/>
        <w:rPr>
          <w:rFonts w:ascii="Arial" w:cs="Arial" w:eastAsia="Arial" w:hAnsi="Arial"/>
          <w:sz w:val="18"/>
          <w:szCs w:val="18"/>
          <w:b w:val="1"/>
          <w:bCs w:val="1"/>
          <w:color w:val="auto"/>
        </w:rPr>
      </w:pPr>
    </w:p>
    <w:p>
      <w:pPr>
        <w:jc w:val="both"/>
        <w:ind w:left="6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44" w:lineRule="exact"/>
        <w:rPr>
          <w:rFonts w:ascii="Arial" w:cs="Arial" w:eastAsia="Arial" w:hAnsi="Arial"/>
          <w:sz w:val="18"/>
          <w:szCs w:val="18"/>
          <w:b w:val="1"/>
          <w:bCs w:val="1"/>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229" w:lineRule="exact"/>
        <w:rPr>
          <w:rFonts w:ascii="Arial" w:cs="Arial" w:eastAsia="Arial" w:hAnsi="Arial"/>
          <w:sz w:val="18"/>
          <w:szCs w:val="18"/>
          <w:b w:val="1"/>
          <w:bCs w:val="1"/>
          <w:color w:val="auto"/>
        </w:rPr>
      </w:pPr>
    </w:p>
    <w:p>
      <w:pPr>
        <w:jc w:val="both"/>
        <w:ind w:left="6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has been given on the basis of the following assumptions:</w:t>
      </w:r>
    </w:p>
    <w:p>
      <w:pPr>
        <w:spacing w:after="0" w:line="225" w:lineRule="exact"/>
        <w:rPr>
          <w:sz w:val="20"/>
          <w:szCs w:val="20"/>
          <w:color w:val="auto"/>
        </w:rPr>
      </w:pPr>
    </w:p>
    <w:p>
      <w:pPr>
        <w:ind w:left="1280" w:hanging="638"/>
        <w:spacing w:after="0" w:line="277"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in the case of a document signed electronically, the person signing it intended to sign and be bound by the document;</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170" w:lineRule="exact"/>
        <w:rPr>
          <w:rFonts w:ascii="Arial" w:cs="Arial" w:eastAsia="Arial" w:hAnsi="Arial"/>
          <w:sz w:val="18"/>
          <w:szCs w:val="18"/>
          <w:color w:val="auto"/>
        </w:rPr>
      </w:pPr>
    </w:p>
    <w:p>
      <w:pPr>
        <w:jc w:val="both"/>
        <w:ind w:left="1280" w:right="20" w:hanging="638"/>
        <w:spacing w:after="0" w:line="263"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1.3(i) of this letter remain in full force and effect, and no alteration had been made to such articles of association, in each case, prior to the date on which the Shares were allotted, issued or rights are granted to subscribe for Shares (each such date being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280" w:hanging="638"/>
        <w:spacing w:after="0" w:line="311" w:lineRule="auto"/>
        <w:tabs>
          <w:tab w:leader="none" w:pos="12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remained complete and accurate as at each Allotment Date;</w:t>
      </w:r>
    </w:p>
    <w:p>
      <w:pPr>
        <w:spacing w:after="0" w:line="148" w:lineRule="exact"/>
        <w:rPr>
          <w:rFonts w:ascii="Arial" w:cs="Arial" w:eastAsia="Arial" w:hAnsi="Arial"/>
          <w:sz w:val="16"/>
          <w:szCs w:val="16"/>
          <w:color w:val="auto"/>
        </w:rPr>
      </w:pPr>
    </w:p>
    <w:p>
      <w:pPr>
        <w:jc w:val="both"/>
        <w:ind w:left="1280" w:hanging="638"/>
        <w:spacing w:after="0" w:line="288" w:lineRule="auto"/>
        <w:tabs>
          <w:tab w:leader="none" w:pos="12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(i) the resolutions described in the written resolutions of the board of directors of the Company provided to us in connection with the giving of this opinion or otherwise contemplated in connection with the matters referred to herein were duly passed as written resolutions of the board of directors of the Company, all constitutional, statutory and other formalities were and such resolutions have not been revoked or varied and remained in full force and effect at each Allotment Date; and (ii) the proceedings and resolutions described in the minutes of the meetings of the board of directors of the Company provided to us in connection with the giving of this opinion or otherwise contemplated in connection with the matters referred to herein were duly conducted as so described, and that each of the meetings referred to therein was duly constituted, convened and conducted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the resolutions passed thereat were duly adopted, were not revoked or varied and remained in full force and effect as at each Allotment Date;</w:t>
      </w:r>
    </w:p>
    <w:p>
      <w:pPr>
        <w:spacing w:after="0" w:line="168" w:lineRule="exact"/>
        <w:rPr>
          <w:rFonts w:ascii="Arial" w:cs="Arial" w:eastAsia="Arial" w:hAnsi="Arial"/>
          <w:sz w:val="16"/>
          <w:szCs w:val="16"/>
          <w:color w:val="auto"/>
        </w:rPr>
      </w:pPr>
    </w:p>
    <w:p>
      <w:pPr>
        <w:jc w:val="both"/>
        <w:ind w:left="1280" w:hanging="638"/>
        <w:spacing w:after="0" w:line="279" w:lineRule="auto"/>
        <w:tabs>
          <w:tab w:leader="none" w:pos="12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that the resolutions of the shareholders of the Company provided to us in connection with the giving of this opinion or otherwise contemplated in connection with the matters referred to herein were duly passed at a general meeting of the Company, all constitutional, statutory and other formalities were observed in relation to such general meeting and such resolutions were not revoked or varied prior to each Allotment Date and remained in full force and effect as at each Allotment Date;</w:t>
      </w:r>
    </w:p>
    <w:p>
      <w:pPr>
        <w:spacing w:after="0" w:line="171" w:lineRule="exact"/>
        <w:rPr>
          <w:rFonts w:ascii="Arial" w:cs="Arial" w:eastAsia="Arial" w:hAnsi="Arial"/>
          <w:sz w:val="17"/>
          <w:szCs w:val="17"/>
          <w:color w:val="auto"/>
        </w:rPr>
      </w:pPr>
    </w:p>
    <w:p>
      <w:pPr>
        <w:ind w:left="1280" w:right="80" w:hanging="638"/>
        <w:spacing w:after="0" w:line="259"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Shares the Company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left="638" w:hanging="638"/>
        <w:spacing w:after="0" w:line="296" w:lineRule="auto"/>
        <w:tabs>
          <w:tab w:leader="none" w:pos="63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that immediately prior to each Allotment Date, the directors of the Company had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did not allot or issue (or purport to allot or issue) Shares and did not grant rights (or purport to grant rights) to acquire Shares in excess of such powers or in breach of any other limitation on their power to allot and issue Shares or grant rights to acquire Shares;</w:t>
      </w:r>
    </w:p>
    <w:p>
      <w:pPr>
        <w:spacing w:after="0" w:line="161" w:lineRule="exact"/>
        <w:rPr>
          <w:rFonts w:ascii="Arial" w:cs="Arial" w:eastAsia="Arial" w:hAnsi="Arial"/>
          <w:sz w:val="16"/>
          <w:szCs w:val="16"/>
          <w:color w:val="auto"/>
        </w:rPr>
      </w:pPr>
    </w:p>
    <w:p>
      <w:pPr>
        <w:ind w:left="638" w:hanging="638"/>
        <w:spacing w:after="0" w:line="27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no Shares were allotted or issued, or are or were committed to be allotted or issued, at a discount to their nominal value (whether in dollars or equivalent in any other currency);</w:t>
      </w:r>
    </w:p>
    <w:p>
      <w:pPr>
        <w:spacing w:after="0" w:line="170" w:lineRule="exact"/>
        <w:rPr>
          <w:rFonts w:ascii="Arial" w:cs="Arial" w:eastAsia="Arial" w:hAnsi="Arial"/>
          <w:sz w:val="18"/>
          <w:szCs w:val="18"/>
          <w:color w:val="auto"/>
        </w:rPr>
      </w:pPr>
    </w:p>
    <w:p>
      <w:pPr>
        <w:jc w:val="both"/>
        <w:ind w:left="638" w:hanging="638"/>
        <w:spacing w:after="0" w:line="25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offered to the public in the United 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 regulations concerning offers of securities to the public, and no communication has been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87"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in issuing and allotting and granting rights to acquire Shares, the Company is not carrying on a regulated activity for the purposes of section 19 of FSMA;</w:t>
      </w:r>
    </w:p>
    <w:p>
      <w:pPr>
        <w:spacing w:after="0" w:line="170" w:lineRule="exact"/>
        <w:rPr>
          <w:rFonts w:ascii="Arial" w:cs="Arial" w:eastAsia="Arial" w:hAnsi="Arial"/>
          <w:sz w:val="18"/>
          <w:szCs w:val="18"/>
          <w:color w:val="auto"/>
        </w:rPr>
      </w:pPr>
    </w:p>
    <w:p>
      <w:pPr>
        <w:ind w:left="638" w:hanging="638"/>
        <w:spacing w:after="0" w:line="308" w:lineRule="auto"/>
        <w:tabs>
          <w:tab w:leader="none" w:pos="63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that the Company has complied and will comply with all applicable anti-terrorism, anti-money laundering, sanctions and human rights laws and regulations and that each allotment and issue of Shares will be consistent with all such laws and regulations;</w:t>
      </w:r>
    </w:p>
    <w:p>
      <w:pPr>
        <w:spacing w:after="0" w:line="146" w:lineRule="exact"/>
        <w:rPr>
          <w:rFonts w:ascii="Arial" w:cs="Arial" w:eastAsia="Arial" w:hAnsi="Arial"/>
          <w:sz w:val="17"/>
          <w:szCs w:val="17"/>
          <w:color w:val="auto"/>
        </w:rPr>
      </w:pPr>
    </w:p>
    <w:p>
      <w:pPr>
        <w:jc w:val="both"/>
        <w:ind w:left="638" w:hanging="638"/>
        <w:spacing w:after="0" w:line="263"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Shares will be allotted and issued in good faith and on bona fide commercial terms and on arms’ length terms and for the purpose of carrying on the business of the Company and that there are reasonable grounds for believing that the allotment and issue of the Shares will promote the success of the Company for the benefit of its members as a whole; and</w:t>
      </w:r>
    </w:p>
    <w:p>
      <w:pPr>
        <w:spacing w:after="0" w:line="183"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the Company has not taken any corporate or other action nor have any steps been taken or legal proceedings been started against the Company for:</w:t>
      </w:r>
    </w:p>
    <w:p>
      <w:pPr>
        <w:spacing w:after="0" w:line="170" w:lineRule="exact"/>
        <w:rPr>
          <w:rFonts w:ascii="Arial" w:cs="Arial" w:eastAsia="Arial" w:hAnsi="Arial"/>
          <w:sz w:val="18"/>
          <w:szCs w:val="18"/>
          <w:color w:val="auto"/>
        </w:rPr>
      </w:pPr>
    </w:p>
    <w:p>
      <w:pPr>
        <w:ind w:left="1278" w:hanging="643"/>
        <w:spacing w:after="0" w:line="277" w:lineRule="auto"/>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liquidation, administration, winding up, dissolution, reorganisation or bankruptcy or similar procedures in other relevant jurisdictions, of; or</w:t>
      </w:r>
    </w:p>
    <w:p>
      <w:pPr>
        <w:spacing w:after="0" w:line="170" w:lineRule="exact"/>
        <w:rPr>
          <w:rFonts w:ascii="Arial" w:cs="Arial" w:eastAsia="Arial" w:hAnsi="Arial"/>
          <w:sz w:val="18"/>
          <w:szCs w:val="18"/>
          <w:color w:val="auto"/>
        </w:rPr>
      </w:pPr>
    </w:p>
    <w:p>
      <w:pPr>
        <w:ind w:left="1278" w:hanging="643"/>
        <w:spacing w:after="0"/>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commencement of a moratorium in respect of; or</w:t>
      </w:r>
    </w:p>
    <w:p>
      <w:pPr>
        <w:spacing w:after="0" w:line="225" w:lineRule="exact"/>
        <w:rPr>
          <w:rFonts w:ascii="Arial" w:cs="Arial" w:eastAsia="Arial" w:hAnsi="Arial"/>
          <w:sz w:val="18"/>
          <w:szCs w:val="18"/>
          <w:color w:val="auto"/>
        </w:rPr>
      </w:pPr>
    </w:p>
    <w:p>
      <w:pPr>
        <w:ind w:left="1278" w:hanging="643"/>
        <w:spacing w:after="0"/>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appointment of a liquidator, receiver, trustee, administrator, administrative receiver, monitor or similar officer of,</w:t>
      </w:r>
    </w:p>
    <w:p>
      <w:pPr>
        <w:spacing w:after="0" w:line="225" w:lineRule="exact"/>
        <w:rPr>
          <w:sz w:val="20"/>
          <w:szCs w:val="20"/>
          <w:color w:val="auto"/>
        </w:rPr>
      </w:pPr>
    </w:p>
    <w:p>
      <w:pPr>
        <w:jc w:val="both"/>
        <w:ind w:left="658"/>
        <w:spacing w:after="0" w:line="273" w:lineRule="auto"/>
        <w:rPr>
          <w:sz w:val="20"/>
          <w:szCs w:val="20"/>
          <w:color w:val="auto"/>
        </w:rPr>
      </w:pPr>
      <w:r>
        <w:rPr>
          <w:rFonts w:ascii="Arial" w:cs="Arial" w:eastAsia="Arial" w:hAnsi="Arial"/>
          <w:sz w:val="17"/>
          <w:szCs w:val="17"/>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monitor, administrator, administrative receiver or similar officer has been made with respect to the Company), and such actions and steps were not taken as at any Allotment Date.</w:t>
      </w:r>
    </w:p>
    <w:p>
      <w:pPr>
        <w:spacing w:after="0" w:line="394"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8"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is subject to the following reservations:</w:t>
      </w:r>
    </w:p>
    <w:p>
      <w:pPr>
        <w:spacing w:after="0" w:line="225" w:lineRule="exact"/>
        <w:rPr>
          <w:sz w:val="20"/>
          <w:szCs w:val="20"/>
          <w:color w:val="auto"/>
        </w:rPr>
      </w:pPr>
    </w:p>
    <w:p>
      <w:pPr>
        <w:jc w:val="both"/>
        <w:ind w:left="1280" w:hanging="638"/>
        <w:spacing w:after="0" w:line="286" w:lineRule="auto"/>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920" w:right="20" w:hanging="643"/>
        <w:spacing w:after="0" w:line="277" w:lineRule="auto"/>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limitations arising from applicable laws relating to insolvency, bankruptcy, administration, reorganisation, liquidation, moratoria, schemes or analogous circumstances; and</w:t>
      </w:r>
    </w:p>
    <w:p>
      <w:pPr>
        <w:spacing w:after="0" w:line="170"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 English court exercising its discretion under section 426 of the Insolvency Act 1986 (</w:t>
      </w:r>
      <w:r>
        <w:rPr>
          <w:rFonts w:ascii="Arial" w:cs="Arial" w:eastAsia="Arial" w:hAnsi="Arial"/>
          <w:sz w:val="18"/>
          <w:szCs w:val="18"/>
          <w:i w:val="1"/>
          <w:iCs w:val="1"/>
          <w:color w:val="auto"/>
        </w:rPr>
        <w:t>co-</w:t>
      </w:r>
      <w:r>
        <w:rPr>
          <w:rFonts w:ascii="Arial" w:cs="Arial" w:eastAsia="Arial" w:hAnsi="Arial"/>
          <w:sz w:val="18"/>
          <w:szCs w:val="18"/>
          <w:color w:val="auto"/>
        </w:rPr>
        <w:t xml:space="preserve">operation </w:t>
      </w:r>
      <w:r>
        <w:rPr>
          <w:rFonts w:ascii="Arial" w:cs="Arial" w:eastAsia="Arial" w:hAnsi="Arial"/>
          <w:sz w:val="18"/>
          <w:szCs w:val="18"/>
          <w:i w:val="1"/>
          <w:iCs w:val="1"/>
          <w:color w:val="auto"/>
        </w:rPr>
        <w:t>between courts exercising</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 in relation to insolvency</w:t>
      </w:r>
      <w:r>
        <w:rPr>
          <w:rFonts w:ascii="Arial" w:cs="Arial" w:eastAsia="Arial" w:hAnsi="Arial"/>
          <w:sz w:val="18"/>
          <w:szCs w:val="18"/>
          <w:color w:val="auto"/>
        </w:rPr>
        <w:t>) to assist the courts having the corresponding jurisdiction in any part of the United Kingdom</w:t>
      </w:r>
      <w:r>
        <w:rPr>
          <w:rFonts w:ascii="Arial" w:cs="Arial" w:eastAsia="Arial" w:hAnsi="Arial"/>
          <w:sz w:val="18"/>
          <w:szCs w:val="18"/>
          <w:i w:val="1"/>
          <w:iCs w:val="1"/>
          <w:color w:val="auto"/>
        </w:rPr>
        <w:t xml:space="preserve"> </w:t>
      </w:r>
      <w:r>
        <w:rPr>
          <w:rFonts w:ascii="Arial" w:cs="Arial" w:eastAsia="Arial" w:hAnsi="Arial"/>
          <w:sz w:val="18"/>
          <w:szCs w:val="18"/>
          <w:color w:val="auto"/>
        </w:rPr>
        <w:t>or any relevant country or territory;</w:t>
      </w:r>
    </w:p>
    <w:p>
      <w:pPr>
        <w:spacing w:after="0" w:line="183" w:lineRule="exact"/>
        <w:rPr>
          <w:rFonts w:ascii="Arial" w:cs="Arial" w:eastAsia="Arial" w:hAnsi="Arial"/>
          <w:sz w:val="18"/>
          <w:szCs w:val="18"/>
          <w:color w:val="auto"/>
        </w:rPr>
      </w:pPr>
    </w:p>
    <w:p>
      <w:pPr>
        <w:ind w:left="1280" w:hanging="638"/>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225"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hereby consent to the incorporation by reference in this Amendment No. 1 to the Registration Statement on Form F-1 of Verona Pharma Plc of our report dated February 27, 2020 relating to the financial statements, which appears in Verona Pharma Plc's Annual Report on Form 20-F for the year ended December 31, 2019. We also consent to the reference to us under the heading “Experts” in such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lowerLetter"/>
      <w:start w:val="2"/>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amp;"/>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3"/>
    </w:lvl>
  </w:abstractNum>
  <w:abstractNum w:abstractNumId="38">
    <w:nsid w:val="180115BE"/>
    <w:multiLevelType w:val="hybridMultilevel"/>
    <w:lvl w:ilvl="0">
      <w:lvlJc w:val="left"/>
      <w:lvlText w:val="(%1)"/>
      <w:numFmt w:val="decimal"/>
      <w:start w:val="5"/>
    </w:lvl>
  </w:abstractNum>
  <w:abstractNum w:abstractNumId="39">
    <w:nsid w:val="235BA861"/>
    <w:multiLevelType w:val="hybridMultilevel"/>
    <w:lvl w:ilvl="0">
      <w:lvlJc w:val="left"/>
      <w:lvlText w:val="(%1)"/>
      <w:numFmt w:val="decimal"/>
      <w:start w:val="10"/>
    </w:lvl>
  </w:abstractNum>
  <w:abstractNum w:abstractNumId="40">
    <w:nsid w:val="47398C89"/>
    <w:multiLevelType w:val="hybridMultilevel"/>
    <w:lvl w:ilvl="0">
      <w:lvlJc w:val="left"/>
      <w:lvlText w:val="(%1)"/>
      <w:numFmt w:val="decimal"/>
      <w:start w:val="19"/>
    </w:lvl>
  </w:abstractNum>
  <w:abstractNum w:abstractNumId="41">
    <w:nsid w:val="354FE9F9"/>
    <w:multiLevelType w:val="hybridMultilevel"/>
    <w:lvl w:ilvl="0">
      <w:lvlJc w:val="left"/>
      <w:lvlText w:val="(%1)"/>
      <w:numFmt w:val="decimal"/>
      <w:start w:val="28"/>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3"/>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Roman"/>
      <w:start w:val="2"/>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lowerRoman"/>
      <w:start w:val="1"/>
    </w:lvl>
  </w:abstractNum>
  <w:abstractNum w:abstractNumId="60">
    <w:nsid w:val="100F8FCA"/>
    <w:multiLevelType w:val="hybridMultilevel"/>
    <w:lvl w:ilvl="0">
      <w:lvlJc w:val="left"/>
      <w:lvlText w:val="(%1)"/>
      <w:numFmt w:val="decimal"/>
      <w:start w:val="2"/>
    </w:lvl>
    <w:lvl w:ilvl="1">
      <w:lvlJc w:val="left"/>
      <w:lvlText w:val="(%2)"/>
      <w:numFmt w:val="upperLetter"/>
      <w:start w:val="1"/>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lowerLetter"/>
      <w:start w:val="1"/>
    </w:lvl>
    <w:lvl w:ilvl="1">
      <w:lvlJc w:val="left"/>
      <w:lvlText w:val="(%2)"/>
      <w:numFmt w:val="lowerRoman"/>
      <w:start w:val="2"/>
    </w:lvl>
  </w:abstractNum>
  <w:abstractNum w:abstractNumId="63">
    <w:nsid w:val="5F5E7FD0"/>
    <w:multiLevelType w:val="hybridMultilevel"/>
    <w:lvl w:ilvl="0">
      <w:lvlJc w:val="left"/>
      <w:lvlText w:val="(%1)"/>
      <w:numFmt w:val="lowerLetter"/>
      <w:start w:val="2"/>
    </w:lvl>
    <w:lvl w:ilvl="1">
      <w:lvlJc w:val="left"/>
      <w:lvlText w:val="%2"/>
      <w:numFmt w:val="lowerRoman"/>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2"/>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decimal"/>
      <w:start w:val="2"/>
    </w:lvl>
    <w:lvl w:ilvl="1">
      <w:lvlJc w:val="left"/>
      <w:lvlText w:val="(%2)"/>
      <w:numFmt w:val="lowerLetter"/>
      <w:start w:val="1"/>
    </w:lvl>
  </w:abstractNum>
  <w:abstractNum w:abstractNumId="70">
    <w:nsid w:val="661E3F1E"/>
    <w:multiLevelType w:val="hybridMultilevel"/>
    <w:lvl w:ilvl="0">
      <w:lvlJc w:val="left"/>
      <w:lvlText w:val="%1."/>
      <w:numFmt w:val="decimal"/>
      <w:start w:val="3"/>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9"/>
    </w:lvl>
    <w:lvl w:ilvl="1">
      <w:lvlJc w:val="left"/>
      <w:lvlText w:val="(%2)"/>
      <w:numFmt w:val="lowerRoman"/>
      <w:start w:val="1"/>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lowerLetter"/>
      <w:start w:val="1"/>
    </w:lvl>
    <w:lvl w:ilvl="1">
      <w:lvlJc w:val="left"/>
      <w:lvlText w:val="(%2)"/>
      <w:numFmt w:val="lowerRoman"/>
      <w:start w:val="1"/>
    </w:lvl>
  </w:abstractNum>
  <w:abstractNum w:abstractNumId="75">
    <w:nsid w:val="613EFDC5"/>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201"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jpe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26" Type="http://schemas.openxmlformats.org/officeDocument/2006/relationships/image" Target="media/image194.png"/><Relationship Id="rId240"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jpeg"/><Relationship Id="rId263" Type="http://schemas.openxmlformats.org/officeDocument/2006/relationships/image" Target="media/image216.png"/><Relationship Id="rId264" Type="http://schemas.openxmlformats.org/officeDocument/2006/relationships/image" Target="media/image217.jpe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187" Type="http://schemas.openxmlformats.org/officeDocument/2006/relationships/hyperlink" Target="http://www.sec.gov/Archives/edgar/data/1657312/000165731220000019/a2019veronapharma20-f.htm" TargetMode="External"/><Relationship Id="rId191" Type="http://schemas.openxmlformats.org/officeDocument/2006/relationships/hyperlink" Target="http://www.sec.gov/Archives/edgar/data/1657312/000110465920084136/tm2024866-1_20fa.htm" TargetMode="External"/><Relationship Id="rId192" Type="http://schemas.openxmlformats.org/officeDocument/2006/relationships/hyperlink" Target="http://www.sec.gov/Archives/edgar/data/1657312/000110465920098104/tm2029234d1_6ka.htm" TargetMode="External"/><Relationship Id="rId193" Type="http://schemas.openxmlformats.org/officeDocument/2006/relationships/hyperlink" Target="http://www.sec.gov/Archives/edgar/data/1657312/000165731220000054/q26kcover20201.htm" TargetMode="External"/><Relationship Id="rId194" Type="http://schemas.openxmlformats.org/officeDocument/2006/relationships/hyperlink" Target="http://www.sec.gov/Archives/edgar/data/1657312/000110465920085620/tm2025101d2_6k.htm" TargetMode="External"/><Relationship Id="rId195" Type="http://schemas.openxmlformats.org/officeDocument/2006/relationships/hyperlink" Target="http://www.sec.gov/Archives/edgar/data/1657312/000165731220000045/a20200514pdmreop26k.htm" TargetMode="External"/><Relationship Id="rId196" Type="http://schemas.openxmlformats.org/officeDocument/2006/relationships/hyperlink" Target="http://www.sec.gov/Archives/edgar/data/1657312/000165731220000043/q16kcover2020.htm" TargetMode="External"/><Relationship Id="rId197" Type="http://schemas.openxmlformats.org/officeDocument/2006/relationships/hyperlink" Target="http://www.sec.gov/Archives/edgar/data/1657312/000165731220000038/a20200416agmresult6k.htm" TargetMode="External"/><Relationship Id="rId198" Type="http://schemas.openxmlformats.org/officeDocument/2006/relationships/hyperlink" Target="http://www.sec.gov/Archives/edgar/data/1657312/000165731220000032/a20200406mdirelease.htm" TargetMode="External"/><Relationship Id="rId199" Type="http://schemas.openxmlformats.org/officeDocument/2006/relationships/hyperlink" Target="http://www.sec.gov/Archives/edgar/data/1657312/000165731220000014/mgtchange6kcover20200204.htm" TargetMode="External"/><Relationship Id="rId200" Type="http://schemas.openxmlformats.org/officeDocument/2006/relationships/hyperlink" Target="http://www.sec.gov/Archives/edgar/data/1657312/000165731220000008/q36kcover20200116.htm" TargetMode="External"/><Relationship Id="rId202" Type="http://schemas.openxmlformats.org/officeDocument/2006/relationships/hyperlink" Target="http://www.sec.gov/Archives/edgar/data/1657312/000110465917024500/a16-21903_58a12b.htm" TargetMode="External"/><Relationship Id="rId213" Type="http://schemas.openxmlformats.org/officeDocument/2006/relationships/hyperlink" Target="http://www.sec.gov/Archives/edgar/data/1657312/000104746917002313/a2231519zex-3_1.htm" TargetMode="External"/><Relationship Id="rId214" Type="http://schemas.openxmlformats.org/officeDocument/2006/relationships/hyperlink" Target="http://www.sec.gov/Archives/edgar/data/1657312/000165731218000006/exhibit21depositagreemen.htm" TargetMode="External"/><Relationship Id="rId215" Type="http://schemas.openxmlformats.org/officeDocument/2006/relationships/hyperlink" Target="http://www.sec.gov/Archives/edgar/data/1657312/000104746917002313/a2231519zex-4_3.htm" TargetMode="External"/><Relationship Id="rId216" Type="http://schemas.openxmlformats.org/officeDocument/2006/relationships/hyperlink" Target="http://www.sec.gov/Archives/edgar/data/1657312/000104746917002313/a2231519zex-4_4.htm" TargetMode="External"/><Relationship Id="rId217" Type="http://schemas.openxmlformats.org/officeDocument/2006/relationships/hyperlink" Target="http://www.sec.gov/Archives/edgar/data/1657312/000165731220000019/a215descriptionofsecurit.htm" TargetMode="External"/><Relationship Id="rId218" Type="http://schemas.openxmlformats.org/officeDocument/2006/relationships/hyperlink" Target="http://www.sec.gov/Archives/edgar/data/1657312/000104746917002313/a2231519zex-10_1.htm" TargetMode="External"/><Relationship Id="rId219" Type="http://schemas.openxmlformats.org/officeDocument/2006/relationships/hyperlink" Target="http://www.sec.gov/Archives/edgar/data/1657312/000110465920085620/tm2025101d2_ex1.htm" TargetMode="External"/><Relationship Id="rId220" Type="http://schemas.openxmlformats.org/officeDocument/2006/relationships/hyperlink" Target="http://www.sec.gov/Archives/edgar/data/1657312/000104746917002313/a2231519zex-10_2.htm" TargetMode="External"/><Relationship Id="rId221" Type="http://schemas.openxmlformats.org/officeDocument/2006/relationships/hyperlink" Target="http://www.sec.gov/Archives/edgar/data/1657312/000165731219000007/renewalagreementoctober1.htm" TargetMode="External"/><Relationship Id="rId222" Type="http://schemas.openxmlformats.org/officeDocument/2006/relationships/hyperlink" Target="http://www.sec.gov/Archives/edgar/data/1657312/000165731219000007/renewalagreementnovember.htm" TargetMode="External"/><Relationship Id="rId223" Type="http://schemas.openxmlformats.org/officeDocument/2006/relationships/hyperlink" Target="http://www.sec.gov/Archives/edgar/data/1657312/000165731219000007/renewalagreementapril320.htm" TargetMode="External"/><Relationship Id="rId224" Type="http://schemas.openxmlformats.org/officeDocument/2006/relationships/hyperlink" Target="http://www.sec.gov/Archives/edgar/data/1657312/000165731220000019/ex433reguslease13914316s.htm" TargetMode="External"/><Relationship Id="rId225" Type="http://schemas.openxmlformats.org/officeDocument/2006/relationships/hyperlink" Target="http://www.sec.gov/Archives/edgar/data/1657312/000165731220000019/ex434reguslease14214416s.htm" TargetMode="External"/><Relationship Id="rId227" Type="http://schemas.openxmlformats.org/officeDocument/2006/relationships/hyperlink" Target="http://www.sec.gov/Archives/edgar/data/1657312/000165731220000019/ex435reguslease145a15116.htm" TargetMode="External"/><Relationship Id="rId228" Type="http://schemas.openxmlformats.org/officeDocument/2006/relationships/hyperlink" Target="http://www.sec.gov/Archives/edgar/data/1657312/000165731220000019/ex436regushudsonyardslea.htm" TargetMode="External"/><Relationship Id="rId229" Type="http://schemas.openxmlformats.org/officeDocument/2006/relationships/hyperlink" Target="http://www.sec.gov/Archives/edgar/data/1657312/000104746917002313/a2231519zex-10_4.htm" TargetMode="External"/><Relationship Id="rId230" Type="http://schemas.openxmlformats.org/officeDocument/2006/relationships/hyperlink" Target="http://www.sec.gov/Archives/edgar/data/1657312/000104746917002313/a2231519zex-10_5.htm" TargetMode="External"/><Relationship Id="rId231" Type="http://schemas.openxmlformats.org/officeDocument/2006/relationships/hyperlink" Target="http://www.sec.gov/Archives/edgar/data/1657312/000165731218000006/exhibit462017plan.htm" TargetMode="External"/><Relationship Id="rId232" Type="http://schemas.openxmlformats.org/officeDocument/2006/relationships/hyperlink" Target="http://www.sec.gov/Archives/edgar/data/1657312/000165731220000019/a47dzaccarrelliemploymen.htm" TargetMode="External"/><Relationship Id="rId233" Type="http://schemas.openxmlformats.org/officeDocument/2006/relationships/hyperlink" Target="http://www.sec.gov/Archives/edgar/data/1657312/000165731219000007/kathyrickardemploymentag.htm" TargetMode="External"/><Relationship Id="rId234" Type="http://schemas.openxmlformats.org/officeDocument/2006/relationships/hyperlink" Target="http://www.sec.gov/Archives/edgar/data/1657312/000104746917002313/a2231519zex-10_9.htm" TargetMode="External"/><Relationship Id="rId235" Type="http://schemas.openxmlformats.org/officeDocument/2006/relationships/hyperlink" Target="http://www.sec.gov/Archives/edgar/data/1657312/000110465920095810/tm2027314d2_ex10-12.htm" TargetMode="External"/><Relationship Id="rId236" Type="http://schemas.openxmlformats.org/officeDocument/2006/relationships/hyperlink" Target="http://www.sec.gov/Archives/edgar/data/1657312/000104746917002697/a2231786zex-10_111.htm" TargetMode="External"/><Relationship Id="rId237" Type="http://schemas.openxmlformats.org/officeDocument/2006/relationships/hyperlink" Target="http://www.sec.gov/Archives/edgar/data/1657312/000104746917002697/a2231786zex-10_112.htm" TargetMode="External"/><Relationship Id="rId238" Type="http://schemas.openxmlformats.org/officeDocument/2006/relationships/hyperlink" Target="http://www.sec.gov/Archives/edgar/data/1657312/000104746917002313/a2231519zex-10_12.htm" TargetMode="External"/><Relationship Id="rId239" Type="http://schemas.openxmlformats.org/officeDocument/2006/relationships/hyperlink" Target="http://www.sec.gov/Archives/edgar/data/1657312/000104746917002313/a2231519zex-10_13.htm" TargetMode="External"/><Relationship Id="rId241" Type="http://schemas.openxmlformats.org/officeDocument/2006/relationships/hyperlink" Target="http://www.sec.gov/Archives/edgar/data/1657312/000104746917002313/a2231519zex-10_14.htm" TargetMode="External"/><Relationship Id="rId242" Type="http://schemas.openxmlformats.org/officeDocument/2006/relationships/hyperlink" Target="http://www.sec.gov/Archives/edgar/data/1657312/000104746917002313/a2231519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2020-08-25T15:08:45Z</dcterms:created>
  <dcterms:modified xsi:type="dcterms:W3CDTF">2020-08-25T15:08:45Z</dcterms:modified>
</cp:coreProperties>
</file>