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428400-1_4seq1.xml.htm"/>
      <w:bookmarkStart w:id="1" w:name="kstm2428400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Hahn Mark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MORE LONDON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RIVERSIDE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SE1 2RE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Verona Pharma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VRNA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4"/>
        <w:gridCol w:w="905"/>
        <w:gridCol w:w="774"/>
        <w:gridCol w:w="601"/>
        <w:gridCol w:w="348"/>
        <w:gridCol w:w="845"/>
        <w:gridCol w:w="453"/>
        <w:gridCol w:w="616"/>
        <w:gridCol w:w="1408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  <w:r>
              <w:rPr/>
              <w:t xml:space="preserve"> 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14,291,336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Reported securities are represented by American Depositary Shares ("ADSs"), each of which represents eight (8)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reported in this Form 4 was effected pursuant to a Rule 10b5-1 instruction adopted on March 6,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Consists of (i) 3,000,000 Ordinary Shares underlying Restricted Share Units, each of which represents a contingent right to receive one (1) Ordinary Share of the Issuer (which are represented by 375,000 ADSs); and (ii) 11,291,336 Ordinary Shares underlying 1,411,417 ADSs.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Fisher, Attorney-in-Fact for Mark Hahn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08502" TargetMode="External"/><Relationship Id="rId5" Type="http://schemas.openxmlformats.org/officeDocument/2006/relationships/hyperlink" Target="http://www.sec.gov/cgi-bin/browse-edgar?action=getcompany&amp;CIK=00016573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3517</Characters>
  <CharactersWithSpaces>4105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