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60"/>
        <w:spacing w:after="0"/>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Written communications pursuant to Rule 425 under the Securities Act (17 CFR 230.425)</w:t>
      </w:r>
    </w:p>
    <w:p>
      <w:pPr>
        <w:spacing w:after="0" w:line="232" w:lineRule="exact"/>
        <w:rPr>
          <w:sz w:val="24"/>
          <w:szCs w:val="24"/>
          <w:color w:val="auto"/>
        </w:rPr>
      </w:pPr>
    </w:p>
    <w:p>
      <w:pPr>
        <w:ind w:left="460"/>
        <w:spacing w:after="0"/>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Soliciting material pursuant to Rule 14a-12 under the Exchange Act (17 CFR 240.14a-12)</w:t>
      </w:r>
    </w:p>
    <w:p>
      <w:pPr>
        <w:spacing w:after="0" w:line="218" w:lineRule="exact"/>
        <w:rPr>
          <w:sz w:val="24"/>
          <w:szCs w:val="24"/>
          <w:color w:val="auto"/>
        </w:rPr>
      </w:pPr>
    </w:p>
    <w:p>
      <w:pPr>
        <w:ind w:left="460"/>
        <w:spacing w:after="0"/>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2" w:lineRule="exact"/>
        <w:rPr>
          <w:sz w:val="24"/>
          <w:szCs w:val="24"/>
          <w:color w:val="auto"/>
        </w:rPr>
      </w:pPr>
    </w:p>
    <w:p>
      <w:pPr>
        <w:ind w:left="460"/>
        <w:spacing w:after="0"/>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180" w:type="dxa"/>
            <w:vAlign w:val="bottom"/>
            <w:tcBorders>
              <w:top w:val="single" w:sz="8" w:color="auto"/>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Trading Symbol(s)</w:t>
            </w:r>
          </w:p>
        </w:tc>
        <w:tc>
          <w:tcPr>
            <w:tcW w:w="336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1"/>
        </w:trPr>
        <w:tc>
          <w:tcPr>
            <w:tcW w:w="4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£0.05 per share*</w:t>
            </w:r>
          </w:p>
        </w:tc>
        <w:tc>
          <w:tcPr>
            <w:tcW w:w="3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VRNA</w:t>
            </w:r>
          </w:p>
        </w:tc>
        <w:tc>
          <w:tcPr>
            <w:tcW w:w="3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6" w:lineRule="exact"/>
        <w:rPr>
          <w:sz w:val="24"/>
          <w:szCs w:val="24"/>
          <w:color w:val="auto"/>
        </w:rPr>
      </w:pPr>
    </w:p>
    <w:p>
      <w:pPr>
        <w:jc w:val="both"/>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4"/>
          <w:szCs w:val="24"/>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8"/>
          <w:szCs w:val="18"/>
          <w:b w:val="1"/>
          <w:bCs w:val="1"/>
          <w:color w:val="auto"/>
        </w:rPr>
        <w:t>Changes in Registrant’s Certifying Accountant.</w:t>
      </w:r>
    </w:p>
    <w:p>
      <w:pPr>
        <w:spacing w:after="0" w:line="229" w:lineRule="exact"/>
        <w:rPr>
          <w:sz w:val="20"/>
          <w:szCs w:val="20"/>
          <w:color w:val="auto"/>
        </w:rPr>
      </w:pPr>
    </w:p>
    <w:p>
      <w:pPr>
        <w:ind w:right="60" w:firstLine="8"/>
        <w:spacing w:after="0" w:line="255" w:lineRule="auto"/>
        <w:tabs>
          <w:tab w:leader="none" w:pos="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On December 14, 2023, the Audit and Risk Committee of the Board of Directors of Verona Pharma plc (the “Company”) dismissed PricewaterhouseCoopers LLP (“PwC”) and approved the engagement of Ernst &amp; Young LLP (“EY”) to serve as the Company’s independent registered public accounting firm (“independent auditor”) to audit the Company’s consolidated financial statements as of and for the fiscal year ending December 31, 2024, contingent upon the appointment of EY as the Company’s independent auditor by the Company’s shareholders at its 2024 Annual General Meeting (the “Shareholder Appointment”). Subject to the Shareholder Appointment, EY will replace PwC, the Company’s current independent auditor, which is not being nominated for re-appointment by the shareholders and whose term as independent auditor is expected to end following the Company’s 2024 Annual General Meeting.</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reports of PwC on the Company’s consolidated financial statements as of and for the years ended December 31, 2022 and 2021 did not contain an adverse opinion or a disclaimer of opinion, nor were they qualified or modified as to uncertainty, audit scope or accounting principles.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in the subsequent interim period through December 14, 2023, there were (i) no “disagreements” (as that term is defined in Item 304(a)(1)(iv) of Regulation S-K) between the Company and PwC on any matter of accounting principles or practices, financial statement disclosure or auditing scope or procedures, which, if not resolved to the satisfaction of PwC, would have caused PwC to make reference to the matter in its report on the financial statements for such years, and (ii) no “reportable events” (as that term is described in Item 304(a)(1) (v) of Regulation S-K).</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provided PwC with a copy of the disclosures contained in this Current Report on Form 8-K (this “Current Report”) and requested that PwC furnish a letter addressed to the Securities and Exchange Commission stating whether it agrees with the statements contained herein. A copy of PwC’s letter dated December 14, 2023 is filed as Exhibit 16.1 hereto.</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During the Company’s two most recent fiscal years ended December 31, 2022 and December 31, 2021, and the subsequent interim period from January 1, 2023 through December 14, 2023, neither the Company nor anyone acting on its behalf consulted with EY regarding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EY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thereto) or a “reportable event” (as described in Item 304(a)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(1)(v) of Regulation S-K).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3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10"/>
        </w:trPr>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9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Letter of PricewaterhouseCoopers LLP, dated December 14, 2023.</w:t>
            </w:r>
          </w:p>
        </w:tc>
      </w:tr>
      <w:tr>
        <w:trPr>
          <w:trHeight w:val="20"/>
        </w:trPr>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17"/>
          <w:szCs w:val="17"/>
          <w:i w:val="1"/>
          <w:iCs w:val="1"/>
          <w:color w:val="auto"/>
        </w:rPr>
        <w:t>This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the appointment or dismissal of the Company’s independent auditor and approval of the Shareholder Appointment.</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Statements using words such as “expect”, “anticipate”, “believe”, “may”, “will”, “contingent”, “subject” and similar terms are also forward-looking statements. These forward-looking statements are based on management's current expectations. These statements are neither promises nor guarantees, but involve known and unknown risks, uncertainties and other important factors that may cause the Company’s actual results, performance or achievements to be materially different from its expectations expressed or implied by the forward-looking statements, including without limitation, the risk that the Company’s shareholders do not approve the Shareholder Appointment and the factors discussed under the caption “Risk Factors” in its Quarterly Report on Form 10-Q for the period ended September 30, 2023 and in its Annual Report on Form 10-K for the year ended December 31, 2022 and as any such factors may be updated from time to time in its other filings with the SEC. Any such forward-looking statements represent management's estimates as of the date of this Current Report. While the Company may elect to update such forward-looking statements at some point in the future, it disclaims any obligation to do so, even if subsequent events cause its views to change. These forward-looking statements should not be relied upon as representing the Company’s views as of any date subsequent to the date of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18, 2023</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8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8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8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303020" cy="969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02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Verona Pharma plc pursuant to Item 4.01 of Form 8-K (copy attached), which we understand will be filed with the Securities and Exchange Commission as part of the Current Report on Form 8-K of Verona Pharma plc dated December 14, 2023. We agree with the statements concerning our Firm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PricewaterhouseCoopers LLP, 3 Forbury Place, 23 Forbury Road, Reading, Berkshire RG1 3JH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 +44 (0) 1189 597 111, F: +44 (0) 1189 383 020, www.pwc.co.uk</w:t>
      </w:r>
    </w:p>
    <w:p>
      <w:pPr>
        <w:spacing w:after="0" w:line="12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PricewaterhouseCoopers LLP is a limited liability partnership registered in England with registered number OC303525. The registered office of PricewaterhouseCoopers LLP is 1 Embankment Place, London WC2N 6RH. PricewaterhouseCoopers LLP is authorised and regulated by the Financial Conduct Authority for designated investment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2023-12-18T15:21:57Z</dcterms:created>
  <dcterms:modified xsi:type="dcterms:W3CDTF">2023-12-18T15:21:57Z</dcterms:modified>
</cp:coreProperties>
</file>