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1263015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United Kingdom</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0"/>
              </w:rPr>
              <w:t>001-39067</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98-1489389</w:t>
            </w:r>
          </w:p>
        </w:tc>
      </w:tr>
      <w:tr>
        <w:trPr>
          <w:trHeight w:val="252"/>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(State or other jurisdiction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(Commission</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of incorporation)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Identification No.)</w:t>
            </w:r>
          </w:p>
        </w:tc>
      </w:tr>
      <w:tr>
        <w:trPr>
          <w:trHeight w:val="643"/>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United Kingdom</w:t>
            </w:r>
          </w:p>
        </w:tc>
        <w:tc>
          <w:tcPr>
            <w:tcW w:w="286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+44 203 283 4200</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rPr>
              <w:t>N/A</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7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37"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440" w:right="339" w:bottom="191"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42"/>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VRNA</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30"/>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right="480" w:firstLine="8"/>
        <w:spacing w:after="0" w:line="277" w:lineRule="auto"/>
        <w:tabs>
          <w:tab w:leader="none" w:pos="1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1209675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3, 2022, Verona Pharma plc announced its financial results for the quarter ended March 31, 2022. The full text of the press release issued in connection with the announcement is furnished as Exhibit 99.1 to this Current Report on Form 8-K.</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12" w:lineRule="exact"/>
        <w:rPr>
          <w:sz w:val="20"/>
          <w:szCs w:val="20"/>
          <w:color w:val="auto"/>
        </w:rPr>
      </w:pPr>
    </w:p>
    <w:p>
      <w:pPr>
        <w:ind w:left="320"/>
        <w:spacing w:after="0"/>
        <w:tabs>
          <w:tab w:leader="none" w:pos="1060" w:val="left"/>
        </w:tabs>
        <w:rPr>
          <w:rFonts w:ascii="Arial" w:cs="Arial" w:eastAsia="Arial" w:hAnsi="Arial"/>
          <w:sz w:val="15"/>
          <w:szCs w:val="15"/>
          <w:u w:val="single" w:color="auto"/>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5">
        <w:r>
          <w:rPr>
            <w:rFonts w:ascii="Arial" w:cs="Arial" w:eastAsia="Arial" w:hAnsi="Arial"/>
            <w:sz w:val="15"/>
            <w:szCs w:val="15"/>
            <w:u w:val="single" w:color="auto"/>
            <w:color w:val="0000FF"/>
          </w:rPr>
          <w:t xml:space="preserve">Press </w:t>
        </w:r>
      </w:hyperlink>
      <w:r>
        <w:rPr>
          <w:rFonts w:ascii="Arial" w:cs="Arial" w:eastAsia="Arial" w:hAnsi="Arial"/>
          <w:sz w:val="15"/>
          <w:szCs w:val="15"/>
          <w:u w:val="single" w:color="auto"/>
          <w:color w:val="0000FF"/>
        </w:rPr>
        <w:t xml:space="preserve">Release </w:t>
      </w:r>
      <w:hyperlink w:anchor="page5">
        <w:r>
          <w:rPr>
            <w:rFonts w:ascii="Arial" w:cs="Arial" w:eastAsia="Arial" w:hAnsi="Arial"/>
            <w:sz w:val="15"/>
            <w:szCs w:val="15"/>
            <w:u w:val="single" w:color="auto"/>
            <w:color w:val="0000FF"/>
          </w:rPr>
          <w:t>issued on May 3, 2022</w:t>
        </w:r>
      </w:hyperlink>
    </w:p>
    <w:p>
      <w:pPr>
        <w:spacing w:after="0" w:line="63" w:lineRule="exact"/>
        <w:rPr>
          <w:rFonts w:ascii="Arial" w:cs="Arial" w:eastAsia="Arial" w:hAnsi="Arial"/>
          <w:sz w:val="18"/>
          <w:szCs w:val="18"/>
          <w:u w:val="single" w:color="auto"/>
          <w:color w:val="0000FF"/>
        </w:rPr>
      </w:pPr>
    </w:p>
    <w:p>
      <w:pPr>
        <w:ind w:left="36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1330960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2160"/>
              <w:spacing w:after="0"/>
              <w:rPr>
                <w:sz w:val="20"/>
                <w:szCs w:val="20"/>
                <w:color w:val="auto"/>
              </w:rPr>
            </w:pPr>
            <w:r>
              <w:rPr>
                <w:rFonts w:ascii="Arial" w:cs="Arial" w:eastAsia="Arial" w:hAnsi="Arial"/>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500" w:type="dxa"/>
            <w:vAlign w:val="bottom"/>
          </w:tcPr>
          <w:p>
            <w:pPr>
              <w:spacing w:after="0"/>
              <w:rPr>
                <w:sz w:val="20"/>
                <w:szCs w:val="20"/>
                <w:color w:val="auto"/>
              </w:rPr>
            </w:pPr>
            <w:r>
              <w:rPr>
                <w:rFonts w:ascii="Arial" w:cs="Arial" w:eastAsia="Arial" w:hAnsi="Arial"/>
                <w:sz w:val="18"/>
                <w:szCs w:val="18"/>
                <w:color w:val="auto"/>
              </w:rPr>
              <w:t>Date: May 3, 2022</w:t>
            </w:r>
          </w:p>
        </w:tc>
        <w:tc>
          <w:tcPr>
            <w:tcW w:w="2840" w:type="dxa"/>
            <w:vAlign w:val="bottom"/>
          </w:tcPr>
          <w:p>
            <w:pPr>
              <w:ind w:left="2160"/>
              <w:spacing w:after="0"/>
              <w:rPr>
                <w:sz w:val="20"/>
                <w:szCs w:val="20"/>
                <w:color w:val="auto"/>
              </w:rPr>
            </w:pPr>
            <w:r>
              <w:rPr>
                <w:rFonts w:ascii="Arial" w:cs="Arial" w:eastAsia="Arial" w:hAnsi="Arial"/>
                <w:sz w:val="18"/>
                <w:szCs w:val="18"/>
                <w:color w:val="auto"/>
              </w:rPr>
              <w:t>By:</w:t>
            </w:r>
          </w:p>
        </w:tc>
        <w:tc>
          <w:tcPr>
            <w:tcW w:w="4880" w:type="dxa"/>
            <w:vAlign w:val="bottom"/>
          </w:tcPr>
          <w:p>
            <w:pPr>
              <w:ind w:left="60"/>
              <w:spacing w:after="0"/>
              <w:rPr>
                <w:sz w:val="20"/>
                <w:szCs w:val="20"/>
                <w:color w:val="auto"/>
              </w:rPr>
            </w:pPr>
            <w:r>
              <w:rPr>
                <w:rFonts w:ascii="Arial" w:cs="Arial" w:eastAsia="Arial" w:hAnsi="Arial"/>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840" w:type="dxa"/>
            <w:vAlign w:val="bottom"/>
            <w:vMerge w:val="restart"/>
          </w:tcPr>
          <w:p>
            <w:pPr>
              <w:ind w:left="216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2840" w:type="dxa"/>
            <w:vAlign w:val="bottom"/>
          </w:tcPr>
          <w:p>
            <w:pPr>
              <w:ind w:left="2160"/>
              <w:spacing w:after="0"/>
              <w:rPr>
                <w:sz w:val="20"/>
                <w:szCs w:val="20"/>
                <w:color w:val="auto"/>
              </w:rPr>
            </w:pPr>
            <w:r>
              <w:rPr>
                <w:rFonts w:ascii="Arial" w:cs="Arial" w:eastAsia="Arial" w:hAnsi="Arial"/>
                <w:sz w:val="18"/>
                <w:szCs w:val="18"/>
                <w:color w:val="auto"/>
              </w:rPr>
              <w:t>Title:</w:t>
            </w:r>
          </w:p>
        </w:tc>
        <w:tc>
          <w:tcPr>
            <w:tcW w:w="4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990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First Quarter 2022 Financial Results and Provides Corporate Update</w:t>
      </w:r>
    </w:p>
    <w:p>
      <w:pPr>
        <w:spacing w:after="0" w:line="174" w:lineRule="exact"/>
        <w:rPr>
          <w:sz w:val="20"/>
          <w:szCs w:val="20"/>
          <w:color w:val="auto"/>
        </w:rPr>
      </w:pPr>
    </w:p>
    <w:p>
      <w:pPr>
        <w:jc w:val="center"/>
        <w:ind w:left="340" w:right="1940"/>
        <w:spacing w:after="0" w:line="320" w:lineRule="auto"/>
        <w:rPr>
          <w:sz w:val="20"/>
          <w:szCs w:val="20"/>
          <w:color w:val="auto"/>
        </w:rPr>
      </w:pPr>
      <w:r>
        <w:rPr>
          <w:rFonts w:ascii="Arial" w:cs="Arial" w:eastAsia="Arial" w:hAnsi="Arial"/>
          <w:sz w:val="22"/>
          <w:szCs w:val="22"/>
          <w:i w:val="1"/>
          <w:iCs w:val="1"/>
          <w:color w:val="auto"/>
        </w:rPr>
        <w:t>Phase 3 ENHANCE-2 trial on target to report top-line COPD data in Q3 2022 James Brady joined the Board as Non-Executive Director Conference call today at 9:00 a.m. EDT / 2:00 p.m. BST</w:t>
      </w:r>
    </w:p>
    <w:p>
      <w:pPr>
        <w:spacing w:after="0" w:line="312" w:lineRule="exact"/>
        <w:rPr>
          <w:sz w:val="20"/>
          <w:szCs w:val="20"/>
          <w:color w:val="auto"/>
        </w:rPr>
      </w:pPr>
    </w:p>
    <w:p>
      <w:pPr>
        <w:jc w:val="both"/>
        <w:spacing w:after="0" w:line="222" w:lineRule="auto"/>
        <w:rPr>
          <w:sz w:val="20"/>
          <w:szCs w:val="20"/>
          <w:color w:val="auto"/>
        </w:rPr>
      </w:pPr>
      <w:r>
        <w:rPr>
          <w:rFonts w:ascii="Arial" w:cs="Arial" w:eastAsia="Arial" w:hAnsi="Arial"/>
          <w:sz w:val="20"/>
          <w:szCs w:val="20"/>
          <w:b w:val="1"/>
          <w:bCs w:val="1"/>
          <w:color w:val="auto"/>
        </w:rPr>
        <w:t xml:space="preserve">LONDON and RALEIGH, N.C., May 3, 2022 </w:t>
      </w:r>
      <w:r>
        <w:rPr>
          <w:rFonts w:ascii="Arial" w:cs="Arial" w:eastAsia="Arial" w:hAnsi="Arial"/>
          <w:sz w:val="20"/>
          <w:szCs w:val="20"/>
          <w:color w:val="auto"/>
        </w:rPr>
        <w:t>– Verona Pharma plc (Nasdaq: VRNA) (“Verona Pharma” or the “Company”),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focused on respiratory diseases, announces its financial results for the three months ended March 31, 2022, and provides a corporate update.</w:t>
      </w:r>
    </w:p>
    <w:p>
      <w:pPr>
        <w:spacing w:after="0" w:line="61" w:lineRule="exact"/>
        <w:rPr>
          <w:sz w:val="20"/>
          <w:szCs w:val="20"/>
          <w:color w:val="auto"/>
        </w:rPr>
      </w:pPr>
    </w:p>
    <w:p>
      <w:pPr>
        <w:jc w:val="both"/>
        <w:spacing w:after="0" w:line="225" w:lineRule="auto"/>
        <w:rPr>
          <w:sz w:val="20"/>
          <w:szCs w:val="20"/>
          <w:color w:val="auto"/>
        </w:rPr>
      </w:pPr>
      <w:r>
        <w:rPr>
          <w:rFonts w:ascii="Arial" w:cs="Arial" w:eastAsia="Arial" w:hAnsi="Arial"/>
          <w:sz w:val="19"/>
          <w:szCs w:val="19"/>
          <w:color w:val="auto"/>
        </w:rPr>
        <w:t>“During the first quarter, enrollment in our Phase 3 ENHANCE (“Ensifentrine as a Novel inHAled Nebulized COPD thErapy”) clinical program continued and we are now close to completing recruitment for this program,” said David Zaccardelli, Pharm. D., President and Chief Executive Officer. “As of May 2, 2022, approximately 90% of subjects were randomized into ENHANCE-1.</w:t>
      </w:r>
    </w:p>
    <w:p>
      <w:pPr>
        <w:spacing w:after="0" w:line="61"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“We are on track to report top-line data from ENHANCE-2 in the third quarter of 2022 and from ENHANCE-1 around the end of the year. The top-line data from both ENHANCE trials will include the primary endpoint, improvement in lung function as measured by average forced expiratory volume in one second (FEV</w:t>
      </w:r>
      <w:r>
        <w:rPr>
          <w:rFonts w:ascii="Arial" w:cs="Arial" w:eastAsia="Arial" w:hAnsi="Arial"/>
          <w:sz w:val="12"/>
          <w:szCs w:val="12"/>
          <w:color w:val="auto"/>
        </w:rPr>
        <w:t>1</w:t>
      </w:r>
      <w:r>
        <w:rPr>
          <w:rFonts w:ascii="Arial" w:cs="Arial" w:eastAsia="Arial" w:hAnsi="Arial"/>
          <w:sz w:val="20"/>
          <w:szCs w:val="20"/>
          <w:color w:val="auto"/>
        </w:rPr>
        <w:t>) area under the curve (AUC) 0-12 hours post dose at week 12, as well as key secondary endpoints comprising measurements of COPD symptoms and health-related quality of life, including ER-S and SGRQ endpoints, as well as overall safety data.</w:t>
      </w:r>
    </w:p>
    <w:p>
      <w:pPr>
        <w:spacing w:after="0" w:line="61"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“The design of the ENHANCE program was based on analysis of our Phase 2b clinical trials in subjects with moderate to severe COPD including similar entry and exclusion parameters as well as key study endpoints. To date, overall population attributes including demographics and baseline COPD characteristics including smoking history, lung function, symptoms and quality of life for subjects in the ENHANCE program are similar to those seen in the Phase 2b trials.</w:t>
      </w:r>
    </w:p>
    <w:p>
      <w:pPr>
        <w:spacing w:after="0" w:line="63"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“Alongside our clinical progress, James Brady, former Chief Financial Officer of MedImmune, joined our board as a Non-Executive Director. James brings a wealth of leadership, strategic and commercial expertise, which will be key as we prepare to submit our planned New Drug Application (“NDA”) in the U.S. for ensifentrine and progress our commercialization and licensing strategy.”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Based on current models of forecasted recruitment and study progression, the Company’s near-term milestones include:</w:t>
      </w:r>
    </w:p>
    <w:p>
      <w:pPr>
        <w:spacing w:after="0" w:line="67" w:lineRule="exact"/>
        <w:rPr>
          <w:sz w:val="20"/>
          <w:szCs w:val="20"/>
          <w:color w:val="auto"/>
        </w:rPr>
      </w:pPr>
    </w:p>
    <w:p>
      <w:pPr>
        <w:jc w:val="both"/>
        <w:ind w:left="660" w:hanging="328"/>
        <w:spacing w:after="0" w:line="21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Completing enrollment of ENHANCE-1 in the second quarter of 2022. This would conclude enrollment in the Phase 3 ENHANCE program. The Company projects approximately 55-65% of subjects will be receiving background therapy in each study.</w:t>
      </w:r>
    </w:p>
    <w:p>
      <w:pPr>
        <w:spacing w:after="0" w:line="6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Reporting top-line data from ENHANCE-2 in the third quarter of 2022 and from ENHANCE-1 around the end of 2022.</w:t>
      </w:r>
    </w:p>
    <w:p>
      <w:pPr>
        <w:spacing w:after="0" w:line="67" w:lineRule="exact"/>
        <w:rPr>
          <w:rFonts w:ascii="Arial" w:cs="Arial" w:eastAsia="Arial" w:hAnsi="Arial"/>
          <w:sz w:val="20"/>
          <w:szCs w:val="20"/>
          <w:color w:val="auto"/>
        </w:rPr>
      </w:pPr>
    </w:p>
    <w:p>
      <w:pPr>
        <w:ind w:left="660" w:hanging="328"/>
        <w:spacing w:after="0" w:line="222"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Conditional upon positive results, the Company expects to submit an NDA to the US Food and Drug Administration (“FDA”) in the first half of 2023.</w:t>
      </w:r>
    </w:p>
    <w:p>
      <w:pPr>
        <w:spacing w:after="0" w:line="6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With the recent sanctions and other government restrictions resulting from the Russia-Ukraine conflict and the COVID-19 pandemic continuing to impact a number of clinical trial activities, the Company continues to closely monitor these timelines.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232323"/>
        </w:rPr>
        <w:t>First Quarter and Recent Highlights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Clinical</w:t>
      </w:r>
    </w:p>
    <w:p>
      <w:pPr>
        <w:spacing w:after="0" w:line="9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January 2022, the Company completed enrollment in ENHANCE-2 with more than 800 subjects randomized.</w:t>
      </w:r>
    </w:p>
    <w:p>
      <w:pPr>
        <w:spacing w:after="0" w:line="4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u w:val="single" w:color="auto"/>
          <w:color w:val="auto"/>
        </w:rPr>
        <w:t>Corporate</w:t>
      </w:r>
    </w:p>
    <w:p>
      <w:pPr>
        <w:spacing w:after="0" w:line="91" w:lineRule="exact"/>
        <w:rPr>
          <w:rFonts w:ascii="Arial" w:cs="Arial" w:eastAsia="Arial" w:hAnsi="Arial"/>
          <w:sz w:val="20"/>
          <w:szCs w:val="20"/>
          <w:color w:val="auto"/>
        </w:rPr>
      </w:pPr>
    </w:p>
    <w:p>
      <w:pPr>
        <w:jc w:val="both"/>
        <w:ind w:left="660" w:hanging="328"/>
        <w:spacing w:after="0" w:line="20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March 2022, Mr. James Brady joined the board as a Non-Executive Director. Mr. Brady has 30-plus-years of experience in the biopharmaceutical industry, serving in multiple leadership roles across the U.S., Europe and China during his career at AstraZeneca. Most recently, he served as Chief Financial Officer of MedImmune, the biologics discovery and development division of AstraZeneca.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2022 Financial Results</w:t>
      </w:r>
    </w:p>
    <w:p>
      <w:pPr>
        <w:spacing w:after="0" w:line="67" w:lineRule="exact"/>
        <w:rPr>
          <w:sz w:val="20"/>
          <w:szCs w:val="20"/>
          <w:color w:val="auto"/>
        </w:rPr>
      </w:pPr>
    </w:p>
    <w:p>
      <w:pPr>
        <w:jc w:val="both"/>
        <w:ind w:left="660" w:hanging="328"/>
        <w:spacing w:after="0" w:line="21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March 31, 2022, were $132.8 million (December 31, 2021: $148.4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believes cash and cash equivalents at March 31, 2022, expected cash receipts from the U.K. tax credit program and funding expected to become available under the $30.0 million debt facility, will enable Verona Pharma to fund planned operating expenses and capital expenditure requirements through at least the end of 2023.</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were $17.6 million for the first quarter ended March 31,</w:t>
      </w:r>
    </w:p>
    <w:p>
      <w:pPr>
        <w:jc w:val="both"/>
        <w:ind w:left="660"/>
        <w:spacing w:after="0" w:line="213" w:lineRule="auto"/>
        <w:rPr>
          <w:rFonts w:ascii="Arial" w:cs="Arial" w:eastAsia="Arial" w:hAnsi="Arial"/>
          <w:sz w:val="18"/>
          <w:szCs w:val="18"/>
          <w:color w:val="auto"/>
        </w:rPr>
      </w:pPr>
      <w:r>
        <w:rPr>
          <w:rFonts w:ascii="Arial" w:cs="Arial" w:eastAsia="Arial" w:hAnsi="Arial"/>
          <w:sz w:val="20"/>
          <w:szCs w:val="20"/>
          <w:color w:val="auto"/>
        </w:rPr>
        <w:t>2022 (Q1 2021: $13.6 million). The increase of $4.0 million was primarily due to a $5.6 million increase in costs associated with the Phase 3 ENHANCE program partially offset by a $2.0 million reduction in share-based compensation charges.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$7.4 million for the first quarter ended</w:t>
      </w:r>
    </w:p>
    <w:p>
      <w:pPr>
        <w:jc w:val="both"/>
        <w:ind w:left="660" w:right="20"/>
        <w:spacing w:after="0" w:line="213" w:lineRule="auto"/>
        <w:rPr>
          <w:rFonts w:ascii="Arial" w:cs="Arial" w:eastAsia="Arial" w:hAnsi="Arial"/>
          <w:sz w:val="18"/>
          <w:szCs w:val="18"/>
          <w:color w:val="auto"/>
        </w:rPr>
      </w:pPr>
      <w:r>
        <w:rPr>
          <w:rFonts w:ascii="Arial" w:cs="Arial" w:eastAsia="Arial" w:hAnsi="Arial"/>
          <w:sz w:val="20"/>
          <w:szCs w:val="20"/>
          <w:color w:val="auto"/>
        </w:rPr>
        <w:t>March 31, 2022 (Q1 2021: $9.3 million). The decrease of $1.9 million was primarily driven by a decrease in share-based compensation charges of $3.1 million and a $0.6 million decrease in professional fees, partially offset by the $2.0 million charge related to the modification of the Ligand Agreement.</w:t>
      </w:r>
    </w:p>
    <w:p>
      <w:pPr>
        <w:spacing w:after="0" w:line="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$24.8 million for the first quarter ended March 31, 2022 (Q1 2021: net loss $21.3 million).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Conference Call and Webcast Information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Verona Pharma will host an investment community conference call at 9:00 a.m. EDT /</w:t>
      </w:r>
    </w:p>
    <w:p>
      <w:pPr>
        <w:spacing w:after="0"/>
        <w:rPr>
          <w:sz w:val="20"/>
          <w:szCs w:val="20"/>
          <w:color w:val="auto"/>
        </w:rPr>
      </w:pPr>
      <w:r>
        <w:rPr>
          <w:rFonts w:ascii="Arial" w:cs="Arial" w:eastAsia="Arial" w:hAnsi="Arial"/>
          <w:sz w:val="20"/>
          <w:szCs w:val="20"/>
          <w:color w:val="auto"/>
        </w:rPr>
        <w:t>2:00 p.m. BST on Tuesday, May 3, 2022 to discuss the first quarter 2022 financial results and the corporate update.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Analysts and investors may participate by dialing one of the following numbers and reference conference ID 2045514:</w:t>
      </w:r>
    </w:p>
    <w:p>
      <w:pPr>
        <w:spacing w:after="0" w:line="10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+1-888-317-6003 for callers in the United States</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+1-412-317-6061 for international callers</w:t>
      </w:r>
    </w:p>
    <w:p>
      <w:pPr>
        <w:spacing w:after="0" w:line="108"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 www.veronapharma.com, and the audio replay will be available for 90 days. An electronic copy of the first quarter 2022 results press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94" w:right="339" w:bottom="1440" w:gutter="0" w:footer="0" w:header="0"/>
        </w:sectPr>
      </w:pPr>
    </w:p>
    <w:bookmarkStart w:id="6" w:name="page7"/>
    <w:bookmarkEnd w:id="6"/>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960" w:type="dxa"/>
            <w:vAlign w:val="bottom"/>
            <w:tcBorders>
              <w:left w:val="single" w:sz="8" w:color="F2F2F2"/>
              <w:bottom w:val="single" w:sz="8" w:color="CFCFCF"/>
            </w:tcBorders>
            <w:shd w:val="clear" w:color="auto" w:fill="F2F2F2"/>
          </w:tcPr>
          <w:p>
            <w:pPr>
              <w:spacing w:after="0"/>
              <w:rPr>
                <w:sz w:val="23"/>
                <w:szCs w:val="23"/>
                <w:color w:val="auto"/>
              </w:rPr>
            </w:pPr>
          </w:p>
        </w:tc>
        <w:tc>
          <w:tcPr>
            <w:tcW w:w="120" w:type="dxa"/>
            <w:vAlign w:val="bottom"/>
            <w:tcBorders>
              <w:bottom w:val="single" w:sz="8" w:color="CFCFCF"/>
            </w:tcBorders>
          </w:tcPr>
          <w:p>
            <w:pPr>
              <w:spacing w:after="0"/>
              <w:rPr>
                <w:sz w:val="23"/>
                <w:szCs w:val="23"/>
                <w:color w:val="auto"/>
              </w:rPr>
            </w:pPr>
          </w:p>
        </w:tc>
        <w:tc>
          <w:tcPr>
            <w:tcW w:w="2340" w:type="dxa"/>
            <w:vAlign w:val="bottom"/>
            <w:tcBorders>
              <w:bottom w:val="single" w:sz="8" w:color="CFCFCF"/>
            </w:tcBorders>
          </w:tcPr>
          <w:p>
            <w:pPr>
              <w:spacing w:after="0"/>
              <w:rPr>
                <w:sz w:val="23"/>
                <w:szCs w:val="23"/>
                <w:color w:val="auto"/>
              </w:rPr>
            </w:pPr>
          </w:p>
        </w:tc>
        <w:tc>
          <w:tcPr>
            <w:tcW w:w="280" w:type="dxa"/>
            <w:vAlign w:val="bottom"/>
            <w:tcBorders>
              <w:bottom w:val="single" w:sz="8" w:color="CFCFCF"/>
            </w:tcBorders>
          </w:tcPr>
          <w:p>
            <w:pPr>
              <w:spacing w:after="0"/>
              <w:rPr>
                <w:sz w:val="23"/>
                <w:szCs w:val="23"/>
                <w:color w:val="auto"/>
              </w:rPr>
            </w:pPr>
          </w:p>
        </w:tc>
        <w:tc>
          <w:tcPr>
            <w:tcW w:w="2560" w:type="dxa"/>
            <w:vAlign w:val="bottom"/>
            <w:tcBorders>
              <w:bottom w:val="single" w:sz="8" w:color="CFCFCF"/>
            </w:tcBorders>
          </w:tcPr>
          <w:p>
            <w:pPr>
              <w:spacing w:after="0"/>
              <w:rPr>
                <w:sz w:val="23"/>
                <w:szCs w:val="23"/>
                <w:color w:val="auto"/>
              </w:rPr>
            </w:pPr>
          </w:p>
        </w:tc>
      </w:tr>
      <w:tr>
        <w:trPr>
          <w:trHeight w:val="209"/>
        </w:trPr>
        <w:tc>
          <w:tcPr>
            <w:tcW w:w="5960" w:type="dxa"/>
            <w:vAlign w:val="bottom"/>
            <w:tcBorders>
              <w:left w:val="single" w:sz="8" w:color="CFCFCF"/>
            </w:tcBorders>
          </w:tcPr>
          <w:p>
            <w:pPr>
              <w:ind w:left="120"/>
              <w:spacing w:after="0" w:line="209" w:lineRule="exact"/>
              <w:rPr>
                <w:sz w:val="20"/>
                <w:szCs w:val="20"/>
                <w:color w:val="auto"/>
              </w:rPr>
            </w:pPr>
            <w:r>
              <w:rPr>
                <w:rFonts w:ascii="Arial" w:cs="Arial" w:eastAsia="Arial" w:hAnsi="Arial"/>
                <w:sz w:val="20"/>
                <w:szCs w:val="20"/>
                <w:b w:val="1"/>
                <w:bCs w:val="1"/>
                <w:color w:val="auto"/>
              </w:rPr>
              <w:t>Verona Pharma plc</w:t>
            </w:r>
          </w:p>
        </w:tc>
        <w:tc>
          <w:tcPr>
            <w:tcW w:w="5300" w:type="dxa"/>
            <w:vAlign w:val="bottom"/>
            <w:tcBorders>
              <w:left w:val="single" w:sz="8" w:color="CFCFCF"/>
              <w:right w:val="single" w:sz="8" w:color="CFCFCF"/>
            </w:tcBorders>
            <w:gridSpan w:val="4"/>
          </w:tcPr>
          <w:p>
            <w:pPr>
              <w:ind w:left="120"/>
              <w:spacing w:after="0" w:line="209" w:lineRule="exact"/>
              <w:rPr>
                <w:sz w:val="20"/>
                <w:szCs w:val="20"/>
                <w:color w:val="auto"/>
              </w:rPr>
            </w:pPr>
            <w:r>
              <w:rPr>
                <w:rFonts w:ascii="Arial" w:cs="Arial" w:eastAsia="Arial" w:hAnsi="Arial"/>
                <w:sz w:val="20"/>
                <w:szCs w:val="20"/>
                <w:color w:val="auto"/>
              </w:rPr>
              <w:t>US Tel: +1-833-417-0262</w:t>
            </w:r>
          </w:p>
        </w:tc>
      </w:tr>
      <w:tr>
        <w:trPr>
          <w:trHeight w:val="216"/>
        </w:trPr>
        <w:tc>
          <w:tcPr>
            <w:tcW w:w="5960" w:type="dxa"/>
            <w:vAlign w:val="bottom"/>
            <w:tcBorders>
              <w:left w:val="single" w:sz="8" w:color="CFCFCF"/>
              <w:bottom w:val="single" w:sz="8" w:color="CFCFCF"/>
            </w:tcBorders>
          </w:tcPr>
          <w:p>
            <w:pPr>
              <w:spacing w:after="0"/>
              <w:rPr>
                <w:sz w:val="18"/>
                <w:szCs w:val="18"/>
                <w:color w:val="auto"/>
              </w:rPr>
            </w:pPr>
          </w:p>
        </w:tc>
        <w:tc>
          <w:tcPr>
            <w:tcW w:w="5300" w:type="dxa"/>
            <w:vAlign w:val="bottom"/>
            <w:tcBorders>
              <w:left w:val="single" w:sz="8" w:color="CFCFCF"/>
              <w:bottom w:val="single" w:sz="8" w:color="CFCFCF"/>
              <w:right w:val="single" w:sz="8" w:color="CFCFCF"/>
            </w:tcBorders>
            <w:gridSpan w:val="4"/>
          </w:tcPr>
          <w:p>
            <w:pPr>
              <w:ind w:left="120"/>
              <w:spacing w:after="0" w:line="216" w:lineRule="exact"/>
              <w:rPr>
                <w:sz w:val="20"/>
                <w:szCs w:val="20"/>
                <w:color w:val="auto"/>
              </w:rPr>
            </w:pPr>
            <w:r>
              <w:rPr>
                <w:rFonts w:ascii="Arial" w:cs="Arial" w:eastAsia="Arial" w:hAnsi="Arial"/>
                <w:sz w:val="20"/>
                <w:szCs w:val="20"/>
                <w:color w:val="auto"/>
              </w:rPr>
              <w:t>UK Tel: +44 (0)203 283 4200</w:t>
            </w: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Victoria Stewart, Director of Investor Relations and</w:t>
            </w:r>
          </w:p>
        </w:tc>
        <w:tc>
          <w:tcPr>
            <w:tcW w:w="5300" w:type="dxa"/>
            <w:vAlign w:val="bottom"/>
            <w:tcBorders>
              <w:left w:val="single" w:sz="8" w:color="CFCFCF"/>
              <w:right w:val="single" w:sz="8" w:color="CFCFCF"/>
            </w:tcBorders>
            <w:gridSpan w:val="4"/>
          </w:tcPr>
          <w:p>
            <w:pPr>
              <w:ind w:left="120"/>
              <w:spacing w:after="0"/>
              <w:rPr>
                <w:sz w:val="20"/>
                <w:szCs w:val="20"/>
                <w:color w:val="auto"/>
              </w:rPr>
            </w:pPr>
            <w:r>
              <w:rPr>
                <w:rFonts w:ascii="Arial" w:cs="Arial" w:eastAsia="Arial" w:hAnsi="Arial"/>
                <w:sz w:val="22"/>
                <w:szCs w:val="22"/>
                <w:color w:val="auto"/>
              </w:rPr>
              <w:t>info@veronapharma.com</w:t>
            </w:r>
          </w:p>
        </w:tc>
      </w:tr>
      <w:tr>
        <w:trPr>
          <w:trHeight w:val="243"/>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Communications</w:t>
            </w:r>
          </w:p>
        </w:tc>
        <w:tc>
          <w:tcPr>
            <w:tcW w:w="120" w:type="dxa"/>
            <w:vAlign w:val="bottom"/>
            <w:tcBorders>
              <w:left w:val="single" w:sz="8" w:color="CFCFCF"/>
            </w:tcBorders>
          </w:tcPr>
          <w:p>
            <w:pPr>
              <w:spacing w:after="0"/>
              <w:rPr>
                <w:sz w:val="21"/>
                <w:szCs w:val="21"/>
                <w:color w:val="auto"/>
              </w:rPr>
            </w:pPr>
          </w:p>
        </w:tc>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tcBorders>
              <w:right w:val="single" w:sz="8" w:color="CFCFCF"/>
            </w:tcBorders>
          </w:tcPr>
          <w:p>
            <w:pPr>
              <w:spacing w:after="0"/>
              <w:rPr>
                <w:sz w:val="21"/>
                <w:szCs w:val="21"/>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40" w:type="dxa"/>
            <w:vAlign w:val="bottom"/>
            <w:tcBorders>
              <w:bottom w:val="single" w:sz="8" w:color="CFCFCF"/>
            </w:tcBorders>
          </w:tcPr>
          <w:p>
            <w:pPr>
              <w:spacing w:after="0"/>
              <w:rPr>
                <w:sz w:val="2"/>
                <w:szCs w:val="2"/>
                <w:color w:val="auto"/>
              </w:rPr>
            </w:pPr>
          </w:p>
        </w:tc>
        <w:tc>
          <w:tcPr>
            <w:tcW w:w="280" w:type="dxa"/>
            <w:vAlign w:val="bottom"/>
            <w:tcBorders>
              <w:bottom w:val="single" w:sz="8" w:color="CFCFCF"/>
            </w:tcBorders>
          </w:tcPr>
          <w:p>
            <w:pPr>
              <w:spacing w:after="0"/>
              <w:rPr>
                <w:sz w:val="2"/>
                <w:szCs w:val="2"/>
                <w:color w:val="auto"/>
              </w:rPr>
            </w:pPr>
          </w:p>
        </w:tc>
        <w:tc>
          <w:tcPr>
            <w:tcW w:w="2560" w:type="dxa"/>
            <w:vAlign w:val="bottom"/>
            <w:tcBorders>
              <w:bottom w:val="single" w:sz="8" w:color="CFCFCF"/>
              <w:right w:val="single" w:sz="8" w:color="CFCFCF"/>
            </w:tcBorders>
          </w:tcPr>
          <w:p>
            <w:pPr>
              <w:spacing w:after="0"/>
              <w:rPr>
                <w:sz w:val="2"/>
                <w:szCs w:val="2"/>
                <w:color w:val="auto"/>
              </w:rPr>
            </w:pPr>
          </w:p>
        </w:tc>
      </w:tr>
      <w:tr>
        <w:trPr>
          <w:trHeight w:val="142"/>
        </w:trPr>
        <w:tc>
          <w:tcPr>
            <w:tcW w:w="5960" w:type="dxa"/>
            <w:vAlign w:val="bottom"/>
            <w:tcBorders>
              <w:left w:val="single" w:sz="8" w:color="CFCFCF"/>
              <w:bottom w:val="single" w:sz="8" w:color="CFCFCF"/>
            </w:tcBorders>
          </w:tcPr>
          <w:p>
            <w:pPr>
              <w:spacing w:after="0"/>
              <w:rPr>
                <w:sz w:val="12"/>
                <w:szCs w:val="12"/>
                <w:color w:val="auto"/>
              </w:rPr>
            </w:pPr>
          </w:p>
        </w:tc>
        <w:tc>
          <w:tcPr>
            <w:tcW w:w="120" w:type="dxa"/>
            <w:vAlign w:val="bottom"/>
            <w:tcBorders>
              <w:left w:val="single" w:sz="8" w:color="CFCFCF"/>
              <w:bottom w:val="single" w:sz="8" w:color="CFCFCF"/>
            </w:tcBorders>
          </w:tcPr>
          <w:p>
            <w:pPr>
              <w:spacing w:after="0"/>
              <w:rPr>
                <w:sz w:val="12"/>
                <w:szCs w:val="12"/>
                <w:color w:val="auto"/>
              </w:rPr>
            </w:pPr>
          </w:p>
        </w:tc>
        <w:tc>
          <w:tcPr>
            <w:tcW w:w="2340" w:type="dxa"/>
            <w:vAlign w:val="bottom"/>
            <w:tcBorders>
              <w:bottom w:val="single" w:sz="8" w:color="CFCFCF"/>
            </w:tcBorders>
          </w:tcPr>
          <w:p>
            <w:pPr>
              <w:spacing w:after="0"/>
              <w:rPr>
                <w:sz w:val="12"/>
                <w:szCs w:val="12"/>
                <w:color w:val="auto"/>
              </w:rPr>
            </w:pPr>
          </w:p>
        </w:tc>
        <w:tc>
          <w:tcPr>
            <w:tcW w:w="280" w:type="dxa"/>
            <w:vAlign w:val="bottom"/>
            <w:tcBorders>
              <w:bottom w:val="single" w:sz="8" w:color="CFCFCF"/>
            </w:tcBorders>
          </w:tcPr>
          <w:p>
            <w:pPr>
              <w:spacing w:after="0"/>
              <w:rPr>
                <w:sz w:val="12"/>
                <w:szCs w:val="12"/>
                <w:color w:val="auto"/>
              </w:rPr>
            </w:pPr>
          </w:p>
        </w:tc>
        <w:tc>
          <w:tcPr>
            <w:tcW w:w="2560" w:type="dxa"/>
            <w:vAlign w:val="bottom"/>
            <w:tcBorders>
              <w:bottom w:val="single" w:sz="8" w:color="CFCFCF"/>
              <w:right w:val="single" w:sz="8" w:color="CFCFCF"/>
            </w:tcBorders>
          </w:tcPr>
          <w:p>
            <w:pPr>
              <w:spacing w:after="0"/>
              <w:rPr>
                <w:sz w:val="12"/>
                <w:szCs w:val="12"/>
                <w:color w:val="auto"/>
              </w:rPr>
            </w:pPr>
          </w:p>
        </w:tc>
      </w:tr>
      <w:tr>
        <w:trPr>
          <w:trHeight w:val="196"/>
        </w:trPr>
        <w:tc>
          <w:tcPr>
            <w:tcW w:w="5960" w:type="dxa"/>
            <w:vAlign w:val="bottom"/>
            <w:tcBorders>
              <w:left w:val="single" w:sz="8" w:color="CFCFCF"/>
            </w:tcBorders>
          </w:tcPr>
          <w:p>
            <w:pPr>
              <w:ind w:left="120"/>
              <w:spacing w:after="0" w:line="196" w:lineRule="exact"/>
              <w:rPr>
                <w:sz w:val="20"/>
                <w:szCs w:val="20"/>
                <w:color w:val="auto"/>
              </w:rPr>
            </w:pPr>
            <w:r>
              <w:rPr>
                <w:rFonts w:ascii="Arial" w:cs="Arial" w:eastAsia="Arial" w:hAnsi="Arial"/>
                <w:sz w:val="20"/>
                <w:szCs w:val="20"/>
                <w:b w:val="1"/>
                <w:bCs w:val="1"/>
                <w:color w:val="auto"/>
              </w:rPr>
              <w:t>Argot Partners</w:t>
            </w:r>
          </w:p>
        </w:tc>
        <w:tc>
          <w:tcPr>
            <w:tcW w:w="5300" w:type="dxa"/>
            <w:vAlign w:val="bottom"/>
            <w:tcBorders>
              <w:left w:val="single" w:sz="8" w:color="CFCFCF"/>
              <w:right w:val="single" w:sz="8" w:color="CFCFCF"/>
            </w:tcBorders>
            <w:gridSpan w:val="4"/>
          </w:tcPr>
          <w:p>
            <w:pPr>
              <w:ind w:left="120"/>
              <w:spacing w:after="0" w:line="195" w:lineRule="exact"/>
              <w:rPr>
                <w:sz w:val="20"/>
                <w:szCs w:val="20"/>
                <w:color w:val="auto"/>
              </w:rPr>
            </w:pPr>
            <w:r>
              <w:rPr>
                <w:rFonts w:ascii="Arial" w:cs="Arial" w:eastAsia="Arial" w:hAnsi="Arial"/>
                <w:sz w:val="22"/>
                <w:szCs w:val="22"/>
                <w:color w:val="auto"/>
              </w:rPr>
              <w:t>Tel: +1-212-600-1902</w:t>
            </w:r>
          </w:p>
        </w:tc>
      </w:tr>
      <w:tr>
        <w:trPr>
          <w:trHeight w:val="230"/>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(US Investor Enquiries)</w:t>
            </w:r>
          </w:p>
        </w:tc>
        <w:tc>
          <w:tcPr>
            <w:tcW w:w="5300" w:type="dxa"/>
            <w:vAlign w:val="bottom"/>
            <w:tcBorders>
              <w:left w:val="single" w:sz="8" w:color="CFCFCF"/>
              <w:right w:val="single" w:sz="8" w:color="CFCFCF"/>
            </w:tcBorders>
            <w:gridSpan w:val="4"/>
          </w:tcPr>
          <w:p>
            <w:pPr>
              <w:ind w:left="120"/>
              <w:spacing w:after="0" w:line="229" w:lineRule="exact"/>
              <w:rPr>
                <w:sz w:val="20"/>
                <w:szCs w:val="20"/>
                <w:color w:val="auto"/>
              </w:rPr>
            </w:pPr>
            <w:r>
              <w:rPr>
                <w:rFonts w:ascii="Arial" w:cs="Arial" w:eastAsia="Arial" w:hAnsi="Arial"/>
                <w:sz w:val="22"/>
                <w:szCs w:val="22"/>
                <w:color w:val="0000FF"/>
              </w:rPr>
              <w:t>verona@argotpartners.com</w:t>
            </w:r>
          </w:p>
        </w:tc>
      </w:tr>
      <w:tr>
        <w:trPr>
          <w:trHeight w:val="34"/>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40" w:type="dxa"/>
            <w:vAlign w:val="bottom"/>
            <w:tcBorders>
              <w:top w:val="single" w:sz="8" w:color="0000FF"/>
              <w:bottom w:val="single" w:sz="8" w:color="CFCFCF"/>
            </w:tcBorders>
          </w:tcPr>
          <w:p>
            <w:pPr>
              <w:spacing w:after="0"/>
              <w:rPr>
                <w:sz w:val="2"/>
                <w:szCs w:val="2"/>
                <w:color w:val="auto"/>
              </w:rPr>
            </w:pPr>
          </w:p>
        </w:tc>
        <w:tc>
          <w:tcPr>
            <w:tcW w:w="280" w:type="dxa"/>
            <w:vAlign w:val="bottom"/>
            <w:tcBorders>
              <w:bottom w:val="single" w:sz="8" w:color="CFCFCF"/>
            </w:tcBorders>
          </w:tcPr>
          <w:p>
            <w:pPr>
              <w:spacing w:after="0"/>
              <w:rPr>
                <w:sz w:val="2"/>
                <w:szCs w:val="2"/>
                <w:color w:val="auto"/>
              </w:rPr>
            </w:pPr>
          </w:p>
        </w:tc>
        <w:tc>
          <w:tcPr>
            <w:tcW w:w="2560" w:type="dxa"/>
            <w:vAlign w:val="bottom"/>
            <w:tcBorders>
              <w:bottom w:val="single" w:sz="8" w:color="CFCFCF"/>
              <w:right w:val="single" w:sz="8" w:color="CFCFCF"/>
            </w:tcBorders>
          </w:tcPr>
          <w:p>
            <w:pPr>
              <w:spacing w:after="0"/>
              <w:rPr>
                <w:sz w:val="2"/>
                <w:szCs w:val="2"/>
                <w:color w:val="auto"/>
              </w:rPr>
            </w:pP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Kimberly Minarovich / Michael Barron</w:t>
            </w:r>
          </w:p>
        </w:tc>
        <w:tc>
          <w:tcPr>
            <w:tcW w:w="120" w:type="dxa"/>
            <w:vAlign w:val="bottom"/>
            <w:tcBorders>
              <w:left w:val="single" w:sz="8" w:color="CFCFCF"/>
            </w:tcBorders>
          </w:tcPr>
          <w:p>
            <w:pPr>
              <w:spacing w:after="0"/>
              <w:rPr>
                <w:sz w:val="23"/>
                <w:szCs w:val="23"/>
                <w:color w:val="auto"/>
              </w:rPr>
            </w:pPr>
          </w:p>
        </w:tc>
        <w:tc>
          <w:tcPr>
            <w:tcW w:w="2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tcBorders>
              <w:right w:val="single" w:sz="8" w:color="CFCFCF"/>
            </w:tcBorders>
          </w:tcPr>
          <w:p>
            <w:pPr>
              <w:spacing w:after="0"/>
              <w:rPr>
                <w:sz w:val="23"/>
                <w:szCs w:val="23"/>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40" w:type="dxa"/>
            <w:vAlign w:val="bottom"/>
            <w:tcBorders>
              <w:bottom w:val="single" w:sz="8" w:color="CFCFCF"/>
            </w:tcBorders>
          </w:tcPr>
          <w:p>
            <w:pPr>
              <w:spacing w:after="0"/>
              <w:rPr>
                <w:sz w:val="2"/>
                <w:szCs w:val="2"/>
                <w:color w:val="auto"/>
              </w:rPr>
            </w:pPr>
          </w:p>
        </w:tc>
        <w:tc>
          <w:tcPr>
            <w:tcW w:w="280" w:type="dxa"/>
            <w:vAlign w:val="bottom"/>
            <w:tcBorders>
              <w:bottom w:val="single" w:sz="8" w:color="CFCFCF"/>
            </w:tcBorders>
          </w:tcPr>
          <w:p>
            <w:pPr>
              <w:spacing w:after="0"/>
              <w:rPr>
                <w:sz w:val="2"/>
                <w:szCs w:val="2"/>
                <w:color w:val="auto"/>
              </w:rPr>
            </w:pPr>
          </w:p>
        </w:tc>
        <w:tc>
          <w:tcPr>
            <w:tcW w:w="2560" w:type="dxa"/>
            <w:vAlign w:val="bottom"/>
            <w:tcBorders>
              <w:bottom w:val="single" w:sz="8" w:color="CFCFCF"/>
              <w:right w:val="single" w:sz="8" w:color="CFCFCF"/>
            </w:tcBorders>
          </w:tcPr>
          <w:p>
            <w:pPr>
              <w:spacing w:after="0"/>
              <w:rPr>
                <w:sz w:val="2"/>
                <w:szCs w:val="2"/>
                <w:color w:val="auto"/>
              </w:rPr>
            </w:pPr>
          </w:p>
        </w:tc>
      </w:tr>
      <w:tr>
        <w:trPr>
          <w:trHeight w:val="128"/>
        </w:trPr>
        <w:tc>
          <w:tcPr>
            <w:tcW w:w="5960" w:type="dxa"/>
            <w:vAlign w:val="bottom"/>
            <w:tcBorders>
              <w:left w:val="single" w:sz="8" w:color="CFCFCF"/>
              <w:bottom w:val="single" w:sz="8" w:color="CFCFCF"/>
            </w:tcBorders>
          </w:tcPr>
          <w:p>
            <w:pPr>
              <w:spacing w:after="0"/>
              <w:rPr>
                <w:sz w:val="11"/>
                <w:szCs w:val="11"/>
                <w:color w:val="auto"/>
              </w:rPr>
            </w:pPr>
          </w:p>
        </w:tc>
        <w:tc>
          <w:tcPr>
            <w:tcW w:w="120" w:type="dxa"/>
            <w:vAlign w:val="bottom"/>
            <w:tcBorders>
              <w:left w:val="single" w:sz="8" w:color="CFCFCF"/>
              <w:bottom w:val="single" w:sz="8" w:color="CFCFCF"/>
            </w:tcBorders>
          </w:tcPr>
          <w:p>
            <w:pPr>
              <w:spacing w:after="0"/>
              <w:rPr>
                <w:sz w:val="11"/>
                <w:szCs w:val="11"/>
                <w:color w:val="auto"/>
              </w:rPr>
            </w:pPr>
          </w:p>
        </w:tc>
        <w:tc>
          <w:tcPr>
            <w:tcW w:w="2340" w:type="dxa"/>
            <w:vAlign w:val="bottom"/>
            <w:tcBorders>
              <w:bottom w:val="single" w:sz="8" w:color="CFCFCF"/>
            </w:tcBorders>
          </w:tcPr>
          <w:p>
            <w:pPr>
              <w:spacing w:after="0"/>
              <w:rPr>
                <w:sz w:val="11"/>
                <w:szCs w:val="11"/>
                <w:color w:val="auto"/>
              </w:rPr>
            </w:pPr>
          </w:p>
        </w:tc>
        <w:tc>
          <w:tcPr>
            <w:tcW w:w="280" w:type="dxa"/>
            <w:vAlign w:val="bottom"/>
            <w:tcBorders>
              <w:bottom w:val="single" w:sz="8" w:color="CFCFCF"/>
            </w:tcBorders>
          </w:tcPr>
          <w:p>
            <w:pPr>
              <w:spacing w:after="0"/>
              <w:rPr>
                <w:sz w:val="11"/>
                <w:szCs w:val="11"/>
                <w:color w:val="auto"/>
              </w:rPr>
            </w:pPr>
          </w:p>
        </w:tc>
        <w:tc>
          <w:tcPr>
            <w:tcW w:w="2560" w:type="dxa"/>
            <w:vAlign w:val="bottom"/>
            <w:tcBorders>
              <w:bottom w:val="single" w:sz="8" w:color="CFCFCF"/>
              <w:right w:val="single" w:sz="8" w:color="CFCFCF"/>
            </w:tcBorders>
          </w:tcPr>
          <w:p>
            <w:pPr>
              <w:spacing w:after="0"/>
              <w:rPr>
                <w:sz w:val="11"/>
                <w:szCs w:val="11"/>
                <w:color w:val="auto"/>
              </w:rPr>
            </w:pPr>
          </w:p>
        </w:tc>
      </w:tr>
      <w:tr>
        <w:trPr>
          <w:trHeight w:val="192"/>
        </w:trPr>
        <w:tc>
          <w:tcPr>
            <w:tcW w:w="5960" w:type="dxa"/>
            <w:vAlign w:val="bottom"/>
            <w:tcBorders>
              <w:left w:val="single" w:sz="8" w:color="CFCFCF"/>
            </w:tcBorders>
          </w:tcPr>
          <w:p>
            <w:pPr>
              <w:ind w:left="120"/>
              <w:spacing w:after="0" w:line="192" w:lineRule="exact"/>
              <w:rPr>
                <w:sz w:val="20"/>
                <w:szCs w:val="20"/>
                <w:color w:val="auto"/>
              </w:rPr>
            </w:pPr>
            <w:r>
              <w:rPr>
                <w:rFonts w:ascii="Arial" w:cs="Arial" w:eastAsia="Arial" w:hAnsi="Arial"/>
                <w:sz w:val="20"/>
                <w:szCs w:val="20"/>
                <w:b w:val="1"/>
                <w:bCs w:val="1"/>
                <w:color w:val="auto"/>
              </w:rPr>
              <w:t>Optimum Strategic Communications</w:t>
            </w:r>
          </w:p>
        </w:tc>
        <w:tc>
          <w:tcPr>
            <w:tcW w:w="5300" w:type="dxa"/>
            <w:vAlign w:val="bottom"/>
            <w:tcBorders>
              <w:left w:val="single" w:sz="8" w:color="CFCFCF"/>
              <w:right w:val="single" w:sz="8" w:color="CFCFCF"/>
            </w:tcBorders>
            <w:gridSpan w:val="4"/>
          </w:tcPr>
          <w:p>
            <w:pPr>
              <w:ind w:left="120"/>
              <w:spacing w:after="0" w:line="192" w:lineRule="exact"/>
              <w:rPr>
                <w:sz w:val="20"/>
                <w:szCs w:val="20"/>
                <w:color w:val="auto"/>
              </w:rPr>
            </w:pPr>
            <w:r>
              <w:rPr>
                <w:rFonts w:ascii="Arial" w:cs="Arial" w:eastAsia="Arial" w:hAnsi="Arial"/>
                <w:sz w:val="22"/>
                <w:szCs w:val="22"/>
                <w:color w:val="auto"/>
              </w:rPr>
              <w:t>Tel: +44 (0)203 882 9621</w:t>
            </w:r>
          </w:p>
        </w:tc>
      </w:tr>
      <w:tr>
        <w:trPr>
          <w:trHeight w:val="233"/>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(International Media and European Investor Enquiries)</w:t>
            </w:r>
          </w:p>
        </w:tc>
        <w:tc>
          <w:tcPr>
            <w:tcW w:w="5300" w:type="dxa"/>
            <w:vAlign w:val="bottom"/>
            <w:tcBorders>
              <w:left w:val="single" w:sz="8" w:color="CFCFCF"/>
              <w:right w:val="single" w:sz="8" w:color="CFCFCF"/>
            </w:tcBorders>
            <w:gridSpan w:val="4"/>
          </w:tcPr>
          <w:p>
            <w:pPr>
              <w:ind w:left="120"/>
              <w:spacing w:after="0" w:line="233" w:lineRule="exact"/>
              <w:rPr>
                <w:sz w:val="20"/>
                <w:szCs w:val="20"/>
                <w:color w:val="auto"/>
              </w:rPr>
            </w:pPr>
            <w:r>
              <w:rPr>
                <w:rFonts w:ascii="Arial" w:cs="Arial" w:eastAsia="Arial" w:hAnsi="Arial"/>
                <w:sz w:val="22"/>
                <w:szCs w:val="22"/>
                <w:color w:val="0000FF"/>
              </w:rPr>
              <w:t>verona@optimumcomms.com</w:t>
            </w:r>
          </w:p>
        </w:tc>
      </w:tr>
      <w:tr>
        <w:trPr>
          <w:trHeight w:val="34"/>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40" w:type="dxa"/>
            <w:vAlign w:val="bottom"/>
            <w:tcBorders>
              <w:top w:val="single" w:sz="8" w:color="0000FF"/>
              <w:bottom w:val="single" w:sz="8" w:color="CFCFCF"/>
            </w:tcBorders>
          </w:tcPr>
          <w:p>
            <w:pPr>
              <w:spacing w:after="0"/>
              <w:rPr>
                <w:sz w:val="2"/>
                <w:szCs w:val="2"/>
                <w:color w:val="auto"/>
              </w:rPr>
            </w:pPr>
          </w:p>
        </w:tc>
        <w:tc>
          <w:tcPr>
            <w:tcW w:w="280" w:type="dxa"/>
            <w:vAlign w:val="bottom"/>
            <w:tcBorders>
              <w:top w:val="single" w:sz="8" w:color="0000FF"/>
              <w:bottom w:val="single" w:sz="8" w:color="CFCFCF"/>
            </w:tcBorders>
          </w:tcPr>
          <w:p>
            <w:pPr>
              <w:spacing w:after="0"/>
              <w:rPr>
                <w:sz w:val="2"/>
                <w:szCs w:val="2"/>
                <w:color w:val="auto"/>
              </w:rPr>
            </w:pPr>
          </w:p>
        </w:tc>
        <w:tc>
          <w:tcPr>
            <w:tcW w:w="2560" w:type="dxa"/>
            <w:vAlign w:val="bottom"/>
            <w:tcBorders>
              <w:bottom w:val="single" w:sz="8" w:color="CFCFCF"/>
              <w:right w:val="single" w:sz="8" w:color="CFCFCF"/>
            </w:tcBorders>
          </w:tcPr>
          <w:p>
            <w:pPr>
              <w:spacing w:after="0"/>
              <w:rPr>
                <w:sz w:val="2"/>
                <w:szCs w:val="2"/>
                <w:color w:val="auto"/>
              </w:rPr>
            </w:pP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Mary Clark / Rebecca Noonan / Zoe Bolt</w:t>
            </w:r>
          </w:p>
        </w:tc>
        <w:tc>
          <w:tcPr>
            <w:tcW w:w="120" w:type="dxa"/>
            <w:vAlign w:val="bottom"/>
            <w:tcBorders>
              <w:left w:val="single" w:sz="8" w:color="CFCFCF"/>
            </w:tcBorders>
          </w:tcPr>
          <w:p>
            <w:pPr>
              <w:spacing w:after="0"/>
              <w:rPr>
                <w:sz w:val="23"/>
                <w:szCs w:val="23"/>
                <w:color w:val="auto"/>
              </w:rPr>
            </w:pPr>
          </w:p>
        </w:tc>
        <w:tc>
          <w:tcPr>
            <w:tcW w:w="2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tcBorders>
              <w:right w:val="single" w:sz="8" w:color="CFCFCF"/>
            </w:tcBorders>
          </w:tcPr>
          <w:p>
            <w:pPr>
              <w:spacing w:after="0"/>
              <w:rPr>
                <w:sz w:val="23"/>
                <w:szCs w:val="23"/>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40" w:type="dxa"/>
            <w:vAlign w:val="bottom"/>
            <w:tcBorders>
              <w:bottom w:val="single" w:sz="8" w:color="CFCFCF"/>
            </w:tcBorders>
          </w:tcPr>
          <w:p>
            <w:pPr>
              <w:spacing w:after="0"/>
              <w:rPr>
                <w:sz w:val="2"/>
                <w:szCs w:val="2"/>
                <w:color w:val="auto"/>
              </w:rPr>
            </w:pPr>
          </w:p>
        </w:tc>
        <w:tc>
          <w:tcPr>
            <w:tcW w:w="280" w:type="dxa"/>
            <w:vAlign w:val="bottom"/>
            <w:tcBorders>
              <w:bottom w:val="single" w:sz="8" w:color="CFCFCF"/>
            </w:tcBorders>
          </w:tcPr>
          <w:p>
            <w:pPr>
              <w:spacing w:after="0"/>
              <w:rPr>
                <w:sz w:val="2"/>
                <w:szCs w:val="2"/>
                <w:color w:val="auto"/>
              </w:rPr>
            </w:pPr>
          </w:p>
        </w:tc>
        <w:tc>
          <w:tcPr>
            <w:tcW w:w="2560" w:type="dxa"/>
            <w:vAlign w:val="bottom"/>
            <w:tcBorders>
              <w:bottom w:val="single" w:sz="8" w:color="CFCFCF"/>
              <w:right w:val="single" w:sz="8" w:color="CFCFCF"/>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91" w:lineRule="exact"/>
        <w:rPr>
          <w:sz w:val="20"/>
          <w:szCs w:val="20"/>
          <w:color w:val="auto"/>
        </w:rPr>
      </w:pPr>
    </w:p>
    <w:p>
      <w:pPr>
        <w:jc w:val="both"/>
        <w:ind w:right="20"/>
        <w:spacing w:after="0" w:line="214" w:lineRule="auto"/>
        <w:rPr>
          <w:sz w:val="20"/>
          <w:szCs w:val="20"/>
          <w:color w:val="auto"/>
        </w:rPr>
      </w:pPr>
      <w:r>
        <w:rPr>
          <w:rFonts w:ascii="Arial" w:cs="Arial" w:eastAsia="Arial" w:hAnsi="Arial"/>
          <w:sz w:val="19"/>
          <w:szCs w:val="19"/>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Two additional formulations of ensifentrine are in Phase 2 development for the treatment of COPD: dry powder inhaler (“DPI”) and pressurized metered-dose inhaler (“pMDI”). Ensifentrine has potential applications in cystic fibrosis, asthma and other respiratory diseases. For more information, please visit </w:t>
      </w:r>
      <w:r>
        <w:rPr>
          <w:rFonts w:ascii="Arial" w:cs="Arial" w:eastAsia="Arial" w:hAnsi="Arial"/>
          <w:sz w:val="19"/>
          <w:szCs w:val="19"/>
          <w:u w:val="single" w:color="auto"/>
          <w:color w:val="0000FF"/>
        </w:rPr>
        <w:t>www.veronapharma.com</w:t>
      </w:r>
      <w:r>
        <w:rPr>
          <w:rFonts w:ascii="Arial" w:cs="Arial" w:eastAsia="Arial" w:hAnsi="Arial"/>
          <w:sz w:val="19"/>
          <w:szCs w:val="19"/>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Impact</w:t>
      </w:r>
    </w:p>
    <w:p>
      <w:pPr>
        <w:spacing w:after="0" w:line="91" w:lineRule="exact"/>
        <w:rPr>
          <w:sz w:val="20"/>
          <w:szCs w:val="20"/>
          <w:color w:val="auto"/>
        </w:rPr>
      </w:pPr>
    </w:p>
    <w:p>
      <w:pPr>
        <w:jc w:val="both"/>
        <w:ind w:right="40"/>
        <w:spacing w:after="0" w:line="209" w:lineRule="auto"/>
        <w:rPr>
          <w:sz w:val="20"/>
          <w:szCs w:val="20"/>
          <w:color w:val="auto"/>
        </w:rPr>
      </w:pPr>
      <w:r>
        <w:rPr>
          <w:rFonts w:ascii="Arial" w:cs="Arial" w:eastAsia="Arial" w:hAnsi="Arial"/>
          <w:sz w:val="20"/>
          <w:szCs w:val="20"/>
          <w:color w:val="auto"/>
        </w:rPr>
        <w:t>Verona Pharma continues to monitor the impact of the COVID-19 pandemic on its operations and clinical trials, in particular the timelines and costs of its Phase 3 clinical program ENHANCE. The pandemic and government and other measures in response continue to impact a number of clinical trial activities and the Company will provide an update if it becomes aware of any meaningful disruption caused by the pandemic to its clinical trials.</w:t>
      </w:r>
    </w:p>
    <w:p>
      <w:pPr>
        <w:spacing w:after="0" w:line="63" w:lineRule="exact"/>
        <w:rPr>
          <w:sz w:val="20"/>
          <w:szCs w:val="20"/>
          <w:color w:val="auto"/>
        </w:rPr>
      </w:pPr>
    </w:p>
    <w:p>
      <w:pPr>
        <w:jc w:val="both"/>
        <w:ind w:right="20"/>
        <w:spacing w:after="0" w:line="209" w:lineRule="auto"/>
        <w:rPr>
          <w:sz w:val="20"/>
          <w:szCs w:val="20"/>
          <w:color w:val="auto"/>
        </w:rPr>
      </w:pPr>
      <w:r>
        <w:rPr>
          <w:rFonts w:ascii="Arial" w:cs="Arial" w:eastAsia="Arial" w:hAnsi="Arial"/>
          <w:sz w:val="20"/>
          <w:szCs w:val="20"/>
          <w:color w:val="auto"/>
        </w:rPr>
        <w:t>To help protect the health and safety of the subjects, caregivers and healthcare professionals involved in its clinical trials,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w:t>
      </w:r>
    </w:p>
    <w:p>
      <w:pPr>
        <w:spacing w:after="0" w:line="63" w:lineRule="exact"/>
        <w:rPr>
          <w:sz w:val="20"/>
          <w:szCs w:val="20"/>
          <w:color w:val="auto"/>
        </w:rPr>
      </w:pPr>
    </w:p>
    <w:p>
      <w:pPr>
        <w:jc w:val="both"/>
        <w:ind w:right="20"/>
        <w:spacing w:after="0" w:line="213" w:lineRule="auto"/>
        <w:rPr>
          <w:sz w:val="20"/>
          <w:szCs w:val="20"/>
          <w:color w:val="auto"/>
        </w:rPr>
      </w:pPr>
      <w:r>
        <w:rPr>
          <w:rFonts w:ascii="Arial" w:cs="Arial" w:eastAsia="Arial" w:hAnsi="Arial"/>
          <w:sz w:val="20"/>
          <w:szCs w:val="20"/>
          <w:color w:val="auto"/>
        </w:rPr>
        <w:t>The COVID-19 pandemic is disrupting supply chains, and employee retention and recruitment, globally and the Company is closely monitoring this situation and will provide an update if it becomes aware of any meaningful disruption caused by the pandemic to the supply of ensifentrine and drug-related products, equipment and services for its clinical trials.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Russia-Ukraine Conflict</w:t>
      </w:r>
    </w:p>
    <w:p>
      <w:pPr>
        <w:spacing w:after="0" w:line="9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Verona Pharma is conducting its ENHANCE-1 program at a number of clinical trial sites in Russia and Europe (but not including Ukraine). The sanctions and other restrictions imposed by the U.S. and other countries as a result of the current conflict between Russia and Ukraine may impact our outsourced clinical research vendor’s ability to pay the clinical trial sites in Russia, to supply ensifentrine and equipment to the sites, or validate their trial data. If the conflict extends into other countries in Europe where our clinical trials are being conducted, our clinical trial activities in those countries may also be impacted. The Company is closely monitoring the Russia-Ukraine conflict and will provide an update if it becomes aware of any meaningful disruption to the cost and timelines of our Phase 3 program or our plans to submit an NDA for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60"/>
          </w:cols>
          <w:pgMar w:left="320" w:top="1440" w:right="3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Forward-Looking Statements</w:t>
      </w:r>
    </w:p>
    <w:p>
      <w:pPr>
        <w:spacing w:after="0" w:line="91" w:lineRule="exact"/>
        <w:rPr>
          <w:sz w:val="20"/>
          <w:szCs w:val="20"/>
          <w:color w:val="auto"/>
        </w:rPr>
      </w:pPr>
    </w:p>
    <w:p>
      <w:pPr>
        <w:jc w:val="both"/>
        <w:spacing w:after="0" w:line="201" w:lineRule="auto"/>
        <w:rPr>
          <w:sz w:val="20"/>
          <w:szCs w:val="20"/>
          <w:color w:val="auto"/>
        </w:rPr>
      </w:pPr>
      <w:r>
        <w:rPr>
          <w:rFonts w:ascii="Arial" w:cs="Arial" w:eastAsia="Arial" w:hAnsi="Arial"/>
          <w:sz w:val="20"/>
          <w:szCs w:val="20"/>
          <w:color w:val="auto"/>
        </w:rPr>
        <w:t>This press release contains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of ensifentrine and the progress and timing of clinical trials and data, the goals and design of clinical trials, the assumptions underlying the Company’s models on clinical trial recruitment and progress, including the potential impact of the COVID-19 pandemic and the Russia-Ukraine conflict on such progress and on our business and operations and the Company’s future financial results, the timing of submission of an NDA for ensifentrine, the potential for ensifentrine to be the first therapy for the treatment of respiratory diseases to combine bronchodilator and anti-inflammatory effects in one compound, the potential of ensifentrine in the treatment of COPD, cystic fibrosis, asthma and other respiratory diseases, as well as the potential of the DPI and pMDI formulations of ensifentrine, the funding we expect to become available under the $30.0 million debt financing facility and from cash receipts from U.K. tax credits, and the sufficiency of cash and cash equivalents.</w:t>
      </w:r>
    </w:p>
    <w:p>
      <w:pPr>
        <w:spacing w:after="0" w:line="68" w:lineRule="exact"/>
        <w:rPr>
          <w:sz w:val="20"/>
          <w:szCs w:val="20"/>
          <w:color w:val="auto"/>
        </w:rPr>
      </w:pPr>
    </w:p>
    <w:p>
      <w:pPr>
        <w:jc w:val="both"/>
        <w:spacing w:after="0" w:line="198"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subjects,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like the COVID-19 pandemic, and conflicts such as the Russia-Ukraine conflict, which has and may continue to adversely impact our business. These and other important factors under the caption “Risk Factors” in our Annual Report on Form 10-K for the year ended December 31, 2021,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94"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40575"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220335"/>
                    </a:xfrm>
                    <a:prstGeom prst="rect">
                      <a:avLst/>
                    </a:prstGeom>
                    <a:noFill/>
                  </pic:spPr>
                </pic:pic>
              </a:graphicData>
            </a:graphic>
          </wp:anchor>
        </w:drawing>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5680" w:type="dxa"/>
            <w:vAlign w:val="bottom"/>
          </w:tcPr>
          <w:p>
            <w:pPr>
              <w:spacing w:after="0"/>
              <w:rPr>
                <w:sz w:val="18"/>
                <w:szCs w:val="18"/>
                <w:color w:val="auto"/>
              </w:rPr>
            </w:pPr>
          </w:p>
        </w:tc>
        <w:tc>
          <w:tcPr>
            <w:tcW w:w="4000" w:type="dxa"/>
            <w:vAlign w:val="bottom"/>
            <w:gridSpan w:val="3"/>
          </w:tcPr>
          <w:p>
            <w:pPr>
              <w:ind w:left="1480"/>
              <w:spacing w:after="0"/>
              <w:rPr>
                <w:sz w:val="20"/>
                <w:szCs w:val="20"/>
                <w:color w:val="auto"/>
              </w:rPr>
            </w:pPr>
            <w:r>
              <w:rPr>
                <w:rFonts w:ascii="Arial" w:cs="Arial" w:eastAsia="Arial" w:hAnsi="Arial"/>
                <w:sz w:val="18"/>
                <w:szCs w:val="18"/>
                <w:color w:val="auto"/>
                <w:w w:val="99"/>
              </w:rPr>
              <w:t>Three months ended March 31,</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680" w:type="dxa"/>
            <w:vAlign w:val="bottom"/>
          </w:tcPr>
          <w:p>
            <w:pPr>
              <w:spacing w:after="0"/>
              <w:rPr>
                <w:sz w:val="24"/>
                <w:szCs w:val="24"/>
                <w:color w:val="auto"/>
              </w:rPr>
            </w:pP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jc w:val="right"/>
              <w:ind w:right="99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40"/>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26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33"/>
        </w:trPr>
        <w:tc>
          <w:tcPr>
            <w:tcW w:w="568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0" w:type="dxa"/>
            <w:vAlign w:val="bottom"/>
          </w:tcPr>
          <w:p>
            <w:pPr>
              <w:jc w:val="right"/>
              <w:spacing w:after="0"/>
              <w:rPr>
                <w:sz w:val="20"/>
                <w:szCs w:val="20"/>
                <w:color w:val="auto"/>
              </w:rPr>
            </w:pPr>
            <w:r>
              <w:rPr>
                <w:rFonts w:ascii="Arial" w:cs="Arial" w:eastAsia="Arial" w:hAnsi="Arial"/>
                <w:sz w:val="18"/>
                <w:szCs w:val="18"/>
                <w:color w:val="auto"/>
              </w:rPr>
              <w:t>$ 17,625</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$ 13,574</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0" w:type="dxa"/>
            <w:vAlign w:val="bottom"/>
          </w:tcPr>
          <w:p>
            <w:pPr>
              <w:jc w:val="right"/>
              <w:spacing w:after="0"/>
              <w:rPr>
                <w:sz w:val="20"/>
                <w:szCs w:val="20"/>
                <w:color w:val="auto"/>
              </w:rPr>
            </w:pPr>
            <w:r>
              <w:rPr>
                <w:rFonts w:ascii="Arial" w:cs="Arial" w:eastAsia="Arial" w:hAnsi="Arial"/>
                <w:sz w:val="18"/>
                <w:szCs w:val="18"/>
                <w:color w:val="auto"/>
              </w:rPr>
              <w:t>7,440</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vMerge w:val="continue"/>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25,065</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22,856</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vMerge w:val="continue"/>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(25,065)</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(22,856)</w:t>
            </w:r>
          </w:p>
        </w:tc>
        <w:tc>
          <w:tcPr>
            <w:tcW w:w="0" w:type="dxa"/>
            <w:vAlign w:val="bottom"/>
          </w:tcPr>
          <w:p>
            <w:pPr>
              <w:spacing w:after="0"/>
              <w:rPr>
                <w:sz w:val="1"/>
                <w:szCs w:val="1"/>
                <w:color w:val="auto"/>
              </w:rPr>
            </w:pPr>
          </w:p>
        </w:tc>
      </w:tr>
      <w:tr>
        <w:trPr>
          <w:trHeight w:val="283"/>
        </w:trPr>
        <w:tc>
          <w:tcPr>
            <w:tcW w:w="56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80" w:type="dxa"/>
            <w:vAlign w:val="bottom"/>
          </w:tcPr>
          <w:p>
            <w:pPr>
              <w:spacing w:after="0"/>
              <w:rPr>
                <w:sz w:val="20"/>
                <w:szCs w:val="20"/>
                <w:color w:val="auto"/>
              </w:rPr>
            </w:pPr>
            <w:r>
              <w:rPr>
                <w:rFonts w:ascii="Arial" w:cs="Arial" w:eastAsia="Arial" w:hAnsi="Arial"/>
                <w:sz w:val="18"/>
                <w:szCs w:val="18"/>
                <w:color w:val="auto"/>
              </w:rPr>
              <w:t>Benefit from R&amp;D tax credit</w:t>
            </w:r>
          </w:p>
        </w:tc>
        <w:tc>
          <w:tcPr>
            <w:tcW w:w="2600" w:type="dxa"/>
            <w:vAlign w:val="bottom"/>
          </w:tcPr>
          <w:p>
            <w:pPr>
              <w:jc w:val="right"/>
              <w:spacing w:after="0"/>
              <w:rPr>
                <w:sz w:val="20"/>
                <w:szCs w:val="20"/>
                <w:color w:val="auto"/>
              </w:rPr>
            </w:pPr>
            <w:r>
              <w:rPr>
                <w:rFonts w:ascii="Arial" w:cs="Arial" w:eastAsia="Arial" w:hAnsi="Arial"/>
                <w:sz w:val="18"/>
                <w:szCs w:val="18"/>
                <w:color w:val="auto"/>
              </w:rPr>
              <w:t>1,302</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Interest income</w:t>
            </w:r>
          </w:p>
        </w:tc>
        <w:tc>
          <w:tcPr>
            <w:tcW w:w="26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Interest expense</w:t>
            </w:r>
          </w:p>
        </w:tc>
        <w:tc>
          <w:tcPr>
            <w:tcW w:w="2600" w:type="dxa"/>
            <w:vAlign w:val="bottom"/>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Fair value movement on warrants</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Foreign exchange (loss) / gain</w:t>
            </w:r>
          </w:p>
        </w:tc>
        <w:tc>
          <w:tcPr>
            <w:tcW w:w="2600" w:type="dxa"/>
            <w:vAlign w:val="bottom"/>
          </w:tcPr>
          <w:p>
            <w:pPr>
              <w:jc w:val="right"/>
              <w:spacing w:after="0"/>
              <w:rPr>
                <w:sz w:val="20"/>
                <w:szCs w:val="20"/>
                <w:color w:val="auto"/>
              </w:rPr>
            </w:pPr>
            <w:r>
              <w:rPr>
                <w:rFonts w:ascii="Arial" w:cs="Arial" w:eastAsia="Arial" w:hAnsi="Arial"/>
                <w:sz w:val="18"/>
                <w:szCs w:val="18"/>
                <w:color w:val="auto"/>
              </w:rPr>
              <w:t>(923)</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net</w:t>
            </w: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vMerge w:val="continue"/>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taxes</w:t>
            </w: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vMerge w:val="continue"/>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(24,755)</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(21,210)</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Income tax expense</w:t>
            </w:r>
          </w:p>
        </w:tc>
        <w:tc>
          <w:tcPr>
            <w:tcW w:w="260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vMerge w:val="continue"/>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 (24,837)</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(21,290)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5680" w:type="dxa"/>
            <w:vAlign w:val="bottom"/>
          </w:tcPr>
          <w:p>
            <w:pPr>
              <w:spacing w:after="0"/>
              <w:rPr>
                <w:sz w:val="20"/>
                <w:szCs w:val="20"/>
                <w:color w:val="auto"/>
              </w:rPr>
            </w:pPr>
            <w:r>
              <w:rPr>
                <w:rFonts w:ascii="Arial" w:cs="Arial" w:eastAsia="Arial" w:hAnsi="Arial"/>
                <w:sz w:val="20"/>
                <w:szCs w:val="20"/>
                <w:color w:val="auto"/>
              </w:rPr>
              <w:t>Weighted-average shares outstanding – basic and diluted</w:t>
            </w:r>
          </w:p>
        </w:tc>
        <w:tc>
          <w:tcPr>
            <w:tcW w:w="2600" w:type="dxa"/>
            <w:vAlign w:val="bottom"/>
          </w:tcPr>
          <w:p>
            <w:pPr>
              <w:jc w:val="right"/>
              <w:spacing w:after="0"/>
              <w:rPr>
                <w:sz w:val="20"/>
                <w:szCs w:val="20"/>
                <w:color w:val="auto"/>
              </w:rPr>
            </w:pPr>
            <w:r>
              <w:rPr>
                <w:rFonts w:ascii="Arial" w:cs="Arial" w:eastAsia="Arial" w:hAnsi="Arial"/>
                <w:sz w:val="18"/>
                <w:szCs w:val="18"/>
                <w:color w:val="auto"/>
              </w:rPr>
              <w:t>481,941,527</w:t>
            </w:r>
          </w:p>
        </w:tc>
        <w:tc>
          <w:tcPr>
            <w:tcW w:w="36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469,465,085</w:t>
            </w:r>
          </w:p>
        </w:tc>
      </w:tr>
      <w:tr>
        <w:trPr>
          <w:trHeight w:val="302"/>
        </w:trPr>
        <w:tc>
          <w:tcPr>
            <w:tcW w:w="5680" w:type="dxa"/>
            <w:vAlign w:val="bottom"/>
          </w:tcPr>
          <w:p>
            <w:pPr>
              <w:spacing w:after="0"/>
              <w:rPr>
                <w:sz w:val="20"/>
                <w:szCs w:val="20"/>
                <w:color w:val="auto"/>
              </w:rPr>
            </w:pPr>
            <w:r>
              <w:rPr>
                <w:rFonts w:ascii="Arial" w:cs="Arial" w:eastAsia="Arial" w:hAnsi="Arial"/>
                <w:sz w:val="20"/>
                <w:szCs w:val="20"/>
                <w:color w:val="auto"/>
              </w:rPr>
              <w:t>Loss per ordinary share – basic and diluted</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(0.05)</w:t>
            </w:r>
          </w:p>
        </w:tc>
        <w:tc>
          <w:tcPr>
            <w:tcW w:w="360" w:type="dxa"/>
            <w:vAlign w:val="bottom"/>
          </w:tcPr>
          <w:p>
            <w:pPr>
              <w:spacing w:after="0"/>
              <w:rPr>
                <w:sz w:val="24"/>
                <w:szCs w:val="24"/>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(0.05)</w:t>
            </w:r>
          </w:p>
        </w:tc>
      </w:tr>
      <w:tr>
        <w:trPr>
          <w:trHeight w:val="20"/>
        </w:trPr>
        <w:tc>
          <w:tcPr>
            <w:tcW w:w="56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458"/>
        </w:trPr>
        <w:tc>
          <w:tcPr>
            <w:tcW w:w="5680" w:type="dxa"/>
            <w:vAlign w:val="bottom"/>
          </w:tcPr>
          <w:p>
            <w:pPr>
              <w:spacing w:after="0"/>
              <w:rPr>
                <w:sz w:val="24"/>
                <w:szCs w:val="24"/>
                <w:color w:val="auto"/>
              </w:rPr>
            </w:pPr>
          </w:p>
        </w:tc>
        <w:tc>
          <w:tcPr>
            <w:tcW w:w="2960" w:type="dxa"/>
            <w:vAlign w:val="bottom"/>
            <w:gridSpan w:val="2"/>
          </w:tcPr>
          <w:p>
            <w:pPr>
              <w:ind w:left="1020"/>
              <w:spacing w:after="0"/>
              <w:rPr>
                <w:sz w:val="20"/>
                <w:szCs w:val="20"/>
                <w:color w:val="auto"/>
              </w:rPr>
            </w:pPr>
            <w:r>
              <w:rPr>
                <w:rFonts w:ascii="Arial" w:cs="Arial" w:eastAsia="Arial" w:hAnsi="Arial"/>
                <w:sz w:val="18"/>
                <w:szCs w:val="18"/>
                <w:color w:val="auto"/>
              </w:rPr>
              <w:t>Mar-31</w:t>
            </w:r>
          </w:p>
        </w:tc>
        <w:tc>
          <w:tcPr>
            <w:tcW w:w="2540" w:type="dxa"/>
            <w:vAlign w:val="bottom"/>
          </w:tcPr>
          <w:p>
            <w:pPr>
              <w:jc w:val="right"/>
              <w:ind w:right="910"/>
              <w:spacing w:after="0"/>
              <w:rPr>
                <w:sz w:val="20"/>
                <w:szCs w:val="20"/>
                <w:color w:val="auto"/>
              </w:rPr>
            </w:pPr>
            <w:r>
              <w:rPr>
                <w:rFonts w:ascii="Arial" w:cs="Arial" w:eastAsia="Arial" w:hAnsi="Arial"/>
                <w:sz w:val="18"/>
                <w:szCs w:val="18"/>
                <w:color w:val="auto"/>
              </w:rPr>
              <w:t>Dec-31</w:t>
            </w:r>
          </w:p>
        </w:tc>
      </w:tr>
      <w:tr>
        <w:trPr>
          <w:trHeight w:val="257"/>
        </w:trPr>
        <w:tc>
          <w:tcPr>
            <w:tcW w:w="5680" w:type="dxa"/>
            <w:vAlign w:val="bottom"/>
          </w:tcPr>
          <w:p>
            <w:pPr>
              <w:spacing w:after="0"/>
              <w:rPr>
                <w:sz w:val="22"/>
                <w:szCs w:val="22"/>
                <w:color w:val="auto"/>
              </w:rPr>
            </w:pP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2"/>
                <w:szCs w:val="22"/>
                <w:color w:val="auto"/>
              </w:rPr>
            </w:pPr>
          </w:p>
        </w:tc>
        <w:tc>
          <w:tcPr>
            <w:tcW w:w="2540" w:type="dxa"/>
            <w:vAlign w:val="bottom"/>
          </w:tcPr>
          <w:p>
            <w:pPr>
              <w:jc w:val="right"/>
              <w:ind w:right="990"/>
              <w:spacing w:after="0"/>
              <w:rPr>
                <w:sz w:val="20"/>
                <w:szCs w:val="20"/>
                <w:color w:val="auto"/>
              </w:rPr>
            </w:pPr>
            <w:r>
              <w:rPr>
                <w:rFonts w:ascii="Arial" w:cs="Arial" w:eastAsia="Arial" w:hAnsi="Arial"/>
                <w:sz w:val="18"/>
                <w:szCs w:val="18"/>
                <w:color w:val="auto"/>
              </w:rPr>
              <w:t>2021</w:t>
            </w:r>
          </w:p>
        </w:tc>
      </w:tr>
      <w:tr>
        <w:trPr>
          <w:trHeight w:val="40"/>
        </w:trPr>
        <w:tc>
          <w:tcPr>
            <w:tcW w:w="568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r>
      <w:tr>
        <w:trPr>
          <w:trHeight w:val="533"/>
        </w:trPr>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tcPr>
          <w:p>
            <w:pPr>
              <w:jc w:val="right"/>
              <w:spacing w:after="0"/>
              <w:rPr>
                <w:sz w:val="20"/>
                <w:szCs w:val="20"/>
                <w:color w:val="auto"/>
              </w:rPr>
            </w:pPr>
            <w:r>
              <w:rPr>
                <w:rFonts w:ascii="Arial" w:cs="Arial" w:eastAsia="Arial" w:hAnsi="Arial"/>
                <w:sz w:val="18"/>
                <w:szCs w:val="18"/>
                <w:color w:val="auto"/>
              </w:rPr>
              <w:t>$ 132,764</w:t>
            </w:r>
          </w:p>
        </w:tc>
        <w:tc>
          <w:tcPr>
            <w:tcW w:w="3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$ 148,380</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2600" w:type="dxa"/>
            <w:vAlign w:val="bottom"/>
          </w:tcPr>
          <w:p>
            <w:pPr>
              <w:jc w:val="right"/>
              <w:spacing w:after="0"/>
              <w:rPr>
                <w:sz w:val="20"/>
                <w:szCs w:val="20"/>
                <w:color w:val="auto"/>
              </w:rPr>
            </w:pPr>
            <w:r>
              <w:rPr>
                <w:rFonts w:ascii="Arial" w:cs="Arial" w:eastAsia="Arial" w:hAnsi="Arial"/>
                <w:sz w:val="18"/>
                <w:szCs w:val="18"/>
                <w:color w:val="auto"/>
              </w:rPr>
              <w:t>$ 169,315</w:t>
            </w:r>
          </w:p>
        </w:tc>
        <w:tc>
          <w:tcPr>
            <w:tcW w:w="36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$ 186,587</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Equity</w:t>
            </w:r>
          </w:p>
        </w:tc>
        <w:tc>
          <w:tcPr>
            <w:tcW w:w="2600" w:type="dxa"/>
            <w:vAlign w:val="bottom"/>
          </w:tcPr>
          <w:p>
            <w:pPr>
              <w:jc w:val="right"/>
              <w:spacing w:after="0"/>
              <w:rPr>
                <w:sz w:val="20"/>
                <w:szCs w:val="20"/>
                <w:color w:val="auto"/>
              </w:rPr>
            </w:pPr>
            <w:r>
              <w:rPr>
                <w:rFonts w:ascii="Arial" w:cs="Arial" w:eastAsia="Arial" w:hAnsi="Arial"/>
                <w:sz w:val="18"/>
                <w:szCs w:val="18"/>
                <w:color w:val="auto"/>
              </w:rPr>
              <w:t>$ 126,307</w:t>
            </w:r>
          </w:p>
        </w:tc>
        <w:tc>
          <w:tcPr>
            <w:tcW w:w="36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$ 148,005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w:t>
      </w:r>
    </w:p>
    <w:sectPr>
      <w:pgSz w:w="11900" w:h="16838" w:orient="portrait"/>
      <w:cols w:equalWidth="0" w:num="1">
        <w:col w:w="11260"/>
      </w:cols>
      <w:pgMar w:left="320" w:top="14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2022-05-03T05:30:39Z</dcterms:created>
  <dcterms:modified xsi:type="dcterms:W3CDTF">2022-05-03T05:30:39Z</dcterms:modified>
</cp:coreProperties>
</file>