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SCHEDULE 13G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(Amendment No.1)*</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GB00BYW2KH80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67" w:lineRule="exact"/>
        <w:rPr>
          <w:sz w:val="24"/>
          <w:szCs w:val="24"/>
          <w:color w:val="auto"/>
        </w:rPr>
      </w:pPr>
    </w:p>
    <w:p>
      <w:pPr>
        <w:ind w:left="1200" w:hanging="683"/>
        <w:spacing w:after="0"/>
        <w:tabs>
          <w:tab w:leader="none" w:pos="120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w:t>
      </w:r>
    </w:p>
    <w:p>
      <w:pPr>
        <w:spacing w:after="0" w:line="12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Rule 13d-1(c)</w:t>
      </w:r>
    </w:p>
    <w:p>
      <w:pPr>
        <w:spacing w:after="0" w:line="12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Rule 13d-1(d)</w:t>
      </w:r>
    </w:p>
    <w:p>
      <w:pPr>
        <w:spacing w:after="0" w:line="295" w:lineRule="exact"/>
        <w:rPr>
          <w:sz w:val="24"/>
          <w:szCs w:val="24"/>
          <w:color w:val="auto"/>
        </w:rPr>
      </w:pPr>
    </w:p>
    <w:p>
      <w:pPr>
        <w:ind w:right="140"/>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20"/>
          </w:cols>
          <w:pgMar w:left="120" w:top="312" w:right="200" w:bottom="1440" w:gutter="0" w:footer="0" w:header="0"/>
        </w:sectPr>
      </w:pPr>
    </w:p>
    <w:bookmarkStart w:id="1" w:name="page2"/>
    <w:bookmarkEnd w:id="1"/>
    <w:p>
      <w:pPr>
        <w:spacing w:after="0"/>
        <w:rPr>
          <w:sz w:val="20"/>
          <w:szCs w:val="20"/>
          <w:color w:val="auto"/>
        </w:rPr>
      </w:pPr>
      <w:r>
        <w:rPr>
          <w:rFonts w:ascii="Arial" w:cs="Arial" w:eastAsia="Arial" w:hAnsi="Arial"/>
          <w:sz w:val="19"/>
          <w:szCs w:val="19"/>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51435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40" w:right="7120" w:hanging="650"/>
        <w:spacing w:after="0" w:line="336"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Tekla Capital Management LLC</w:t>
      </w:r>
    </w:p>
    <w:p>
      <w:pPr>
        <w:spacing w:after="0" w:line="365" w:lineRule="exact"/>
        <w:rPr>
          <w:rFonts w:ascii="Arial" w:cs="Arial" w:eastAsia="Arial" w:hAnsi="Arial"/>
          <w:sz w:val="17"/>
          <w:szCs w:val="17"/>
          <w:color w:val="auto"/>
        </w:rPr>
      </w:pPr>
    </w:p>
    <w:p>
      <w:pPr>
        <w:ind w:left="1040" w:hanging="650"/>
        <w:spacing w:after="0"/>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280" w:hanging="1234"/>
        <w:spacing w:after="0"/>
        <w:tabs>
          <w:tab w:leader="none" w:pos="2280" w:val="left"/>
        </w:tabs>
        <w:numPr>
          <w:ilvl w:val="1"/>
          <w:numId w:val="2"/>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2"/>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hanging="650"/>
        <w:spacing w:after="0"/>
        <w:tabs>
          <w:tab w:leader="none" w:pos="1040" w:val="left"/>
        </w:tabs>
        <w:numPr>
          <w:ilvl w:val="0"/>
          <w:numId w:val="2"/>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800" w:hanging="650"/>
        <w:spacing w:after="0" w:line="275" w:lineRule="auto"/>
        <w:tabs>
          <w:tab w:leader="none" w:pos="10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-561975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-996315</wp:posOffset>
            </wp:positionV>
            <wp:extent cx="6176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-1223010</wp:posOffset>
            </wp:positionV>
            <wp:extent cx="6176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-1875155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0620"/>
          </w:cols>
          <w:pgMar w:left="180" w:top="27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00" w:type="dxa"/>
            <w:vAlign w:val="bottom"/>
          </w:tcPr>
          <w:p>
            <w:pPr>
              <w:spacing w:after="0"/>
              <w:rPr>
                <w:sz w:val="20"/>
                <w:szCs w:val="20"/>
                <w:color w:val="auto"/>
              </w:rPr>
            </w:pPr>
            <w:r>
              <w:rPr>
                <w:rFonts w:ascii="Arial" w:cs="Arial" w:eastAsia="Arial" w:hAnsi="Arial"/>
                <w:sz w:val="19"/>
                <w:szCs w:val="19"/>
                <w:color w:val="auto"/>
              </w:rPr>
              <w:t>Number of</w:t>
            </w: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0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9"/>
                <w:szCs w:val="19"/>
                <w:color w:val="auto"/>
              </w:rPr>
              <w:t>Beneficially</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9"/>
                <w:szCs w:val="19"/>
                <w:color w:val="auto"/>
              </w:rPr>
              <w:t>Owned by</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9"/>
                <w:szCs w:val="19"/>
                <w:color w:val="auto"/>
              </w:rPr>
              <w:t>Each</w:t>
            </w: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0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r>
              <w:rPr>
                <w:rFonts w:ascii="Arial" w:cs="Arial" w:eastAsia="Arial" w:hAnsi="Arial"/>
                <w:sz w:val="19"/>
                <w:szCs w:val="19"/>
                <w:color w:val="auto"/>
              </w:rPr>
              <w:t>Person With</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5,296,845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5,296,845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20" w:space="720"/>
            <w:col w:w="7780"/>
          </w:cols>
          <w:pgMar w:left="180" w:top="270" w:right="1440" w:bottom="1440" w:gutter="0" w:footer="0" w:header="0"/>
          <w:type w:val="continuous"/>
        </w:sectPr>
      </w:pPr>
    </w:p>
    <w:p>
      <w:pPr>
        <w:spacing w:after="0" w:line="253" w:lineRule="exact"/>
        <w:rPr>
          <w:sz w:val="20"/>
          <w:szCs w:val="20"/>
          <w:color w:val="auto"/>
        </w:rPr>
      </w:pPr>
    </w:p>
    <w:p>
      <w:pPr>
        <w:ind w:left="1040" w:right="4500" w:hanging="650"/>
        <w:spacing w:after="0" w:line="275" w:lineRule="auto"/>
        <w:tabs>
          <w:tab w:leader="none" w:pos="1040" w:val="left"/>
        </w:tabs>
        <w:numPr>
          <w:ilvl w:val="0"/>
          <w:numId w:val="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5,296,845</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040" w:hanging="65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if the Aggregate Amount in Row (9) Excludes Certain Shares (See Instructions) o</w:t>
      </w:r>
    </w:p>
    <w:p>
      <w:pPr>
        <w:spacing w:after="0" w:line="200" w:lineRule="exact"/>
        <w:rPr>
          <w:rFonts w:ascii="Arial" w:cs="Arial" w:eastAsia="Arial" w:hAnsi="Arial"/>
          <w:sz w:val="17"/>
          <w:szCs w:val="17"/>
          <w:color w:val="auto"/>
        </w:rPr>
      </w:pPr>
    </w:p>
    <w:p>
      <w:pPr>
        <w:spacing w:after="0" w:line="289" w:lineRule="exact"/>
        <w:rPr>
          <w:rFonts w:ascii="Arial" w:cs="Arial" w:eastAsia="Arial" w:hAnsi="Arial"/>
          <w:sz w:val="17"/>
          <w:szCs w:val="17"/>
          <w:color w:val="auto"/>
        </w:rPr>
      </w:pPr>
    </w:p>
    <w:p>
      <w:pPr>
        <w:ind w:left="1040" w:right="5580" w:hanging="650"/>
        <w:spacing w:after="0" w:line="275" w:lineRule="auto"/>
        <w:tabs>
          <w:tab w:leader="none" w:pos="1040" w:val="left"/>
        </w:tabs>
        <w:numPr>
          <w:ilvl w:val="0"/>
          <w:numId w:val="3"/>
        </w:numPr>
        <w:rPr>
          <w:rFonts w:ascii="Arial" w:cs="Arial" w:eastAsia="Arial" w:hAnsi="Arial"/>
          <w:sz w:val="19"/>
          <w:szCs w:val="19"/>
          <w:color w:val="auto"/>
        </w:rPr>
      </w:pPr>
      <w:r>
        <w:rPr>
          <w:rFonts w:ascii="Arial" w:cs="Arial" w:eastAsia="Arial" w:hAnsi="Arial"/>
          <w:sz w:val="19"/>
          <w:szCs w:val="19"/>
          <w:color w:val="auto"/>
        </w:rPr>
        <w:t>Percent of Class Represented by Amount in Row (9) 4.9%</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040" w:hanging="650"/>
        <w:spacing w:after="0"/>
        <w:tabs>
          <w:tab w:leader="none" w:pos="1040" w:val="left"/>
        </w:tabs>
        <w:numPr>
          <w:ilvl w:val="0"/>
          <w:numId w:val="3"/>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-1115695</wp:posOffset>
            </wp:positionV>
            <wp:extent cx="6955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-1550035</wp:posOffset>
            </wp:positionV>
            <wp:extent cx="6955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20"/>
          </w:cols>
          <w:pgMar w:left="180" w:top="27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51435</wp:posOffset>
            </wp:positionV>
            <wp:extent cx="7625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40" w:right="7400" w:hanging="650"/>
        <w:spacing w:after="0" w:line="33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Names of Reporting Persons Daniel R. Omstead</w:t>
      </w:r>
    </w:p>
    <w:p>
      <w:pPr>
        <w:spacing w:after="0" w:line="365" w:lineRule="exact"/>
        <w:rPr>
          <w:rFonts w:ascii="Arial" w:cs="Arial" w:eastAsia="Arial" w:hAnsi="Arial"/>
          <w:sz w:val="17"/>
          <w:szCs w:val="17"/>
          <w:color w:val="auto"/>
        </w:rPr>
      </w:pPr>
    </w:p>
    <w:p>
      <w:pPr>
        <w:ind w:left="1040" w:hanging="650"/>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280" w:hanging="1234"/>
        <w:spacing w:after="0"/>
        <w:tabs>
          <w:tab w:leader="none" w:pos="2280" w:val="left"/>
        </w:tabs>
        <w:numPr>
          <w:ilvl w:val="1"/>
          <w:numId w:val="4"/>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280" w:hanging="1234"/>
        <w:spacing w:after="0"/>
        <w:tabs>
          <w:tab w:leader="none" w:pos="2280" w:val="left"/>
        </w:tabs>
        <w:numPr>
          <w:ilvl w:val="1"/>
          <w:numId w:val="4"/>
        </w:numPr>
        <w:rPr>
          <w:rFonts w:ascii="Arial" w:cs="Arial" w:eastAsia="Arial" w:hAnsi="Arial"/>
          <w:sz w:val="19"/>
          <w:szCs w:val="19"/>
          <w:color w:val="auto"/>
        </w:rPr>
      </w:pPr>
      <w:r>
        <w:rPr>
          <w:rFonts w:ascii="Arial" w:cs="Arial" w:eastAsia="Arial" w:hAnsi="Arial"/>
          <w:sz w:val="19"/>
          <w:szCs w:val="19"/>
          <w:color w:val="auto"/>
        </w:rPr>
        <w:t>o</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hanging="650"/>
        <w:spacing w:after="0"/>
        <w:tabs>
          <w:tab w:leader="none" w:pos="10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040" w:right="6800" w:hanging="650"/>
        <w:spacing w:after="0" w:line="275" w:lineRule="auto"/>
        <w:tabs>
          <w:tab w:leader="none" w:pos="10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6955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-561975</wp:posOffset>
            </wp:positionV>
            <wp:extent cx="6955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-996315</wp:posOffset>
            </wp:positionV>
            <wp:extent cx="6176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-1223010</wp:posOffset>
            </wp:positionV>
            <wp:extent cx="6176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601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-1875155</wp:posOffset>
            </wp:positionV>
            <wp:extent cx="6955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0620"/>
          </w:cols>
          <w:pgMar w:left="180" w:top="27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00" w:type="dxa"/>
            <w:vAlign w:val="bottom"/>
          </w:tcPr>
          <w:p>
            <w:pPr>
              <w:spacing w:after="0"/>
              <w:rPr>
                <w:sz w:val="20"/>
                <w:szCs w:val="20"/>
                <w:color w:val="auto"/>
              </w:rPr>
            </w:pPr>
            <w:r>
              <w:rPr>
                <w:rFonts w:ascii="Arial" w:cs="Arial" w:eastAsia="Arial" w:hAnsi="Arial"/>
                <w:sz w:val="19"/>
                <w:szCs w:val="19"/>
                <w:color w:val="auto"/>
              </w:rPr>
              <w:t>Number of</w:t>
            </w: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0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9"/>
                <w:szCs w:val="19"/>
                <w:color w:val="auto"/>
              </w:rPr>
              <w:t>Beneficially</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9"/>
                <w:szCs w:val="19"/>
                <w:color w:val="auto"/>
              </w:rPr>
              <w:t>Owned by</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9"/>
                <w:szCs w:val="19"/>
                <w:color w:val="auto"/>
              </w:rPr>
              <w:t>Each</w:t>
            </w:r>
          </w:p>
        </w:tc>
        <w:tc>
          <w:tcPr>
            <w:tcW w:w="54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0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r>
              <w:rPr>
                <w:rFonts w:ascii="Arial" w:cs="Arial" w:eastAsia="Arial" w:hAnsi="Arial"/>
                <w:sz w:val="19"/>
                <w:szCs w:val="19"/>
                <w:color w:val="auto"/>
              </w:rPr>
              <w:t>Person With</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5,296,845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5,296,845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43180</wp:posOffset>
            </wp:positionV>
            <wp:extent cx="5814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1406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20" w:space="720"/>
            <w:col w:w="7780"/>
          </w:cols>
          <w:pgMar w:left="180" w:top="270" w:right="1440" w:bottom="1440" w:gutter="0" w:footer="0" w:header="0"/>
          <w:type w:val="continuous"/>
        </w:sectPr>
      </w:pPr>
    </w:p>
    <w:p>
      <w:pPr>
        <w:spacing w:after="0" w:line="253" w:lineRule="exact"/>
        <w:rPr>
          <w:sz w:val="20"/>
          <w:szCs w:val="20"/>
          <w:color w:val="auto"/>
        </w:rPr>
      </w:pPr>
    </w:p>
    <w:p>
      <w:pPr>
        <w:ind w:left="1040" w:right="4500" w:hanging="650"/>
        <w:spacing w:after="0" w:line="275" w:lineRule="auto"/>
        <w:tabs>
          <w:tab w:leader="none" w:pos="1040" w:val="left"/>
        </w:tabs>
        <w:numPr>
          <w:ilvl w:val="0"/>
          <w:numId w:val="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5,296,845</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040" w:hanging="650"/>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if the Aggregate Amount in Row (9) Excludes Certain Shares (See Instructions) o</w:t>
      </w:r>
    </w:p>
    <w:p>
      <w:pPr>
        <w:spacing w:after="0" w:line="200" w:lineRule="exact"/>
        <w:rPr>
          <w:rFonts w:ascii="Arial" w:cs="Arial" w:eastAsia="Arial" w:hAnsi="Arial"/>
          <w:sz w:val="17"/>
          <w:szCs w:val="17"/>
          <w:color w:val="auto"/>
        </w:rPr>
      </w:pPr>
    </w:p>
    <w:p>
      <w:pPr>
        <w:spacing w:after="0" w:line="289" w:lineRule="exact"/>
        <w:rPr>
          <w:rFonts w:ascii="Arial" w:cs="Arial" w:eastAsia="Arial" w:hAnsi="Arial"/>
          <w:sz w:val="17"/>
          <w:szCs w:val="17"/>
          <w:color w:val="auto"/>
        </w:rPr>
      </w:pPr>
    </w:p>
    <w:p>
      <w:pPr>
        <w:ind w:left="1040" w:right="5580" w:hanging="650"/>
        <w:spacing w:after="0" w:line="275" w:lineRule="auto"/>
        <w:tabs>
          <w:tab w:leader="none" w:pos="1040" w:val="left"/>
        </w:tabs>
        <w:numPr>
          <w:ilvl w:val="0"/>
          <w:numId w:val="5"/>
        </w:numPr>
        <w:rPr>
          <w:rFonts w:ascii="Arial" w:cs="Arial" w:eastAsia="Arial" w:hAnsi="Arial"/>
          <w:sz w:val="19"/>
          <w:szCs w:val="19"/>
          <w:color w:val="auto"/>
        </w:rPr>
      </w:pPr>
      <w:r>
        <w:rPr>
          <w:rFonts w:ascii="Arial" w:cs="Arial" w:eastAsia="Arial" w:hAnsi="Arial"/>
          <w:sz w:val="19"/>
          <w:szCs w:val="19"/>
          <w:color w:val="auto"/>
        </w:rPr>
        <w:t>Percent of Class Represented by Amount in Row (9) 4.9%</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040" w:hanging="650"/>
        <w:spacing w:after="0"/>
        <w:tabs>
          <w:tab w:leader="none" w:pos="10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6955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-535940</wp:posOffset>
            </wp:positionV>
            <wp:extent cx="6955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-1115695</wp:posOffset>
            </wp:positionV>
            <wp:extent cx="6955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-1550035</wp:posOffset>
            </wp:positionV>
            <wp:extent cx="6955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6"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20"/>
          </w:cols>
          <w:pgMar w:left="180" w:top="270"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9"/>
          <w:szCs w:val="19"/>
          <w:b w:val="1"/>
          <w:bCs w:val="1"/>
          <w:color w:val="auto"/>
        </w:rPr>
        <w:t>Item 1.</w:t>
      </w:r>
    </w:p>
    <w:p>
      <w:pPr>
        <w:spacing w:after="0" w:line="130" w:lineRule="exact"/>
        <w:rPr>
          <w:sz w:val="20"/>
          <w:szCs w:val="20"/>
          <w:color w:val="auto"/>
        </w:rPr>
      </w:pPr>
    </w:p>
    <w:p>
      <w:pPr>
        <w:ind w:left="1580" w:right="9020" w:hanging="516"/>
        <w:spacing w:after="0" w:line="372" w:lineRule="auto"/>
        <w:tabs>
          <w:tab w:leader="none" w:pos="1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Verona Pharma plc</w:t>
      </w:r>
    </w:p>
    <w:p>
      <w:pPr>
        <w:spacing w:after="0" w:line="14" w:lineRule="exact"/>
        <w:rPr>
          <w:rFonts w:ascii="Arial" w:cs="Arial" w:eastAsia="Arial" w:hAnsi="Arial"/>
          <w:sz w:val="16"/>
          <w:szCs w:val="16"/>
          <w:color w:val="auto"/>
        </w:rPr>
      </w:pPr>
    </w:p>
    <w:p>
      <w:pPr>
        <w:ind w:left="1580" w:right="6860" w:hanging="516"/>
        <w:spacing w:after="0" w:line="336" w:lineRule="auto"/>
        <w:tabs>
          <w:tab w:leader="none" w:pos="1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Address of Issuer’s Principal Executive Offices 3 More London Riverside, London SE1 2RE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-12065</wp:posOffset>
            </wp:positionV>
            <wp:extent cx="6656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-382905</wp:posOffset>
            </wp:positionV>
            <wp:extent cx="6656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56070" cy="8890"/>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Item 2.</w:t>
      </w:r>
    </w:p>
    <w:p>
      <w:pPr>
        <w:spacing w:after="0" w:line="130" w:lineRule="exact"/>
        <w:rPr>
          <w:sz w:val="20"/>
          <w:szCs w:val="20"/>
          <w:color w:val="auto"/>
        </w:rPr>
      </w:pPr>
    </w:p>
    <w:p>
      <w:pPr>
        <w:ind w:left="1580" w:hanging="516"/>
        <w:spacing w:after="0"/>
        <w:tabs>
          <w:tab w:leader="none" w:pos="1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Name of Person Filing</w:t>
      </w:r>
    </w:p>
    <w:p>
      <w:pPr>
        <w:spacing w:after="0" w:line="22" w:lineRule="exact"/>
        <w:rPr>
          <w:rFonts w:ascii="Arial" w:cs="Arial" w:eastAsia="Arial" w:hAnsi="Arial"/>
          <w:sz w:val="19"/>
          <w:szCs w:val="19"/>
          <w:color w:val="auto"/>
        </w:rPr>
      </w:pPr>
    </w:p>
    <w:p>
      <w:pPr>
        <w:ind w:left="1580"/>
        <w:spacing w:after="0"/>
        <w:rPr>
          <w:rFonts w:ascii="Arial" w:cs="Arial" w:eastAsia="Arial" w:hAnsi="Arial"/>
          <w:sz w:val="19"/>
          <w:szCs w:val="19"/>
          <w:color w:val="auto"/>
        </w:rPr>
      </w:pPr>
      <w:r>
        <w:rPr>
          <w:rFonts w:ascii="Arial" w:cs="Arial" w:eastAsia="Arial" w:hAnsi="Arial"/>
          <w:sz w:val="19"/>
          <w:szCs w:val="19"/>
          <w:color w:val="auto"/>
        </w:rPr>
        <w:t>Tekla Capital Management LLC</w:t>
      </w:r>
    </w:p>
    <w:p>
      <w:pPr>
        <w:spacing w:after="0" w:line="124" w:lineRule="exact"/>
        <w:rPr>
          <w:rFonts w:ascii="Arial" w:cs="Arial" w:eastAsia="Arial" w:hAnsi="Arial"/>
          <w:sz w:val="19"/>
          <w:szCs w:val="19"/>
          <w:color w:val="auto"/>
        </w:rPr>
      </w:pPr>
    </w:p>
    <w:p>
      <w:pPr>
        <w:ind w:left="1580" w:right="5940" w:hanging="516"/>
        <w:spacing w:after="0" w:line="313" w:lineRule="auto"/>
        <w:tabs>
          <w:tab w:leader="none" w:pos="1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Address of Principal Business Office or, if none, Residence 100 Federal Street, 19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Boston, MA 02110</w:t>
      </w:r>
    </w:p>
    <w:p>
      <w:pPr>
        <w:spacing w:after="0" w:line="14" w:lineRule="exact"/>
        <w:rPr>
          <w:rFonts w:ascii="Arial" w:cs="Arial" w:eastAsia="Arial" w:hAnsi="Arial"/>
          <w:sz w:val="17"/>
          <w:szCs w:val="17"/>
          <w:color w:val="auto"/>
        </w:rPr>
      </w:pPr>
    </w:p>
    <w:p>
      <w:pPr>
        <w:ind w:left="1580" w:hanging="516"/>
        <w:spacing w:after="0"/>
        <w:tabs>
          <w:tab w:leader="none" w:pos="1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Citizenship</w:t>
      </w:r>
    </w:p>
    <w:p>
      <w:pPr>
        <w:spacing w:after="0" w:line="22" w:lineRule="exact"/>
        <w:rPr>
          <w:rFonts w:ascii="Arial" w:cs="Arial" w:eastAsia="Arial" w:hAnsi="Arial"/>
          <w:sz w:val="19"/>
          <w:szCs w:val="19"/>
          <w:color w:val="auto"/>
        </w:rPr>
      </w:pPr>
    </w:p>
    <w:p>
      <w:pPr>
        <w:ind w:left="1580"/>
        <w:spacing w:after="0"/>
        <w:rPr>
          <w:rFonts w:ascii="Arial" w:cs="Arial" w:eastAsia="Arial" w:hAnsi="Arial"/>
          <w:sz w:val="19"/>
          <w:szCs w:val="19"/>
          <w:color w:val="auto"/>
        </w:rPr>
      </w:pPr>
      <w:r>
        <w:rPr>
          <w:rFonts w:ascii="Arial" w:cs="Arial" w:eastAsia="Arial" w:hAnsi="Arial"/>
          <w:sz w:val="19"/>
          <w:szCs w:val="19"/>
          <w:color w:val="auto"/>
        </w:rPr>
        <w:t>Delaware Corporation</w:t>
      </w:r>
    </w:p>
    <w:p>
      <w:pPr>
        <w:spacing w:after="0" w:line="124" w:lineRule="exact"/>
        <w:rPr>
          <w:rFonts w:ascii="Arial" w:cs="Arial" w:eastAsia="Arial" w:hAnsi="Arial"/>
          <w:sz w:val="19"/>
          <w:szCs w:val="19"/>
          <w:color w:val="auto"/>
        </w:rPr>
      </w:pPr>
    </w:p>
    <w:p>
      <w:pPr>
        <w:ind w:left="1580" w:right="8440" w:hanging="516"/>
        <w:spacing w:after="0" w:line="336" w:lineRule="auto"/>
        <w:tabs>
          <w:tab w:leader="none" w:pos="1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Title of Class of Securities Common Stock</w:t>
      </w:r>
    </w:p>
    <w:p>
      <w:pPr>
        <w:spacing w:after="0" w:line="37" w:lineRule="exact"/>
        <w:rPr>
          <w:rFonts w:ascii="Arial" w:cs="Arial" w:eastAsia="Arial" w:hAnsi="Arial"/>
          <w:sz w:val="17"/>
          <w:szCs w:val="17"/>
          <w:color w:val="auto"/>
        </w:rPr>
      </w:pPr>
    </w:p>
    <w:p>
      <w:pPr>
        <w:ind w:left="1580" w:right="9000" w:hanging="516"/>
        <w:spacing w:after="0" w:line="304" w:lineRule="auto"/>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CUSIP Number GB00BYW2KH80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1905</wp:posOffset>
            </wp:positionV>
            <wp:extent cx="665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-368300</wp:posOffset>
            </wp:positionV>
            <wp:extent cx="665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-739775</wp:posOffset>
            </wp:positionV>
            <wp:extent cx="665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-1111250</wp:posOffset>
            </wp:positionV>
            <wp:extent cx="6656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6070"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-1482725</wp:posOffset>
            </wp:positionV>
            <wp:extent cx="6656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56070" cy="8890"/>
                    </a:xfrm>
                    <a:prstGeom prst="rect">
                      <a:avLst/>
                    </a:prstGeom>
                    <a:noFill/>
                  </pic:spPr>
                </pic:pic>
              </a:graphicData>
            </a:graphic>
          </wp:anchor>
        </w:drawing>
      </w:r>
    </w:p>
    <w:p>
      <w:pPr>
        <w:spacing w:after="0" w:line="362"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§§240.13d-1(b) or 240.13d-2(b) or (c), check whether the person filing is a:</w:t>
      </w:r>
    </w:p>
    <w:p>
      <w:pPr>
        <w:spacing w:after="0" w:line="187" w:lineRule="exact"/>
        <w:rPr>
          <w:sz w:val="20"/>
          <w:szCs w:val="20"/>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Broker or dealer registered under section 15 of the Act (15 U.S.C. 78o);</w:t>
      </w:r>
    </w:p>
    <w:p>
      <w:pPr>
        <w:spacing w:after="0" w:line="237" w:lineRule="exact"/>
        <w:rPr>
          <w:rFonts w:ascii="Arial" w:cs="Arial" w:eastAsia="Arial" w:hAnsi="Arial"/>
          <w:sz w:val="19"/>
          <w:szCs w:val="19"/>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Bank as defined in section 3(a)(6) of the Act (15 U.S.C. 78c);</w:t>
      </w:r>
    </w:p>
    <w:p>
      <w:pPr>
        <w:spacing w:after="0" w:line="237" w:lineRule="exact"/>
        <w:rPr>
          <w:rFonts w:ascii="Arial" w:cs="Arial" w:eastAsia="Arial" w:hAnsi="Arial"/>
          <w:sz w:val="19"/>
          <w:szCs w:val="19"/>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Insurance company as defined in section 3(a)(19) of the Act (15 U.S.C. 78c);</w:t>
      </w:r>
    </w:p>
    <w:p>
      <w:pPr>
        <w:spacing w:after="0" w:line="237" w:lineRule="exact"/>
        <w:rPr>
          <w:rFonts w:ascii="Arial" w:cs="Arial" w:eastAsia="Arial" w:hAnsi="Arial"/>
          <w:sz w:val="19"/>
          <w:szCs w:val="19"/>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Investment company registered under section 8 of the Investment Company Act of 1940 (15 U.S.C. 80a-8);</w:t>
      </w:r>
    </w:p>
    <w:p>
      <w:pPr>
        <w:spacing w:after="0" w:line="237" w:lineRule="exact"/>
        <w:rPr>
          <w:rFonts w:ascii="Arial" w:cs="Arial" w:eastAsia="Arial" w:hAnsi="Arial"/>
          <w:sz w:val="19"/>
          <w:szCs w:val="19"/>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An investment adviser in accordance with §240.13d-1(b)(1)(ii)(E);</w:t>
      </w:r>
    </w:p>
    <w:p>
      <w:pPr>
        <w:spacing w:after="0" w:line="237" w:lineRule="exact"/>
        <w:rPr>
          <w:rFonts w:ascii="Arial" w:cs="Arial" w:eastAsia="Arial" w:hAnsi="Arial"/>
          <w:sz w:val="19"/>
          <w:szCs w:val="19"/>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An employee benefit plan or endowment fund in accordance with §240.13d-1(b)(1)(ii)(F);</w:t>
      </w:r>
    </w:p>
    <w:p>
      <w:pPr>
        <w:spacing w:after="0" w:line="237" w:lineRule="exact"/>
        <w:rPr>
          <w:rFonts w:ascii="Arial" w:cs="Arial" w:eastAsia="Arial" w:hAnsi="Arial"/>
          <w:sz w:val="19"/>
          <w:szCs w:val="19"/>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parent holding company or control person in accordance with §240.13d-1(b)(1)(ii)(G);</w:t>
      </w:r>
    </w:p>
    <w:p>
      <w:pPr>
        <w:spacing w:after="0" w:line="237" w:lineRule="exact"/>
        <w:rPr>
          <w:rFonts w:ascii="Arial" w:cs="Arial" w:eastAsia="Arial" w:hAnsi="Arial"/>
          <w:sz w:val="19"/>
          <w:szCs w:val="19"/>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savings association as defined in Section 3(b) of the Federal Deposit Insurance Act (12 U.S.C. 1813);</w:t>
      </w:r>
    </w:p>
    <w:p>
      <w:pPr>
        <w:spacing w:after="0" w:line="237" w:lineRule="exact"/>
        <w:rPr>
          <w:rFonts w:ascii="Arial" w:cs="Arial" w:eastAsia="Arial" w:hAnsi="Arial"/>
          <w:sz w:val="19"/>
          <w:szCs w:val="19"/>
          <w:color w:val="auto"/>
        </w:rPr>
      </w:pPr>
    </w:p>
    <w:p>
      <w:pPr>
        <w:ind w:left="2120" w:right="160" w:hanging="1056"/>
        <w:spacing w:after="0" w:line="275" w:lineRule="auto"/>
        <w:tabs>
          <w:tab w:leader="none" w:pos="1578" w:val="left"/>
        </w:tabs>
        <w:numPr>
          <w:ilvl w:val="0"/>
          <w:numId w:val="8"/>
        </w:numPr>
        <w:rPr>
          <w:rFonts w:ascii="Arial" w:cs="Arial" w:eastAsia="Arial" w:hAnsi="Arial"/>
          <w:sz w:val="19"/>
          <w:szCs w:val="19"/>
          <w:color w:val="auto"/>
        </w:rPr>
      </w:pPr>
      <w:r>
        <w:rPr>
          <w:rFonts w:ascii="Arial" w:cs="Arial" w:eastAsia="Arial" w:hAnsi="Arial"/>
          <w:sz w:val="19"/>
          <w:szCs w:val="19"/>
          <w:color w:val="auto"/>
        </w:rPr>
        <w:t>oA church plan that is excluded from the definition of an investment company under section 3(c)(14) of the Investment Company Act of 1940 (15 U.S.C. 80a-3);</w:t>
      </w:r>
    </w:p>
    <w:p>
      <w:pPr>
        <w:spacing w:after="0" w:line="183" w:lineRule="exact"/>
        <w:rPr>
          <w:rFonts w:ascii="Arial" w:cs="Arial" w:eastAsia="Arial" w:hAnsi="Arial"/>
          <w:sz w:val="19"/>
          <w:szCs w:val="19"/>
          <w:color w:val="auto"/>
        </w:rPr>
      </w:pPr>
    </w:p>
    <w:p>
      <w:pPr>
        <w:ind w:left="1580" w:hanging="516"/>
        <w:spacing w:after="0"/>
        <w:tabs>
          <w:tab w:leader="none" w:pos="15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non-U.S. institution in accordance with § 240.13d–1(b)(1)(ii)(J);</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vMerge w:val="restart"/>
          </w:tcPr>
          <w:p>
            <w:pPr>
              <w:ind w:left="1060"/>
              <w:spacing w:after="0"/>
              <w:rPr>
                <w:sz w:val="20"/>
                <w:szCs w:val="20"/>
                <w:color w:val="auto"/>
              </w:rPr>
            </w:pPr>
            <w:r>
              <w:rPr>
                <w:rFonts w:ascii="Arial" w:cs="Arial" w:eastAsia="Arial" w:hAnsi="Arial"/>
                <w:sz w:val="19"/>
                <w:szCs w:val="19"/>
                <w:color w:val="auto"/>
              </w:rPr>
              <w:t>(k)</w:t>
            </w:r>
          </w:p>
        </w:tc>
        <w:tc>
          <w:tcPr>
            <w:tcW w:w="460" w:type="dxa"/>
            <w:vAlign w:val="bottom"/>
            <w:vMerge w:val="restart"/>
          </w:tcPr>
          <w:p>
            <w:pPr>
              <w:ind w:left="140"/>
              <w:spacing w:after="0"/>
              <w:rPr>
                <w:sz w:val="20"/>
                <w:szCs w:val="20"/>
                <w:color w:val="auto"/>
              </w:rPr>
            </w:pPr>
            <w:r>
              <w:rPr>
                <w:rFonts w:ascii="Arial" w:cs="Arial" w:eastAsia="Arial" w:hAnsi="Arial"/>
                <w:sz w:val="19"/>
                <w:szCs w:val="19"/>
                <w:color w:val="auto"/>
              </w:rPr>
              <w:t>o</w:t>
            </w:r>
          </w:p>
        </w:tc>
        <w:tc>
          <w:tcPr>
            <w:tcW w:w="10140" w:type="dxa"/>
            <w:vAlign w:val="bottom"/>
          </w:tcPr>
          <w:p>
            <w:pPr>
              <w:ind w:left="220"/>
              <w:spacing w:after="0"/>
              <w:rPr>
                <w:sz w:val="20"/>
                <w:szCs w:val="20"/>
                <w:color w:val="auto"/>
              </w:rPr>
            </w:pPr>
            <w:r>
              <w:rPr>
                <w:rFonts w:ascii="Arial" w:cs="Arial" w:eastAsia="Arial" w:hAnsi="Arial"/>
                <w:sz w:val="19"/>
                <w:szCs w:val="19"/>
                <w:color w:val="auto"/>
                <w:w w:val="95"/>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7"/>
        </w:trPr>
        <w:tc>
          <w:tcPr>
            <w:tcW w:w="14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0140" w:type="dxa"/>
            <w:vAlign w:val="bottom"/>
            <w:vMerge w:val="restart"/>
          </w:tcPr>
          <w:p>
            <w:pPr>
              <w:ind w:left="220"/>
              <w:spacing w:after="0"/>
              <w:rPr>
                <w:sz w:val="20"/>
                <w:szCs w:val="20"/>
                <w:color w:val="auto"/>
              </w:rPr>
            </w:pPr>
            <w:r>
              <w:rPr>
                <w:rFonts w:ascii="Arial" w:cs="Arial" w:eastAsia="Arial" w:hAnsi="Arial"/>
                <w:sz w:val="19"/>
                <w:szCs w:val="19"/>
                <w:color w:val="auto"/>
              </w:rPr>
              <w:t>(J), please specify the type of institution:____________________________</w:t>
            </w:r>
          </w:p>
        </w:tc>
        <w:tc>
          <w:tcPr>
            <w:tcW w:w="0" w:type="dxa"/>
            <w:vAlign w:val="bottom"/>
          </w:tcPr>
          <w:p>
            <w:pPr>
              <w:spacing w:after="0"/>
              <w:rPr>
                <w:sz w:val="1"/>
                <w:szCs w:val="1"/>
                <w:color w:val="auto"/>
              </w:rPr>
            </w:pPr>
          </w:p>
        </w:tc>
      </w:tr>
      <w:tr>
        <w:trPr>
          <w:trHeight w:val="114"/>
        </w:trPr>
        <w:tc>
          <w:tcPr>
            <w:tcW w:w="1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0"/>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40" w:type="dxa"/>
            <w:vAlign w:val="bottom"/>
          </w:tcPr>
          <w:p>
            <w:pPr>
              <w:jc w:val="right"/>
              <w:ind w:right="5905"/>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141"/>
        </w:trPr>
        <w:tc>
          <w:tcPr>
            <w:tcW w:w="14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64" w:right="80" w:bottom="1440" w:gutter="0" w:footer="0" w:header="0"/>
        </w:sectPr>
      </w:pPr>
    </w:p>
    <w:bookmarkStart w:id="4" w:name="page5"/>
    <w:bookmarkEnd w:id="4"/>
    <w:p>
      <w:pPr>
        <w:spacing w:after="0"/>
        <w:tabs>
          <w:tab w:leader="none" w:pos="114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 securities of the issuer identified in Item 1.</w:t>
      </w:r>
    </w:p>
    <w:p>
      <w:pPr>
        <w:spacing w:after="0" w:line="181" w:lineRule="exact"/>
        <w:rPr>
          <w:sz w:val="20"/>
          <w:szCs w:val="20"/>
          <w:color w:val="auto"/>
        </w:rPr>
      </w:pPr>
    </w:p>
    <w:p>
      <w:pPr>
        <w:ind w:left="1660" w:right="8040" w:hanging="412"/>
        <w:spacing w:after="0" w:line="338" w:lineRule="auto"/>
        <w:tabs>
          <w:tab w:leader="none" w:pos="1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Amount beneficially owned: 5,296,845</w:t>
      </w:r>
    </w:p>
    <w:p>
      <w:pPr>
        <w:spacing w:after="0" w:line="140" w:lineRule="exact"/>
        <w:rPr>
          <w:rFonts w:ascii="Arial" w:cs="Arial" w:eastAsia="Arial" w:hAnsi="Arial"/>
          <w:sz w:val="19"/>
          <w:szCs w:val="19"/>
          <w:color w:val="auto"/>
        </w:rPr>
      </w:pPr>
    </w:p>
    <w:p>
      <w:pPr>
        <w:ind w:left="1660" w:hanging="418"/>
        <w:spacing w:after="0"/>
        <w:tabs>
          <w:tab w:leader="none" w:pos="1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Percent of class:</w:t>
      </w:r>
    </w:p>
    <w:p>
      <w:pPr>
        <w:spacing w:after="0" w:line="66" w:lineRule="exact"/>
        <w:rPr>
          <w:rFonts w:ascii="Arial" w:cs="Arial" w:eastAsia="Arial" w:hAnsi="Arial"/>
          <w:sz w:val="19"/>
          <w:szCs w:val="19"/>
          <w:color w:val="auto"/>
        </w:rPr>
      </w:pPr>
    </w:p>
    <w:p>
      <w:pPr>
        <w:ind w:left="1660"/>
        <w:spacing w:after="0"/>
        <w:rPr>
          <w:rFonts w:ascii="Arial" w:cs="Arial" w:eastAsia="Arial" w:hAnsi="Arial"/>
          <w:sz w:val="19"/>
          <w:szCs w:val="19"/>
          <w:color w:val="auto"/>
        </w:rPr>
      </w:pPr>
      <w:r>
        <w:rPr>
          <w:rFonts w:ascii="Arial" w:cs="Arial" w:eastAsia="Arial" w:hAnsi="Arial"/>
          <w:sz w:val="19"/>
          <w:szCs w:val="19"/>
          <w:color w:val="auto"/>
        </w:rPr>
        <w:t>4.9%</w:t>
      </w:r>
    </w:p>
    <w:p>
      <w:pPr>
        <w:spacing w:after="0" w:line="252" w:lineRule="exact"/>
        <w:rPr>
          <w:rFonts w:ascii="Arial" w:cs="Arial" w:eastAsia="Arial" w:hAnsi="Arial"/>
          <w:sz w:val="19"/>
          <w:szCs w:val="19"/>
          <w:color w:val="auto"/>
        </w:rPr>
      </w:pPr>
    </w:p>
    <w:p>
      <w:pPr>
        <w:ind w:left="1660" w:hanging="412"/>
        <w:spacing w:after="0"/>
        <w:tabs>
          <w:tab w:leader="none" w:pos="1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268605</wp:posOffset>
            </wp:positionV>
            <wp:extent cx="65652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5265" cy="8890"/>
                    </a:xfrm>
                    <a:prstGeom prst="rect">
                      <a:avLst/>
                    </a:prstGeom>
                    <a:noFill/>
                  </pic:spPr>
                </pic:pic>
              </a:graphicData>
            </a:graphic>
          </wp:anchor>
        </w:drawing>
        <w:drawing>
          <wp:anchor simplePos="0" relativeHeight="251657728" behindDoc="1" locked="0" layoutInCell="0" allowOverlap="1">
            <wp:simplePos x="0" y="0"/>
            <wp:positionH relativeFrom="column">
              <wp:posOffset>1017905</wp:posOffset>
            </wp:positionH>
            <wp:positionV relativeFrom="paragraph">
              <wp:posOffset>-210820</wp:posOffset>
            </wp:positionV>
            <wp:extent cx="65652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65265" cy="8890"/>
                    </a:xfrm>
                    <a:prstGeom prst="rect">
                      <a:avLst/>
                    </a:prstGeom>
                    <a:noFill/>
                  </pic:spPr>
                </pic:pic>
              </a:graphicData>
            </a:graphic>
          </wp:anchor>
        </w:drawing>
        <w:drawing>
          <wp:anchor simplePos="0" relativeHeight="251657728" behindDoc="1" locked="0" layoutInCell="0" allowOverlap="1">
            <wp:simplePos x="0" y="0"/>
            <wp:positionH relativeFrom="column">
              <wp:posOffset>1017905</wp:posOffset>
            </wp:positionH>
            <wp:positionV relativeFrom="paragraph">
              <wp:posOffset>-690245</wp:posOffset>
            </wp:positionV>
            <wp:extent cx="65652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6526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320" w:right="6600" w:hanging="479"/>
        <w:spacing w:after="0" w:line="338" w:lineRule="auto"/>
        <w:tabs>
          <w:tab w:leader="none" w:pos="23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16510</wp:posOffset>
            </wp:positionV>
            <wp:extent cx="6148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120" w:lineRule="exact"/>
        <w:rPr>
          <w:sz w:val="20"/>
          <w:szCs w:val="20"/>
          <w:color w:val="auto"/>
        </w:rPr>
      </w:pPr>
    </w:p>
    <w:p>
      <w:pPr>
        <w:ind w:left="2320" w:right="6400" w:hanging="505"/>
        <w:spacing w:after="0" w:line="338" w:lineRule="auto"/>
        <w:tabs>
          <w:tab w:leader="none" w:pos="23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Shared power to vote or to direct the vote 5,296,845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16510</wp:posOffset>
            </wp:positionV>
            <wp:extent cx="61487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120" w:lineRule="exact"/>
        <w:rPr>
          <w:sz w:val="20"/>
          <w:szCs w:val="20"/>
          <w:color w:val="auto"/>
        </w:rPr>
      </w:pPr>
    </w:p>
    <w:p>
      <w:pPr>
        <w:ind w:left="2320" w:right="5640" w:hanging="532"/>
        <w:spacing w:after="0" w:line="338" w:lineRule="auto"/>
        <w:tabs>
          <w:tab w:leader="none" w:pos="2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5,296,845</w:t>
      </w:r>
    </w:p>
    <w:p>
      <w:pPr>
        <w:spacing w:after="0" w:line="140" w:lineRule="exact"/>
        <w:rPr>
          <w:rFonts w:ascii="Arial" w:cs="Arial" w:eastAsia="Arial" w:hAnsi="Arial"/>
          <w:sz w:val="19"/>
          <w:szCs w:val="19"/>
          <w:color w:val="auto"/>
        </w:rPr>
      </w:pPr>
    </w:p>
    <w:p>
      <w:pPr>
        <w:ind w:left="2320" w:right="5460" w:hanging="527"/>
        <w:spacing w:after="0" w:line="338" w:lineRule="auto"/>
        <w:tabs>
          <w:tab w:leader="none" w:pos="2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16510</wp:posOffset>
            </wp:positionV>
            <wp:extent cx="61487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48705" cy="8890"/>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-462915</wp:posOffset>
            </wp:positionV>
            <wp:extent cx="61487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385"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ind w:right="58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ind w:left="1160" w:hanging="1168"/>
        <w:spacing w:after="0" w:line="282" w:lineRule="auto"/>
        <w:tabs>
          <w:tab w:leader="none" w:pos="114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See attached Exhibit A.</w:t>
      </w:r>
    </w:p>
    <w:p>
      <w:pPr>
        <w:spacing w:after="0" w:line="200" w:lineRule="exact"/>
        <w:rPr>
          <w:sz w:val="20"/>
          <w:szCs w:val="20"/>
          <w:color w:val="auto"/>
        </w:rPr>
      </w:pP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N/A</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646670" cy="31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80"/>
          </w:cols>
          <w:pgMar w:left="180" w:top="264" w:right="180" w:bottom="1440" w:gutter="0" w:footer="0" w:header="0"/>
        </w:sectPr>
      </w:pPr>
    </w:p>
    <w:bookmarkStart w:id="5" w:name="page6"/>
    <w:bookmarkEnd w:id="5"/>
    <w:p>
      <w:pPr>
        <w:ind w:left="60"/>
        <w:spacing w:after="0"/>
        <w:tabs>
          <w:tab w:leader="none" w:pos="120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30" w:lineRule="exact"/>
        <w:rPr>
          <w:sz w:val="20"/>
          <w:szCs w:val="20"/>
          <w:color w:val="auto"/>
        </w:rPr>
      </w:pPr>
    </w:p>
    <w:p>
      <w:pPr>
        <w:jc w:val="both"/>
        <w:ind w:left="60"/>
        <w:spacing w:after="0" w:line="28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1"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February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Date</w:t>
      </w:r>
    </w:p>
    <w:p>
      <w:pPr>
        <w:spacing w:after="0" w:line="238"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/s/ Laura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Signature</w:t>
      </w:r>
    </w:p>
    <w:p>
      <w:pPr>
        <w:spacing w:after="0" w:line="238"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Laura Woodward,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15240</wp:posOffset>
            </wp:positionV>
            <wp:extent cx="38125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12540" cy="8890"/>
                    </a:xfrm>
                    <a:prstGeom prst="rect">
                      <a:avLst/>
                    </a:prstGeom>
                    <a:noFill/>
                  </pic:spPr>
                </pic:pic>
              </a:graphicData>
            </a:graphic>
          </wp:anchor>
        </w:drawing>
      </w:r>
    </w:p>
    <w:p>
      <w:pPr>
        <w:spacing w:after="0" w:line="4" w:lineRule="exact"/>
        <w:rPr>
          <w:sz w:val="20"/>
          <w:szCs w:val="20"/>
          <w:color w:val="auto"/>
        </w:rPr>
      </w:pPr>
    </w:p>
    <w:p>
      <w:pPr>
        <w:jc w:val="center"/>
        <w:ind w:left="6000"/>
        <w:spacing w:after="0"/>
        <w:rPr>
          <w:sz w:val="20"/>
          <w:szCs w:val="20"/>
          <w:color w:val="auto"/>
        </w:rPr>
      </w:pPr>
      <w:r>
        <w:rPr>
          <w:rFonts w:ascii="Arial" w:cs="Arial" w:eastAsia="Arial" w:hAnsi="Arial"/>
          <w:sz w:val="19"/>
          <w:szCs w:val="19"/>
          <w:color w:val="auto"/>
        </w:rPr>
        <w:t>Name/Title</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20"/>
          </w:cols>
          <w:pgMar w:left="120" w:top="264" w:right="200"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Exhibit A</w:t>
      </w:r>
    </w:p>
    <w:p>
      <w:pPr>
        <w:spacing w:after="0" w:line="238"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Tekla Capital Management LLC (“TCM”), an investment adviser registered pursuant to Section 203 of the Investment Advisers Act of 1940, is the beneficial owner of 5,296,845 shares (or 4.9%) of the Common Stock of Verona Pharma plc (the “Company”) as a result of acting as investment adviser to Tekla Life Sciences Investors (“HQL”) and Tekla World Healthcare Fund (“THW”), each of which is registered as an investment company pursuant to Section 8 of the Investment Company Act of 1940. Each of TCM and Daniel R. Omstead, through his control of TCM, has sole power to dispose of the 5,296,845 shares beneficially owned by HQL and THW. Neither TCM nor Daniel R. Omstead has the sole power to vote or direct the vote of the shares beneficially owned by HQL and THW, which power resides in each fund’s Board of Trustees. TCM carries out the voting of the shares under written guidelines established by each fund’s Board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646670" cy="31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7" w:name="page8"/>
    <w:bookmarkEnd w:id="7"/>
    <w:p>
      <w:pPr>
        <w:jc w:val="right"/>
        <w:spacing w:after="0"/>
        <w:rPr>
          <w:sz w:val="20"/>
          <w:szCs w:val="20"/>
          <w:color w:val="auto"/>
        </w:rPr>
      </w:pPr>
      <w:r>
        <w:rPr>
          <w:rFonts w:ascii="Arial" w:cs="Arial" w:eastAsia="Arial" w:hAnsi="Arial"/>
          <w:sz w:val="19"/>
          <w:szCs w:val="19"/>
          <w:b w:val="1"/>
          <w:bCs w:val="1"/>
          <w:color w:val="auto"/>
        </w:rPr>
        <w:t>Exhibit 99.1</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Joint Filing Agreement</w:t>
      </w:r>
    </w:p>
    <w:p>
      <w:pPr>
        <w:spacing w:after="0" w:line="238"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The undersigned persons, on February 12, 2019, agree and consent to the joint filing on their behalf of this Schedule 13G in connection with their beneficial ownership of the Common Stock of Verona Pharma plc on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Tekla Capital Management LLC</w:t>
      </w:r>
    </w:p>
    <w:p>
      <w:pPr>
        <w:spacing w:after="0" w:line="238" w:lineRule="exact"/>
        <w:rPr>
          <w:sz w:val="20"/>
          <w:szCs w:val="20"/>
          <w:color w:val="auto"/>
        </w:rPr>
      </w:pPr>
    </w:p>
    <w:p>
      <w:pPr>
        <w:spacing w:after="0"/>
        <w:tabs>
          <w:tab w:leader="none" w:pos="3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Laura Woodward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Laura Woodward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-137160</wp:posOffset>
            </wp:positionV>
            <wp:extent cx="33324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324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Daniel R. Omstead</w:t>
      </w:r>
    </w:p>
    <w:p>
      <w:pPr>
        <w:spacing w:after="0" w:line="238" w:lineRule="exact"/>
        <w:rPr>
          <w:sz w:val="20"/>
          <w:szCs w:val="20"/>
          <w:color w:val="auto"/>
        </w:rPr>
      </w:pPr>
    </w:p>
    <w:p>
      <w:pPr>
        <w:spacing w:after="0"/>
        <w:tabs>
          <w:tab w:leader="none" w:pos="3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Daniel R. Omstead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Daniel R. Omstead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-137160</wp:posOffset>
            </wp:positionV>
            <wp:extent cx="33324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32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646670" cy="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
    </w:lvl>
    <w:lvl w:ilvl="1">
      <w:lvlJc w:val="left"/>
      <w:lvlText w:val="(%2)"/>
      <w:numFmt w:val="lowerLetter"/>
      <w:start w:val="1"/>
    </w:lvl>
  </w:abstractNum>
  <w:abstractNum w:abstractNumId="4">
    <w:nsid w:val="515F007C"/>
    <w:multiLevelType w:val="hybridMultilevel"/>
    <w:lvl w:ilvl="0">
      <w:lvlJc w:val="left"/>
      <w:lvlText w:val="%1."/>
      <w:numFmt w:val="decimal"/>
      <w:start w:val="9"/>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2019-12-15T18:37:02Z</dcterms:created>
  <dcterms:modified xsi:type="dcterms:W3CDTF">2019-12-15T18:37:02Z</dcterms:modified>
</cp:coreProperties>
</file>