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71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ZACCARDELLI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 MORE LONDON RIVERSIDE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VRNA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800,000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16,565,504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16,250,704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Ordinary Shares upon vesting of Performance Restricted Share Units in connection with the Issuer's first commercial sale of ensifentrine.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Ordinary Shares withheld to satisfy the tax withholding obligation in connection with the vesting of the Performance Restricted Share Units described in footnote 2 above.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closing price of the Issuer's ADSs on the Nasdaq Stock Market LLC on August 6, 2024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2,825,000 Ordinary Shares underlying Restricted Share Units, each of which represents a contingent right to receive one (1) Ordinary Share of the Issuer (which are represented by 353,125 ADSs); and (ii) 13,425,704 Ordinary Shares underlying 1,678,213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Fisher,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David Zaccardelli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764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2024-08-09T18:17:06Z</dcterms:created>
  <dcterms:modified xsi:type="dcterms:W3CDTF">2024-08-09T18:17:06Z</dcterms:modified>
</cp:coreProperties>
</file>