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520700</wp:posOffset>
            </wp:positionV>
            <wp:extent cx="715264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14605"/>
                    </a:xfrm>
                    <a:prstGeom prst="rect">
                      <a:avLst/>
                    </a:prstGeom>
                    <a:noFill/>
                  </pic:spPr>
                </pic:pic>
              </a:graphicData>
            </a:graphic>
          </wp:anchor>
        </w:drawing>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SECURITIES AND EXCHANGE COMMISSION</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Washington, D.C. 20549</w:t>
      </w:r>
    </w:p>
    <w:p>
      <w:pPr>
        <w:spacing w:after="0" w:line="201"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0" w:lineRule="exact"/>
        <w:rPr>
          <w:sz w:val="24"/>
          <w:szCs w:val="24"/>
          <w:color w:val="auto"/>
        </w:rPr>
      </w:pPr>
    </w:p>
    <w:p>
      <w:pPr>
        <w:ind w:left="5260"/>
        <w:spacing w:after="0"/>
        <w:rPr>
          <w:sz w:val="20"/>
          <w:szCs w:val="20"/>
          <w:color w:val="auto"/>
        </w:rPr>
      </w:pPr>
      <w:r>
        <w:rPr>
          <w:rFonts w:ascii="Arial" w:cs="Arial" w:eastAsia="Arial" w:hAnsi="Arial"/>
          <w:sz w:val="15"/>
          <w:szCs w:val="15"/>
          <w:b w:val="1"/>
          <w:bCs w:val="1"/>
          <w:color w:val="auto"/>
        </w:rPr>
        <w:t>FORM 6-K</w:t>
      </w:r>
    </w:p>
    <w:p>
      <w:pPr>
        <w:spacing w:after="0" w:line="219"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REPORT OF FOREIGN PRIVATE ISSUER</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PURSUANT TO RULE 13a-16 OR 15d-16</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78" w:lineRule="exact"/>
        <w:rPr>
          <w:sz w:val="24"/>
          <w:szCs w:val="24"/>
          <w:color w:val="auto"/>
        </w:rPr>
      </w:pPr>
    </w:p>
    <w:p>
      <w:pPr>
        <w:ind w:left="4580"/>
        <w:spacing w:after="0"/>
        <w:rPr>
          <w:sz w:val="20"/>
          <w:szCs w:val="20"/>
          <w:color w:val="auto"/>
        </w:rPr>
      </w:pPr>
      <w:r>
        <w:rPr>
          <w:rFonts w:ascii="Arial" w:cs="Arial" w:eastAsia="Arial" w:hAnsi="Arial"/>
          <w:sz w:val="15"/>
          <w:szCs w:val="15"/>
          <w:b w:val="1"/>
          <w:bCs w:val="1"/>
          <w:color w:val="auto"/>
        </w:rPr>
        <w:t>For the month of March 2020</w:t>
      </w:r>
    </w:p>
    <w:p>
      <w:pPr>
        <w:spacing w:after="0" w:line="219"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0"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Commission File Number: 001-38067</w:t>
      </w:r>
    </w:p>
    <w:p>
      <w:pPr>
        <w:spacing w:after="0" w:line="219"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Verona Pharma plc</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24" w:lineRule="exact"/>
        <w:rPr>
          <w:sz w:val="24"/>
          <w:szCs w:val="24"/>
          <w:color w:val="auto"/>
        </w:rPr>
      </w:pPr>
    </w:p>
    <w:p>
      <w:pPr>
        <w:ind w:left="326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00" w:lineRule="exact"/>
        <w:rPr>
          <w:sz w:val="24"/>
          <w:szCs w:val="24"/>
          <w:color w:val="auto"/>
        </w:rPr>
      </w:pP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3 More London Riverside</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London SE1 2RE UK</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+44 203 283 4200</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224" w:lineRule="exact"/>
        <w:rPr>
          <w:sz w:val="24"/>
          <w:szCs w:val="24"/>
          <w:color w:val="auto"/>
        </w:rPr>
      </w:pPr>
    </w:p>
    <w:p>
      <w:pPr>
        <w:ind w:left="328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2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60" w:lineRule="exact"/>
        <w:rPr>
          <w:sz w:val="24"/>
          <w:szCs w:val="24"/>
          <w:color w:val="auto"/>
        </w:rPr>
      </w:pPr>
    </w:p>
    <w:p>
      <w:pPr>
        <w:ind w:left="4700"/>
        <w:spacing w:after="0" w:line="173" w:lineRule="exact"/>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1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19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5264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sectPr>
          <w:pgSz w:w="11900" w:h="16838" w:orient="portrait"/>
          <w:cols w:equalWidth="0" w:num="1">
            <w:col w:w="10139"/>
          </w:cols>
          <w:pgMar w:left="320" w:top="102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INFORMATION CONTAINED IN THIS REPORT ON FORM 6-K</w:t>
      </w:r>
    </w:p>
    <w:p>
      <w:pPr>
        <w:spacing w:after="0" w:line="399" w:lineRule="exact"/>
        <w:rPr>
          <w:sz w:val="20"/>
          <w:szCs w:val="20"/>
          <w:color w:val="auto"/>
        </w:rPr>
      </w:pPr>
    </w:p>
    <w:p>
      <w:pPr>
        <w:jc w:val="both"/>
        <w:ind w:right="500"/>
        <w:spacing w:after="0" w:line="265" w:lineRule="auto"/>
        <w:rPr>
          <w:sz w:val="20"/>
          <w:szCs w:val="20"/>
          <w:color w:val="auto"/>
        </w:rPr>
      </w:pPr>
      <w:r>
        <w:rPr>
          <w:rFonts w:ascii="Arial" w:cs="Arial" w:eastAsia="Arial" w:hAnsi="Arial"/>
          <w:sz w:val="15"/>
          <w:szCs w:val="15"/>
          <w:color w:val="auto"/>
        </w:rPr>
        <w:t>On March 5, 2020, Verona Pharma plc (the "Company") issued a press release reporting the grant of Restricted Stock Units in the form of Restricted American Depositary Share Units to Dr. David Zaccardelli, the Company’s Chief Executive Officer, and Mark W. Hahn, the Company’s Chief Financial Officer (the Person Discharging Managerial Responsibilities ("PDMR") announcement, the ("PDMR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On February 27, 2020, the Company issued its financial results for the year ended December 31, 2019 (the “Financial Results”).</w:t>
      </w:r>
    </w:p>
    <w:p>
      <w:pPr>
        <w:spacing w:after="0" w:line="196"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The PDMR Announcement is furnished herewith as Exhibit 1.1 to this Report on Form 6-K. The Financial Results are furnished herewith as Exhibit 1.2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5"/>
                <w:szCs w:val="15"/>
                <w:color w:val="auto"/>
              </w:rPr>
              <w:t>Exhibit</w:t>
            </w: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5"/>
                <w:szCs w:val="15"/>
                <w:color w:val="auto"/>
              </w:rPr>
              <w:t>No.</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900" w:type="dxa"/>
            <w:vAlign w:val="bottom"/>
            <w:gridSpan w:val="2"/>
          </w:tcPr>
          <w:p>
            <w:pPr>
              <w:ind w:left="2780"/>
              <w:spacing w:after="0"/>
              <w:rPr>
                <w:sz w:val="20"/>
                <w:szCs w:val="20"/>
                <w:color w:val="auto"/>
              </w:rPr>
            </w:pPr>
            <w:r>
              <w:rPr>
                <w:rFonts w:ascii="Arial" w:cs="Arial" w:eastAsia="Arial" w:hAnsi="Arial"/>
                <w:sz w:val="15"/>
                <w:szCs w:val="15"/>
                <w:color w:val="auto"/>
              </w:rPr>
              <w:t>Description</w:t>
            </w:r>
          </w:p>
        </w:tc>
      </w:tr>
      <w:tr>
        <w:trPr>
          <w:trHeight w:val="320"/>
        </w:trPr>
        <w:tc>
          <w:tcPr>
            <w:tcW w:w="220" w:type="dxa"/>
            <w:vAlign w:val="bottom"/>
            <w:tcBorders>
              <w:top w:val="single" w:sz="8" w:color="auto"/>
            </w:tcBorders>
            <w:gridSpan w:val="2"/>
          </w:tcPr>
          <w:p>
            <w:pPr>
              <w:jc w:val="right"/>
              <w:spacing w:after="0"/>
              <w:rPr>
                <w:rFonts w:ascii="Arial" w:cs="Arial" w:eastAsia="Arial" w:hAnsi="Arial"/>
                <w:sz w:val="15"/>
                <w:szCs w:val="15"/>
                <w:color w:val="0000FF"/>
                <w:w w:val="95"/>
              </w:rPr>
            </w:pPr>
            <w:hyperlink w:anchor="page3">
              <w:r>
                <w:rPr>
                  <w:rFonts w:ascii="Arial" w:cs="Arial" w:eastAsia="Arial" w:hAnsi="Arial"/>
                  <w:sz w:val="15"/>
                  <w:szCs w:val="15"/>
                  <w:color w:val="0000FF"/>
                  <w:w w:val="95"/>
                </w:rPr>
                <w:t>1.</w:t>
              </w:r>
              <w:r>
                <w:rPr>
                  <w:rFonts w:ascii="Arial" w:cs="Arial" w:eastAsia="Arial" w:hAnsi="Arial"/>
                  <w:sz w:val="15"/>
                  <w:szCs w:val="15"/>
                  <w:u w:val="single" w:color="auto"/>
                  <w:color w:val="0000FF"/>
                  <w:w w:val="95"/>
                </w:rPr>
                <w:t>1</w:t>
              </w:r>
            </w:hyperlink>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60" w:type="dxa"/>
            <w:vAlign w:val="bottom"/>
            <w:tcBorders>
              <w:top w:val="single" w:sz="8" w:color="auto"/>
            </w:tcBorders>
            <w:gridSpan w:val="4"/>
          </w:tcPr>
          <w:p>
            <w:pPr>
              <w:ind w:left="20"/>
              <w:spacing w:after="0"/>
              <w:rPr>
                <w:rFonts w:ascii="Arial" w:cs="Arial" w:eastAsia="Arial" w:hAnsi="Arial"/>
                <w:sz w:val="15"/>
                <w:szCs w:val="15"/>
                <w:color w:val="0000FF"/>
              </w:rPr>
            </w:pPr>
            <w:hyperlink w:anchor="page3">
              <w:r>
                <w:rPr>
                  <w:rFonts w:ascii="Arial" w:cs="Arial" w:eastAsia="Arial" w:hAnsi="Arial"/>
                  <w:sz w:val="15"/>
                  <w:szCs w:val="15"/>
                  <w:color w:val="0000FF"/>
                </w:rPr>
                <w:t>PDMR Announcement</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11"/>
        </w:trPr>
        <w:tc>
          <w:tcPr>
            <w:tcW w:w="220" w:type="dxa"/>
            <w:vAlign w:val="bottom"/>
            <w:gridSpan w:val="2"/>
          </w:tcPr>
          <w:p>
            <w:pPr>
              <w:jc w:val="right"/>
              <w:spacing w:after="0"/>
              <w:rPr>
                <w:rFonts w:ascii="Arial" w:cs="Arial" w:eastAsia="Arial" w:hAnsi="Arial"/>
                <w:sz w:val="15"/>
                <w:szCs w:val="15"/>
                <w:color w:val="0000FF"/>
                <w:w w:val="95"/>
              </w:rPr>
            </w:pPr>
            <w:hyperlink w:anchor="page8">
              <w:r>
                <w:rPr>
                  <w:rFonts w:ascii="Arial" w:cs="Arial" w:eastAsia="Arial" w:hAnsi="Arial"/>
                  <w:sz w:val="15"/>
                  <w:szCs w:val="15"/>
                  <w:color w:val="0000FF"/>
                  <w:w w:val="95"/>
                </w:rPr>
                <w:t>1.</w:t>
              </w:r>
              <w:r>
                <w:rPr>
                  <w:rFonts w:ascii="Arial" w:cs="Arial" w:eastAsia="Arial" w:hAnsi="Arial"/>
                  <w:sz w:val="15"/>
                  <w:szCs w:val="15"/>
                  <w:u w:val="single" w:color="auto"/>
                  <w:color w:val="0000FF"/>
                  <w:w w:val="95"/>
                </w:rPr>
                <w:t>2</w:t>
              </w:r>
            </w:hyperlink>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4"/>
          </w:tcPr>
          <w:p>
            <w:pPr>
              <w:ind w:left="20"/>
              <w:spacing w:after="0"/>
              <w:rPr>
                <w:rFonts w:ascii="Arial" w:cs="Arial" w:eastAsia="Arial" w:hAnsi="Arial"/>
                <w:sz w:val="15"/>
                <w:szCs w:val="15"/>
                <w:color w:val="0000FF"/>
              </w:rPr>
            </w:pPr>
            <w:hyperlink w:anchor="page8">
              <w:r>
                <w:rPr>
                  <w:rFonts w:ascii="Arial" w:cs="Arial" w:eastAsia="Arial" w:hAnsi="Arial"/>
                  <w:sz w:val="15"/>
                  <w:szCs w:val="15"/>
                  <w:color w:val="0000FF"/>
                </w:rPr>
                <w:t>Verona Pharma plc Financial Results for the full year ended December 31, 2019</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4" w:lineRule="exact"/>
        <w:rPr>
          <w:sz w:val="20"/>
          <w:szCs w:val="20"/>
          <w:color w:val="auto"/>
        </w:rPr>
      </w:pPr>
    </w:p>
    <w:p>
      <w:pPr>
        <w:ind w:right="600"/>
        <w:spacing w:after="0" w:line="27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VERONA PHARMA PLC</w:t>
      </w:r>
    </w:p>
    <w:p>
      <w:pPr>
        <w:spacing w:after="0" w:line="307"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2480" w:type="dxa"/>
            <w:vAlign w:val="bottom"/>
          </w:tcPr>
          <w:p>
            <w:pPr>
              <w:spacing w:after="0"/>
              <w:rPr>
                <w:sz w:val="20"/>
                <w:szCs w:val="20"/>
                <w:color w:val="auto"/>
              </w:rPr>
            </w:pPr>
            <w:r>
              <w:rPr>
                <w:rFonts w:ascii="Arial" w:cs="Arial" w:eastAsia="Arial" w:hAnsi="Arial"/>
                <w:sz w:val="15"/>
                <w:szCs w:val="15"/>
                <w:color w:val="auto"/>
              </w:rPr>
              <w:t>Date: March 10, 2020</w:t>
            </w:r>
          </w:p>
        </w:tc>
        <w:tc>
          <w:tcPr>
            <w:tcW w:w="1600" w:type="dxa"/>
            <w:vAlign w:val="bottom"/>
          </w:tcPr>
          <w:p>
            <w:pPr>
              <w:ind w:left="1000"/>
              <w:spacing w:after="0"/>
              <w:rPr>
                <w:sz w:val="20"/>
                <w:szCs w:val="20"/>
                <w:color w:val="auto"/>
              </w:rPr>
            </w:pPr>
            <w:r>
              <w:rPr>
                <w:rFonts w:ascii="Arial" w:cs="Arial" w:eastAsia="Arial" w:hAnsi="Arial"/>
                <w:sz w:val="15"/>
                <w:szCs w:val="15"/>
                <w:color w:val="auto"/>
              </w:rPr>
              <w:t>By:</w:t>
            </w: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Claire Poll</w:t>
            </w:r>
          </w:p>
        </w:tc>
        <w:tc>
          <w:tcPr>
            <w:tcW w:w="3860" w:type="dxa"/>
            <w:vAlign w:val="bottom"/>
            <w:tcBorders>
              <w:bottom w:val="single" w:sz="8" w:color="auto"/>
            </w:tcBorders>
          </w:tcPr>
          <w:p>
            <w:pPr>
              <w:spacing w:after="0"/>
              <w:rPr>
                <w:sz w:val="16"/>
                <w:szCs w:val="16"/>
                <w:color w:val="auto"/>
              </w:rPr>
            </w:pPr>
          </w:p>
        </w:tc>
      </w:tr>
      <w:tr>
        <w:trPr>
          <w:trHeight w:val="205"/>
        </w:trPr>
        <w:tc>
          <w:tcPr>
            <w:tcW w:w="2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ind w:left="40"/>
              <w:spacing w:after="0"/>
              <w:rPr>
                <w:sz w:val="20"/>
                <w:szCs w:val="20"/>
                <w:color w:val="auto"/>
              </w:rPr>
            </w:pPr>
            <w:r>
              <w:rPr>
                <w:rFonts w:ascii="Arial" w:cs="Arial" w:eastAsia="Arial" w:hAnsi="Arial"/>
                <w:sz w:val="15"/>
                <w:szCs w:val="15"/>
                <w:color w:val="auto"/>
              </w:rPr>
              <w:t>Name:</w:t>
            </w:r>
          </w:p>
        </w:tc>
        <w:tc>
          <w:tcPr>
            <w:tcW w:w="3860" w:type="dxa"/>
            <w:vAlign w:val="bottom"/>
          </w:tcPr>
          <w:p>
            <w:pPr>
              <w:ind w:left="220"/>
              <w:spacing w:after="0"/>
              <w:rPr>
                <w:sz w:val="20"/>
                <w:szCs w:val="20"/>
                <w:color w:val="auto"/>
              </w:rPr>
            </w:pPr>
            <w:r>
              <w:rPr>
                <w:rFonts w:ascii="Arial" w:cs="Arial" w:eastAsia="Arial" w:hAnsi="Arial"/>
                <w:sz w:val="15"/>
                <w:szCs w:val="15"/>
                <w:color w:val="auto"/>
              </w:rPr>
              <w:t>Claire Poll</w:t>
            </w:r>
          </w:p>
        </w:tc>
      </w:tr>
      <w:tr>
        <w:trPr>
          <w:trHeight w:val="231"/>
        </w:trPr>
        <w:tc>
          <w:tcPr>
            <w:tcW w:w="2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80" w:type="dxa"/>
            <w:vAlign w:val="bottom"/>
          </w:tcPr>
          <w:p>
            <w:pPr>
              <w:ind w:left="40"/>
              <w:spacing w:after="0"/>
              <w:rPr>
                <w:sz w:val="20"/>
                <w:szCs w:val="20"/>
                <w:color w:val="auto"/>
              </w:rPr>
            </w:pPr>
            <w:r>
              <w:rPr>
                <w:rFonts w:ascii="Arial" w:cs="Arial" w:eastAsia="Arial" w:hAnsi="Arial"/>
                <w:sz w:val="15"/>
                <w:szCs w:val="15"/>
                <w:color w:val="auto"/>
              </w:rPr>
              <w:t>Title:</w:t>
            </w:r>
          </w:p>
        </w:tc>
        <w:tc>
          <w:tcPr>
            <w:tcW w:w="3860" w:type="dxa"/>
            <w:vAlign w:val="bottom"/>
          </w:tcPr>
          <w:p>
            <w:pPr>
              <w:ind w:left="220"/>
              <w:spacing w:after="0"/>
              <w:rPr>
                <w:sz w:val="20"/>
                <w:szCs w:val="20"/>
                <w:color w:val="auto"/>
              </w:rPr>
            </w:pPr>
            <w:r>
              <w:rPr>
                <w:rFonts w:ascii="Arial" w:cs="Arial" w:eastAsia="Arial" w:hAnsi="Arial"/>
                <w:sz w:val="15"/>
                <w:szCs w:val="15"/>
                <w:color w:val="auto"/>
              </w:rPr>
              <w:t>Legal Counsel</w:t>
            </w:r>
          </w:p>
        </w:tc>
      </w:tr>
    </w:tbl>
    <w:p>
      <w:pPr>
        <w:sectPr>
          <w:pgSz w:w="11900" w:h="16838" w:orient="portrait"/>
          <w:cols w:equalWidth="0" w:num="1">
            <w:col w:w="11260"/>
          </w:cols>
          <w:pgMar w:left="320" w:top="490"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1020445</wp:posOffset>
            </wp:positionV>
            <wp:extent cx="717804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40005"/>
                    </a:xfrm>
                    <a:prstGeom prst="rect">
                      <a:avLst/>
                    </a:prstGeom>
                    <a:noFill/>
                  </pic:spPr>
                </pic:pic>
              </a:graphicData>
            </a:graphic>
          </wp:anchor>
        </w:drawing>
        <w:drawing>
          <wp:anchor simplePos="0" relativeHeight="251657728" behindDoc="1" locked="0" layoutInCell="0" allowOverlap="1">
            <wp:simplePos x="0" y="0"/>
            <wp:positionH relativeFrom="page">
              <wp:posOffset>3361055</wp:posOffset>
            </wp:positionH>
            <wp:positionV relativeFrom="page">
              <wp:posOffset>88900</wp:posOffset>
            </wp:positionV>
            <wp:extent cx="1793875" cy="680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93875" cy="68072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Grant of Restricted Stock Units and PDMR Dealings</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March 5, 2020, LONDON - Verona Pharma plc (AIM:VRP) (Nasdaq:VRNA) (“Verona Pharma” or the “Company”), a clinical-stage biopharmaceutical company focused on developing and commercializing innovative therapies for respiratory diseases, announces that, on March 3, 2020, it granted Restricted Stock Units in the form of an aggregate of 133,648 Restricted American Depositary Share Units (“RADSUs”) to Dr David Zaccardelli and Mr Mark Hahn under and in accordance with the terms of Verona Pharma’s 2017 Incentive Award Plan (the “Incentive Plan”). Details of the Incentive Plan are contained in the Company’s 2019 Annual Report and 20-F SEC filing, both of which are available on the “Investors” section of the Company’s website (</w:t>
      </w:r>
      <w:r>
        <w:rPr>
          <w:rFonts w:ascii="Arial" w:cs="Arial" w:eastAsia="Arial" w:hAnsi="Arial"/>
          <w:sz w:val="15"/>
          <w:szCs w:val="15"/>
          <w:u w:val="single" w:color="auto"/>
          <w:color w:val="0000FF"/>
        </w:rPr>
        <w:t>https://www.veronapharma.com/investors/news-sec-filings)</w:t>
      </w:r>
      <w:r>
        <w:rPr>
          <w:rFonts w:ascii="Arial" w:cs="Arial" w:eastAsia="Arial" w:hAnsi="Arial"/>
          <w:sz w:val="15"/>
          <w:szCs w:val="15"/>
          <w:color w:val="auto"/>
        </w:rPr>
        <w:t>. Each RADSU represents an unfunded, unsecured right to receive, on the applicable vesting date, one American Depositary Share (“ADS”), or, at the option of the Company, an equivalent amount in cash.</w:t>
      </w:r>
    </w:p>
    <w:p>
      <w:pPr>
        <w:spacing w:after="0" w:line="13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RADSUs have been granted to Dr Zaccardelli and Mr Hahn pursuant to their employment agreements as payment in lieu of a portion of their 2020 annual base salaries, as detailed in the Company’s 2019 20-F SEC filing. Dr Zaccardelli was granted 89,099 RADSUs and Mr Hahn was granted 44,549 RADSUs.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number of RADSUs granted has been calculated on the basis of the closing price of £0.55 of the Company’s ordinary shares (“Ordinary Shares”) quoted on AIM on March 2, 2020 (equivalent to £ 4.40 per RADSU on the basis that each converts into an ADS representing 8 Ordinary Shares), and based on the prevailing USD:GBP exchange rate of 1.2754 on March 3, 2020.</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grants will vest in four equal installments at the end of each quarter during 2020, subject to continued employment by the recipient. When fully vested, Dr Zaccardelli will have an interest in the Company of 89,099 ADSs, representing 712,792 Ordinary Shares, or 0.68% of the Company’s current issued share capital, and Mr Hahn will have an interest in the Company of 44,549 ADSs, representing 356,392 Ordinary Shares, or 0.34% of the Company’s current issued share capital.</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PDMR Dealings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notification of dealing form in respect of the RADSU awards for each PDMR can be found below.</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For further information, please contact:</w:t>
      </w:r>
    </w:p>
    <w:p>
      <w:pPr>
        <w:sectPr>
          <w:pgSz w:w="11900" w:h="16838" w:orient="portrait"/>
          <w:cols w:equalWidth="0" w:num="1">
            <w:col w:w="11260"/>
          </w:cols>
          <w:pgMar w:left="320" w:top="1440" w:right="319" w:bottom="1440" w:gutter="0" w:footer="0" w:header="0"/>
        </w:sect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Verona Pharma plc</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Tel: +44 (0)20 3283 4200</w:t>
      </w:r>
    </w:p>
    <w:p>
      <w:pPr>
        <w:spacing w:after="0" w:line="44" w:lineRule="exact"/>
        <w:rPr>
          <w:sz w:val="20"/>
          <w:szCs w:val="20"/>
          <w:color w:val="auto"/>
        </w:rPr>
      </w:pPr>
    </w:p>
    <w:p>
      <w:pPr>
        <w:sectPr>
          <w:pgSz w:w="11900" w:h="16838" w:orient="portrait"/>
          <w:cols w:equalWidth="0" w:num="2">
            <w:col w:w="6440" w:space="720"/>
            <w:col w:w="4100"/>
          </w:cols>
          <w:pgMar w:left="320" w:top="1440" w:right="31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David Moskowitz, VP Capital Markets Strategy &amp; Investor Relations (Investor Enquiries)</w:t>
      </w:r>
    </w:p>
    <w:p>
      <w:pPr>
        <w:sectPr>
          <w:pgSz w:w="11900" w:h="16838" w:orient="portrait"/>
          <w:cols w:equalWidth="0" w:num="1">
            <w:col w:w="11260"/>
          </w:cols>
          <w:pgMar w:left="320" w:top="1440" w:right="319" w:bottom="1440" w:gutter="0" w:footer="0" w:header="0"/>
          <w:type w:val="continuous"/>
        </w:sectPr>
      </w:pPr>
    </w:p>
    <w:p>
      <w:pPr>
        <w:spacing w:after="0" w:line="17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Victoria Stewart, Director of Communications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info@veronapharma.com</w:t>
      </w:r>
    </w:p>
    <w:p>
      <w:pPr>
        <w:spacing w:after="0" w:line="200" w:lineRule="exact"/>
        <w:rPr>
          <w:sz w:val="20"/>
          <w:szCs w:val="20"/>
          <w:color w:val="auto"/>
        </w:rPr>
      </w:pPr>
    </w:p>
    <w:p>
      <w:pPr>
        <w:sectPr>
          <w:pgSz w:w="11900" w:h="16838" w:orient="portrait"/>
          <w:cols w:equalWidth="0" w:num="2">
            <w:col w:w="6440" w:space="720"/>
            <w:col w:w="4100"/>
          </w:cols>
          <w:pgMar w:left="320" w:top="1440" w:right="319" w:bottom="1440" w:gutter="0" w:footer="0" w:header="0"/>
          <w:type w:val="continuous"/>
        </w:sectPr>
      </w:pPr>
    </w:p>
    <w:p>
      <w:pPr>
        <w:spacing w:after="0" w:line="13"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N+1 Singer</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(Nominated Adviser and UK Broker)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Aubrey Powell / George Tzimas/ Igra Amin (Corporate Finance)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2380"/>
        <w:spacing w:after="0"/>
        <w:rPr>
          <w:sz w:val="20"/>
          <w:szCs w:val="20"/>
          <w:color w:val="auto"/>
        </w:rPr>
      </w:pPr>
      <w:r>
        <w:rPr>
          <w:rFonts w:ascii="Arial" w:cs="Arial" w:eastAsia="Arial" w:hAnsi="Arial"/>
          <w:sz w:val="15"/>
          <w:szCs w:val="15"/>
          <w:color w:val="auto"/>
        </w:rPr>
        <w:t>Tel: +44 (0)20 3283 4200</w:t>
      </w:r>
    </w:p>
    <w:p>
      <w:pPr>
        <w:sectPr>
          <w:pgSz w:w="11900" w:h="16838" w:orient="portrait"/>
          <w:cols w:equalWidth="0" w:num="2">
            <w:col w:w="6440" w:space="720"/>
            <w:col w:w="4100"/>
          </w:cols>
          <w:pgMar w:left="320" w:top="1440" w:right="31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1</w:t>
            </w:r>
          </w:p>
        </w:tc>
        <w:tc>
          <w:tcPr>
            <w:tcW w:w="1080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Dr David Zaccardelli</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2</w:t>
            </w:r>
          </w:p>
        </w:tc>
        <w:tc>
          <w:tcPr>
            <w:tcW w:w="5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Reason for the notification</w:t>
            </w:r>
          </w:p>
        </w:tc>
        <w:tc>
          <w:tcPr>
            <w:tcW w:w="4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Position/status</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Initial notification/Amendment</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Initial notification</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3</w:t>
            </w:r>
          </w:p>
        </w:tc>
        <w:tc>
          <w:tcPr>
            <w:tcW w:w="10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Verona Pharma plc</w:t>
            </w:r>
          </w:p>
        </w:tc>
        <w:tc>
          <w:tcPr>
            <w:tcW w:w="0" w:type="dxa"/>
            <w:vAlign w:val="bottom"/>
          </w:tcPr>
          <w:p>
            <w:pPr>
              <w:spacing w:after="0"/>
              <w:rPr>
                <w:sz w:val="1"/>
                <w:szCs w:val="1"/>
                <w:color w:val="auto"/>
              </w:rPr>
            </w:pPr>
          </w:p>
        </w:tc>
      </w:tr>
      <w:tr>
        <w:trPr>
          <w:trHeight w:val="253"/>
        </w:trPr>
        <w:tc>
          <w:tcPr>
            <w:tcW w:w="4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b)</w:t>
            </w:r>
          </w:p>
        </w:tc>
        <w:tc>
          <w:tcPr>
            <w:tcW w:w="59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LEI</w:t>
            </w:r>
          </w:p>
        </w:tc>
        <w:tc>
          <w:tcPr>
            <w:tcW w:w="48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213800EVI6O6J3TIAL06</w:t>
            </w:r>
          </w:p>
        </w:tc>
        <w:tc>
          <w:tcPr>
            <w:tcW w:w="0" w:type="dxa"/>
            <w:vAlign w:val="bottom"/>
          </w:tcPr>
          <w:p>
            <w:pPr>
              <w:spacing w:after="0"/>
              <w:rPr>
                <w:sz w:val="1"/>
                <w:szCs w:val="1"/>
                <w:color w:val="auto"/>
              </w:rPr>
            </w:pPr>
          </w:p>
        </w:tc>
      </w:tr>
      <w:tr>
        <w:trPr>
          <w:trHeight w:val="73"/>
        </w:trPr>
        <w:tc>
          <w:tcPr>
            <w:tcW w:w="4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5980" w:type="dxa"/>
            <w:vAlign w:val="bottom"/>
            <w:tcBorders>
              <w:bottom w:val="single" w:sz="8" w:color="auto"/>
              <w:right w:val="single" w:sz="8" w:color="auto"/>
            </w:tcBorders>
          </w:tcPr>
          <w:p>
            <w:pPr>
              <w:spacing w:after="0"/>
              <w:rPr>
                <w:sz w:val="6"/>
                <w:szCs w:val="6"/>
                <w:color w:val="auto"/>
              </w:rPr>
            </w:pPr>
          </w:p>
        </w:tc>
        <w:tc>
          <w:tcPr>
            <w:tcW w:w="48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8" w:right="31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580" w:type="dxa"/>
            <w:vAlign w:val="bottom"/>
            <w:tcBorders>
              <w:top w:val="single" w:sz="8" w:color="auto"/>
              <w:left w:val="single" w:sz="8" w:color="auto"/>
              <w:right w:val="single" w:sz="8" w:color="auto"/>
            </w:tcBorders>
          </w:tcPr>
          <w:p>
            <w:pPr>
              <w:spacing w:after="0"/>
              <w:rPr>
                <w:sz w:val="17"/>
                <w:szCs w:val="17"/>
                <w:color w:val="auto"/>
              </w:rPr>
            </w:pPr>
          </w:p>
        </w:tc>
        <w:tc>
          <w:tcPr>
            <w:tcW w:w="1070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Details of the transaction(s): section to be repeated for (i) each type of instrument; (ii) each type of transaction; (iii) each date; and</w:t>
            </w:r>
          </w:p>
        </w:tc>
        <w:tc>
          <w:tcPr>
            <w:tcW w:w="0" w:type="dxa"/>
            <w:vAlign w:val="bottom"/>
          </w:tcPr>
          <w:p>
            <w:pPr>
              <w:spacing w:after="0"/>
              <w:rPr>
                <w:sz w:val="1"/>
                <w:szCs w:val="1"/>
                <w:color w:val="auto"/>
              </w:rPr>
            </w:pPr>
          </w:p>
        </w:tc>
      </w:tr>
      <w:tr>
        <w:trPr>
          <w:trHeight w:val="227"/>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4</w:t>
            </w:r>
          </w:p>
        </w:tc>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(iv) each place where transactions have been conducted</w:t>
            </w:r>
          </w:p>
        </w:tc>
        <w:tc>
          <w:tcPr>
            <w:tcW w:w="212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auto"/>
              <w:right w:val="single" w:sz="8" w:color="auto"/>
            </w:tcBorders>
          </w:tcPr>
          <w:p>
            <w:pPr>
              <w:spacing w:after="0"/>
              <w:rPr>
                <w:sz w:val="17"/>
                <w:szCs w:val="17"/>
                <w:color w:val="auto"/>
              </w:rPr>
            </w:pPr>
          </w:p>
        </w:tc>
        <w:tc>
          <w:tcPr>
            <w:tcW w:w="64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7"/>
                <w:szCs w:val="17"/>
                <w:color w:val="auto"/>
              </w:rPr>
              <w:t>Description of the financial instrument, type of instrument</w:t>
            </w: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American Depositary Shares (“ADSs”), each</w:t>
            </w:r>
          </w:p>
        </w:tc>
        <w:tc>
          <w:tcPr>
            <w:tcW w:w="0" w:type="dxa"/>
            <w:vAlign w:val="bottom"/>
          </w:tcPr>
          <w:p>
            <w:pPr>
              <w:spacing w:after="0"/>
              <w:rPr>
                <w:sz w:val="1"/>
                <w:szCs w:val="1"/>
                <w:color w:val="auto"/>
              </w:rPr>
            </w:pPr>
          </w:p>
        </w:tc>
      </w:tr>
      <w:tr>
        <w:trPr>
          <w:trHeight w:val="99"/>
        </w:trPr>
        <w:tc>
          <w:tcPr>
            <w:tcW w:w="580" w:type="dxa"/>
            <w:vAlign w:val="bottom"/>
            <w:tcBorders>
              <w:left w:val="single" w:sz="8" w:color="auto"/>
              <w:right w:val="single" w:sz="8" w:color="auto"/>
            </w:tcBorders>
          </w:tcPr>
          <w:p>
            <w:pPr>
              <w:spacing w:after="0"/>
              <w:rPr>
                <w:sz w:val="8"/>
                <w:szCs w:val="8"/>
                <w:color w:val="auto"/>
              </w:rPr>
            </w:pPr>
          </w:p>
        </w:tc>
        <w:tc>
          <w:tcPr>
            <w:tcW w:w="6440" w:type="dxa"/>
            <w:vAlign w:val="bottom"/>
            <w:tcBorders>
              <w:right w:val="single" w:sz="8" w:color="auto"/>
            </w:tcBorders>
            <w:gridSpan w:val="2"/>
            <w:vMerge w:val="continue"/>
          </w:tcPr>
          <w:p>
            <w:pPr>
              <w:spacing w:after="0"/>
              <w:rPr>
                <w:sz w:val="8"/>
                <w:szCs w:val="8"/>
                <w:color w:val="auto"/>
              </w:rPr>
            </w:pPr>
          </w:p>
        </w:tc>
        <w:tc>
          <w:tcPr>
            <w:tcW w:w="42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color w:val="auto"/>
              </w:rPr>
              <w:t>representing 8 Ordinary Shares.</w:t>
            </w:r>
          </w:p>
        </w:tc>
        <w:tc>
          <w:tcPr>
            <w:tcW w:w="0" w:type="dxa"/>
            <w:vAlign w:val="bottom"/>
          </w:tcPr>
          <w:p>
            <w:pPr>
              <w:spacing w:after="0"/>
              <w:rPr>
                <w:sz w:val="1"/>
                <w:szCs w:val="1"/>
                <w:color w:val="auto"/>
              </w:rPr>
            </w:pPr>
          </w:p>
        </w:tc>
      </w:tr>
      <w:tr>
        <w:trPr>
          <w:trHeight w:val="104"/>
        </w:trPr>
        <w:tc>
          <w:tcPr>
            <w:tcW w:w="580" w:type="dxa"/>
            <w:vAlign w:val="bottom"/>
            <w:tcBorders>
              <w:left w:val="single" w:sz="8" w:color="auto"/>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160" w:type="dxa"/>
            <w:vAlign w:val="bottom"/>
            <w:tcBorders>
              <w:right w:val="single" w:sz="8" w:color="auto"/>
            </w:tcBorders>
          </w:tcPr>
          <w:p>
            <w:pPr>
              <w:spacing w:after="0"/>
              <w:rPr>
                <w:sz w:val="9"/>
                <w:szCs w:val="9"/>
                <w:color w:val="auto"/>
              </w:rPr>
            </w:pPr>
          </w:p>
        </w:tc>
        <w:tc>
          <w:tcPr>
            <w:tcW w:w="42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7"/>
        </w:trPr>
        <w:tc>
          <w:tcPr>
            <w:tcW w:w="5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a)</w:t>
            </w: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Identification code</w:t>
            </w:r>
          </w:p>
        </w:tc>
        <w:tc>
          <w:tcPr>
            <w:tcW w:w="2120" w:type="dxa"/>
            <w:vAlign w:val="bottom"/>
            <w:vMerge w:val="restart"/>
          </w:tcPr>
          <w:p>
            <w:pPr>
              <w:spacing w:after="0"/>
              <w:rPr>
                <w:sz w:val="20"/>
                <w:szCs w:val="20"/>
                <w:color w:val="auto"/>
              </w:rPr>
            </w:pPr>
            <w:r>
              <w:rPr>
                <w:rFonts w:ascii="Arial" w:cs="Arial" w:eastAsia="Arial" w:hAnsi="Arial"/>
                <w:sz w:val="17"/>
                <w:szCs w:val="17"/>
                <w:color w:val="auto"/>
              </w:rPr>
              <w:t>ISIN Code: US9250501064</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b)</w:t>
            </w: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Nature of the transaction</w:t>
            </w:r>
          </w:p>
        </w:tc>
        <w:tc>
          <w:tcPr>
            <w:tcW w:w="2120" w:type="dxa"/>
            <w:vAlign w:val="bottom"/>
          </w:tcPr>
          <w:p>
            <w:pPr>
              <w:spacing w:after="0"/>
              <w:rPr>
                <w:sz w:val="20"/>
                <w:szCs w:val="20"/>
                <w:color w:val="auto"/>
              </w:rPr>
            </w:pPr>
            <w:r>
              <w:rPr>
                <w:rFonts w:ascii="Arial" w:cs="Arial" w:eastAsia="Arial" w:hAnsi="Arial"/>
                <w:sz w:val="17"/>
                <w:szCs w:val="17"/>
                <w:color w:val="auto"/>
              </w:rPr>
              <w:t>Grant of RADSUs</w:t>
            </w: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160" w:type="dxa"/>
            <w:vAlign w:val="bottom"/>
            <w:tcBorders>
              <w:bottom w:val="single" w:sz="8" w:color="auto"/>
              <w:right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1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Price(s)</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Volume(s)</w:t>
            </w:r>
          </w:p>
        </w:tc>
        <w:tc>
          <w:tcPr>
            <w:tcW w:w="0" w:type="dxa"/>
            <w:vAlign w:val="bottom"/>
          </w:tcPr>
          <w:p>
            <w:pPr>
              <w:spacing w:after="0"/>
              <w:rPr>
                <w:sz w:val="1"/>
                <w:szCs w:val="1"/>
                <w:color w:val="auto"/>
              </w:rPr>
            </w:pPr>
          </w:p>
        </w:tc>
      </w:tr>
      <w:tr>
        <w:trPr>
          <w:trHeight w:val="138"/>
        </w:trPr>
        <w:tc>
          <w:tcPr>
            <w:tcW w:w="580" w:type="dxa"/>
            <w:vAlign w:val="bottom"/>
            <w:tcBorders>
              <w:left w:val="single" w:sz="8" w:color="auto"/>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1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58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Price(s) and volume(s)</w:t>
            </w:r>
          </w:p>
        </w:tc>
        <w:tc>
          <w:tcPr>
            <w:tcW w:w="212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89,099 RADSUs</w:t>
            </w:r>
          </w:p>
        </w:tc>
        <w:tc>
          <w:tcPr>
            <w:tcW w:w="0" w:type="dxa"/>
            <w:vAlign w:val="bottom"/>
          </w:tcPr>
          <w:p>
            <w:pPr>
              <w:spacing w:after="0"/>
              <w:rPr>
                <w:sz w:val="1"/>
                <w:szCs w:val="1"/>
                <w:color w:val="auto"/>
              </w:rPr>
            </w:pPr>
          </w:p>
        </w:tc>
      </w:tr>
      <w:tr>
        <w:trPr>
          <w:trHeight w:val="184"/>
        </w:trPr>
        <w:tc>
          <w:tcPr>
            <w:tcW w:w="580" w:type="dxa"/>
            <w:vAlign w:val="bottom"/>
            <w:tcBorders>
              <w:left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20"/>
              <w:spacing w:after="0" w:line="185" w:lineRule="exact"/>
              <w:rPr>
                <w:sz w:val="20"/>
                <w:szCs w:val="20"/>
                <w:color w:val="auto"/>
              </w:rPr>
            </w:pPr>
            <w:r>
              <w:rPr>
                <w:rFonts w:ascii="Arial" w:cs="Arial" w:eastAsia="Arial" w:hAnsi="Arial"/>
                <w:sz w:val="17"/>
                <w:szCs w:val="17"/>
                <w:color w:val="auto"/>
              </w:rPr>
              <w:t>(representing 712,792</w:t>
            </w:r>
          </w:p>
        </w:tc>
        <w:tc>
          <w:tcPr>
            <w:tcW w:w="0" w:type="dxa"/>
            <w:vAlign w:val="bottom"/>
          </w:tcPr>
          <w:p>
            <w:pPr>
              <w:spacing w:after="0"/>
              <w:rPr>
                <w:sz w:val="1"/>
                <w:szCs w:val="1"/>
                <w:color w:val="auto"/>
              </w:rPr>
            </w:pPr>
          </w:p>
        </w:tc>
      </w:tr>
      <w:tr>
        <w:trPr>
          <w:trHeight w:val="207"/>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w:t>
            </w:r>
          </w:p>
        </w:tc>
        <w:tc>
          <w:tcPr>
            <w:tcW w:w="280" w:type="dxa"/>
            <w:vAlign w:val="bottom"/>
            <w:tcBorders>
              <w:bottom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No consideration paid</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Ordinary Shares)</w:t>
            </w:r>
          </w:p>
        </w:tc>
        <w:tc>
          <w:tcPr>
            <w:tcW w:w="0" w:type="dxa"/>
            <w:vAlign w:val="bottom"/>
          </w:tcPr>
          <w:p>
            <w:pPr>
              <w:spacing w:after="0"/>
              <w:rPr>
                <w:sz w:val="1"/>
                <w:szCs w:val="1"/>
                <w:color w:val="auto"/>
              </w:rPr>
            </w:pPr>
          </w:p>
        </w:tc>
      </w:tr>
      <w:tr>
        <w:trPr>
          <w:trHeight w:val="253"/>
        </w:trPr>
        <w:tc>
          <w:tcPr>
            <w:tcW w:w="580" w:type="dxa"/>
            <w:vAlign w:val="bottom"/>
            <w:tcBorders>
              <w:left w:val="single" w:sz="8" w:color="auto"/>
              <w:right w:val="single" w:sz="8" w:color="auto"/>
            </w:tcBorders>
          </w:tcPr>
          <w:p>
            <w:pPr>
              <w:spacing w:after="0"/>
              <w:rPr>
                <w:sz w:val="21"/>
                <w:szCs w:val="21"/>
                <w:color w:val="auto"/>
              </w:rPr>
            </w:pP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Aggregated information</w:t>
            </w:r>
          </w:p>
        </w:tc>
        <w:tc>
          <w:tcPr>
            <w:tcW w:w="2120" w:type="dxa"/>
            <w:vAlign w:val="bottom"/>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80" w:type="dxa"/>
            <w:vAlign w:val="bottom"/>
            <w:tcBorders>
              <w:left w:val="single" w:sz="8" w:color="auto"/>
              <w:right w:val="single" w:sz="8" w:color="auto"/>
            </w:tcBorders>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616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Aggregated volume</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d)</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616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Price</w:t>
            </w:r>
          </w:p>
        </w:tc>
        <w:tc>
          <w:tcPr>
            <w:tcW w:w="2120" w:type="dxa"/>
            <w:vAlign w:val="bottom"/>
            <w:vMerge w:val="restart"/>
          </w:tcPr>
          <w:p>
            <w:pPr>
              <w:spacing w:after="0"/>
              <w:rPr>
                <w:sz w:val="20"/>
                <w:szCs w:val="20"/>
                <w:color w:val="auto"/>
              </w:rPr>
            </w:pPr>
            <w:r>
              <w:rPr>
                <w:rFonts w:ascii="Arial" w:cs="Arial" w:eastAsia="Arial" w:hAnsi="Arial"/>
                <w:sz w:val="17"/>
                <w:szCs w:val="17"/>
                <w:color w:val="auto"/>
              </w:rPr>
              <w:t>N/A (single transaction)</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160" w:type="dxa"/>
            <w:vAlign w:val="bottom"/>
            <w:tcBorders>
              <w:bottom w:val="single" w:sz="8" w:color="auto"/>
              <w:right w:val="single" w:sz="8" w:color="auto"/>
            </w:tcBorders>
          </w:tcPr>
          <w:p>
            <w:pPr>
              <w:spacing w:after="0"/>
              <w:rPr>
                <w:sz w:val="6"/>
                <w:szCs w:val="6"/>
                <w:color w:val="auto"/>
              </w:rPr>
            </w:pPr>
          </w:p>
        </w:tc>
        <w:tc>
          <w:tcPr>
            <w:tcW w:w="2120" w:type="dxa"/>
            <w:vAlign w:val="bottom"/>
            <w:tcBorders>
              <w:bottom w:val="single" w:sz="8" w:color="auto"/>
            </w:tcBorders>
            <w:vMerge w:val="continue"/>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w:t>
            </w:r>
          </w:p>
        </w:tc>
        <w:tc>
          <w:tcPr>
            <w:tcW w:w="64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Date of the transaction</w:t>
            </w:r>
          </w:p>
        </w:tc>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March 3, 2020</w:t>
            </w: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w:t>
            </w:r>
          </w:p>
        </w:tc>
        <w:tc>
          <w:tcPr>
            <w:tcW w:w="64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Place of the transaction</w:t>
            </w:r>
          </w:p>
        </w:tc>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Outside a trading venue</w:t>
            </w: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19" w:right="3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1</w:t>
            </w:r>
          </w:p>
        </w:tc>
        <w:tc>
          <w:tcPr>
            <w:tcW w:w="1080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Mark Hahn</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2</w:t>
            </w:r>
          </w:p>
        </w:tc>
        <w:tc>
          <w:tcPr>
            <w:tcW w:w="5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Reason for the notification</w:t>
            </w:r>
          </w:p>
        </w:tc>
        <w:tc>
          <w:tcPr>
            <w:tcW w:w="4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Position/status</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Initial notification/Amendment</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Initial notification</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3</w:t>
            </w:r>
          </w:p>
        </w:tc>
        <w:tc>
          <w:tcPr>
            <w:tcW w:w="108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w:t>
            </w: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Verona Pharma plc</w:t>
            </w:r>
          </w:p>
        </w:tc>
        <w:tc>
          <w:tcPr>
            <w:tcW w:w="0" w:type="dxa"/>
            <w:vAlign w:val="bottom"/>
          </w:tcPr>
          <w:p>
            <w:pPr>
              <w:spacing w:after="0"/>
              <w:rPr>
                <w:sz w:val="1"/>
                <w:szCs w:val="1"/>
                <w:color w:val="auto"/>
              </w:rPr>
            </w:pPr>
          </w:p>
        </w:tc>
      </w:tr>
      <w:tr>
        <w:trPr>
          <w:trHeight w:val="253"/>
        </w:trPr>
        <w:tc>
          <w:tcPr>
            <w:tcW w:w="4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b)</w:t>
            </w:r>
          </w:p>
        </w:tc>
        <w:tc>
          <w:tcPr>
            <w:tcW w:w="59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LEI</w:t>
            </w:r>
          </w:p>
        </w:tc>
        <w:tc>
          <w:tcPr>
            <w:tcW w:w="482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213800EVI6O6J3TIAL06</w:t>
            </w:r>
          </w:p>
        </w:tc>
        <w:tc>
          <w:tcPr>
            <w:tcW w:w="0" w:type="dxa"/>
            <w:vAlign w:val="bottom"/>
          </w:tcPr>
          <w:p>
            <w:pPr>
              <w:spacing w:after="0"/>
              <w:rPr>
                <w:sz w:val="1"/>
                <w:szCs w:val="1"/>
                <w:color w:val="auto"/>
              </w:rPr>
            </w:pPr>
          </w:p>
        </w:tc>
      </w:tr>
      <w:tr>
        <w:trPr>
          <w:trHeight w:val="73"/>
        </w:trPr>
        <w:tc>
          <w:tcPr>
            <w:tcW w:w="4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5980" w:type="dxa"/>
            <w:vAlign w:val="bottom"/>
            <w:tcBorders>
              <w:bottom w:val="single" w:sz="8" w:color="auto"/>
              <w:right w:val="single" w:sz="8" w:color="auto"/>
            </w:tcBorders>
          </w:tcPr>
          <w:p>
            <w:pPr>
              <w:spacing w:after="0"/>
              <w:rPr>
                <w:sz w:val="6"/>
                <w:szCs w:val="6"/>
                <w:color w:val="auto"/>
              </w:rPr>
            </w:pPr>
          </w:p>
        </w:tc>
        <w:tc>
          <w:tcPr>
            <w:tcW w:w="48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19" w:right="3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580" w:type="dxa"/>
            <w:vAlign w:val="bottom"/>
            <w:tcBorders>
              <w:top w:val="single" w:sz="8" w:color="auto"/>
              <w:left w:val="single" w:sz="8" w:color="auto"/>
              <w:right w:val="single" w:sz="8" w:color="auto"/>
            </w:tcBorders>
          </w:tcPr>
          <w:p>
            <w:pPr>
              <w:spacing w:after="0"/>
              <w:rPr>
                <w:sz w:val="17"/>
                <w:szCs w:val="17"/>
                <w:color w:val="auto"/>
              </w:rPr>
            </w:pPr>
          </w:p>
        </w:tc>
        <w:tc>
          <w:tcPr>
            <w:tcW w:w="1070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Details of the transaction(s): section to be repeated for (i) each type of instrument; (ii) each type of transaction; (iii) each date; and</w:t>
            </w:r>
          </w:p>
        </w:tc>
        <w:tc>
          <w:tcPr>
            <w:tcW w:w="0" w:type="dxa"/>
            <w:vAlign w:val="bottom"/>
          </w:tcPr>
          <w:p>
            <w:pPr>
              <w:spacing w:after="0"/>
              <w:rPr>
                <w:sz w:val="1"/>
                <w:szCs w:val="1"/>
                <w:color w:val="auto"/>
              </w:rPr>
            </w:pPr>
          </w:p>
        </w:tc>
      </w:tr>
      <w:tr>
        <w:trPr>
          <w:trHeight w:val="227"/>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4</w:t>
            </w:r>
          </w:p>
        </w:tc>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(iv) each place where transactions have been conducted</w:t>
            </w:r>
          </w:p>
        </w:tc>
        <w:tc>
          <w:tcPr>
            <w:tcW w:w="212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auto"/>
              <w:right w:val="single" w:sz="8" w:color="auto"/>
            </w:tcBorders>
          </w:tcPr>
          <w:p>
            <w:pPr>
              <w:spacing w:after="0"/>
              <w:rPr>
                <w:sz w:val="17"/>
                <w:szCs w:val="17"/>
                <w:color w:val="auto"/>
              </w:rPr>
            </w:pPr>
          </w:p>
        </w:tc>
        <w:tc>
          <w:tcPr>
            <w:tcW w:w="64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7"/>
                <w:szCs w:val="17"/>
                <w:color w:val="auto"/>
              </w:rPr>
              <w:t>Description of the financial instrument, type of instrument</w:t>
            </w: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American Depositary Shares (“ADSs”), each</w:t>
            </w:r>
          </w:p>
        </w:tc>
        <w:tc>
          <w:tcPr>
            <w:tcW w:w="0" w:type="dxa"/>
            <w:vAlign w:val="bottom"/>
          </w:tcPr>
          <w:p>
            <w:pPr>
              <w:spacing w:after="0"/>
              <w:rPr>
                <w:sz w:val="1"/>
                <w:szCs w:val="1"/>
                <w:color w:val="auto"/>
              </w:rPr>
            </w:pPr>
          </w:p>
        </w:tc>
      </w:tr>
      <w:tr>
        <w:trPr>
          <w:trHeight w:val="99"/>
        </w:trPr>
        <w:tc>
          <w:tcPr>
            <w:tcW w:w="580" w:type="dxa"/>
            <w:vAlign w:val="bottom"/>
            <w:tcBorders>
              <w:left w:val="single" w:sz="8" w:color="auto"/>
              <w:right w:val="single" w:sz="8" w:color="auto"/>
            </w:tcBorders>
          </w:tcPr>
          <w:p>
            <w:pPr>
              <w:spacing w:after="0"/>
              <w:rPr>
                <w:sz w:val="8"/>
                <w:szCs w:val="8"/>
                <w:color w:val="auto"/>
              </w:rPr>
            </w:pPr>
          </w:p>
        </w:tc>
        <w:tc>
          <w:tcPr>
            <w:tcW w:w="6440" w:type="dxa"/>
            <w:vAlign w:val="bottom"/>
            <w:tcBorders>
              <w:right w:val="single" w:sz="8" w:color="auto"/>
            </w:tcBorders>
            <w:gridSpan w:val="2"/>
            <w:vMerge w:val="continue"/>
          </w:tcPr>
          <w:p>
            <w:pPr>
              <w:spacing w:after="0"/>
              <w:rPr>
                <w:sz w:val="8"/>
                <w:szCs w:val="8"/>
                <w:color w:val="auto"/>
              </w:rPr>
            </w:pPr>
          </w:p>
        </w:tc>
        <w:tc>
          <w:tcPr>
            <w:tcW w:w="42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color w:val="auto"/>
              </w:rPr>
              <w:t>representing 8 Ordinary Shares.</w:t>
            </w:r>
          </w:p>
        </w:tc>
        <w:tc>
          <w:tcPr>
            <w:tcW w:w="0" w:type="dxa"/>
            <w:vAlign w:val="bottom"/>
          </w:tcPr>
          <w:p>
            <w:pPr>
              <w:spacing w:after="0"/>
              <w:rPr>
                <w:sz w:val="1"/>
                <w:szCs w:val="1"/>
                <w:color w:val="auto"/>
              </w:rPr>
            </w:pPr>
          </w:p>
        </w:tc>
      </w:tr>
      <w:tr>
        <w:trPr>
          <w:trHeight w:val="104"/>
        </w:trPr>
        <w:tc>
          <w:tcPr>
            <w:tcW w:w="580" w:type="dxa"/>
            <w:vAlign w:val="bottom"/>
            <w:tcBorders>
              <w:left w:val="single" w:sz="8" w:color="auto"/>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160" w:type="dxa"/>
            <w:vAlign w:val="bottom"/>
            <w:tcBorders>
              <w:right w:val="single" w:sz="8" w:color="auto"/>
            </w:tcBorders>
          </w:tcPr>
          <w:p>
            <w:pPr>
              <w:spacing w:after="0"/>
              <w:rPr>
                <w:sz w:val="9"/>
                <w:szCs w:val="9"/>
                <w:color w:val="auto"/>
              </w:rPr>
            </w:pPr>
          </w:p>
        </w:tc>
        <w:tc>
          <w:tcPr>
            <w:tcW w:w="42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7"/>
        </w:trPr>
        <w:tc>
          <w:tcPr>
            <w:tcW w:w="5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a)</w:t>
            </w: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Identification code</w:t>
            </w:r>
          </w:p>
        </w:tc>
        <w:tc>
          <w:tcPr>
            <w:tcW w:w="2120" w:type="dxa"/>
            <w:vAlign w:val="bottom"/>
            <w:vMerge w:val="restart"/>
          </w:tcPr>
          <w:p>
            <w:pPr>
              <w:spacing w:after="0"/>
              <w:rPr>
                <w:sz w:val="20"/>
                <w:szCs w:val="20"/>
                <w:color w:val="auto"/>
              </w:rPr>
            </w:pPr>
            <w:r>
              <w:rPr>
                <w:rFonts w:ascii="Arial" w:cs="Arial" w:eastAsia="Arial" w:hAnsi="Arial"/>
                <w:sz w:val="17"/>
                <w:szCs w:val="17"/>
                <w:color w:val="auto"/>
              </w:rPr>
              <w:t>ISIN Code: US9250501064</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1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tcBorders>
              <w:right w:val="single" w:sz="8" w:color="auto"/>
            </w:tcBorders>
          </w:tcPr>
          <w:p>
            <w:pPr>
              <w:spacing w:after="0"/>
              <w:rPr>
                <w:sz w:val="17"/>
                <w:szCs w:val="17"/>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Grant of RADSUs, each of which represents an</w:t>
            </w:r>
          </w:p>
        </w:tc>
        <w:tc>
          <w:tcPr>
            <w:tcW w:w="0" w:type="dxa"/>
            <w:vAlign w:val="bottom"/>
          </w:tcPr>
          <w:p>
            <w:pPr>
              <w:spacing w:after="0"/>
              <w:rPr>
                <w:sz w:val="1"/>
                <w:szCs w:val="1"/>
                <w:color w:val="auto"/>
              </w:rPr>
            </w:pPr>
          </w:p>
        </w:tc>
      </w:tr>
      <w:tr>
        <w:trPr>
          <w:trHeight w:val="199"/>
        </w:trPr>
        <w:tc>
          <w:tcPr>
            <w:tcW w:w="580" w:type="dxa"/>
            <w:vAlign w:val="bottom"/>
            <w:tcBorders>
              <w:left w:val="single" w:sz="8" w:color="auto"/>
              <w:right w:val="single" w:sz="8" w:color="auto"/>
            </w:tcBorders>
          </w:tcPr>
          <w:p>
            <w:pPr>
              <w:spacing w:after="0"/>
              <w:rPr>
                <w:sz w:val="17"/>
                <w:szCs w:val="17"/>
                <w:color w:val="auto"/>
              </w:rPr>
            </w:pP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Nature of the transaction</w:t>
            </w: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unfunded, unsecured right to receive, on the applicable</w:t>
            </w:r>
          </w:p>
        </w:tc>
        <w:tc>
          <w:tcPr>
            <w:tcW w:w="0" w:type="dxa"/>
            <w:vAlign w:val="bottom"/>
          </w:tcPr>
          <w:p>
            <w:pPr>
              <w:spacing w:after="0"/>
              <w:rPr>
                <w:sz w:val="1"/>
                <w:szCs w:val="1"/>
                <w:color w:val="auto"/>
              </w:rPr>
            </w:pPr>
          </w:p>
        </w:tc>
      </w:tr>
      <w:tr>
        <w:trPr>
          <w:trHeight w:val="170"/>
        </w:trPr>
        <w:tc>
          <w:tcPr>
            <w:tcW w:w="580" w:type="dxa"/>
            <w:vAlign w:val="bottom"/>
            <w:tcBorders>
              <w:left w:val="single" w:sz="8" w:color="auto"/>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160" w:type="dxa"/>
            <w:vAlign w:val="bottom"/>
            <w:tcBorders>
              <w:right w:val="single" w:sz="8" w:color="auto"/>
            </w:tcBorders>
          </w:tcPr>
          <w:p>
            <w:pPr>
              <w:spacing w:after="0"/>
              <w:rPr>
                <w:sz w:val="14"/>
                <w:szCs w:val="14"/>
                <w:color w:val="auto"/>
              </w:rPr>
            </w:pPr>
          </w:p>
        </w:tc>
        <w:tc>
          <w:tcPr>
            <w:tcW w:w="426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7"/>
                <w:szCs w:val="17"/>
                <w:color w:val="auto"/>
              </w:rPr>
              <w:t>settlement date, one ADS or an amount in cash or other</w:t>
            </w:r>
          </w:p>
        </w:tc>
        <w:tc>
          <w:tcPr>
            <w:tcW w:w="0" w:type="dxa"/>
            <w:vAlign w:val="bottom"/>
          </w:tcPr>
          <w:p>
            <w:pPr>
              <w:spacing w:after="0"/>
              <w:rPr>
                <w:sz w:val="1"/>
                <w:szCs w:val="1"/>
                <w:color w:val="auto"/>
              </w:rPr>
            </w:pPr>
          </w:p>
        </w:tc>
      </w:tr>
      <w:tr>
        <w:trPr>
          <w:trHeight w:val="207"/>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w:t>
            </w:r>
          </w:p>
        </w:tc>
        <w:tc>
          <w:tcPr>
            <w:tcW w:w="280" w:type="dxa"/>
            <w:vAlign w:val="bottom"/>
            <w:tcBorders>
              <w:bottom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consideration.</w:t>
            </w:r>
          </w:p>
        </w:tc>
        <w:tc>
          <w:tcPr>
            <w:tcW w:w="2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1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Price(s)</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Volume(s)</w:t>
            </w:r>
          </w:p>
        </w:tc>
        <w:tc>
          <w:tcPr>
            <w:tcW w:w="0" w:type="dxa"/>
            <w:vAlign w:val="bottom"/>
          </w:tcPr>
          <w:p>
            <w:pPr>
              <w:spacing w:after="0"/>
              <w:rPr>
                <w:sz w:val="1"/>
                <w:szCs w:val="1"/>
                <w:color w:val="auto"/>
              </w:rPr>
            </w:pPr>
          </w:p>
        </w:tc>
      </w:tr>
      <w:tr>
        <w:trPr>
          <w:trHeight w:val="138"/>
        </w:trPr>
        <w:tc>
          <w:tcPr>
            <w:tcW w:w="580" w:type="dxa"/>
            <w:vAlign w:val="bottom"/>
            <w:tcBorders>
              <w:left w:val="single" w:sz="8" w:color="auto"/>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1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580" w:type="dxa"/>
            <w:vAlign w:val="bottom"/>
            <w:tcBorders>
              <w:left w:val="single" w:sz="8" w:color="auto"/>
              <w:right w:val="single" w:sz="8" w:color="auto"/>
            </w:tcBorders>
          </w:tcPr>
          <w:p>
            <w:pPr>
              <w:spacing w:after="0"/>
              <w:rPr>
                <w:sz w:val="24"/>
                <w:szCs w:val="24"/>
                <w:color w:val="auto"/>
              </w:rPr>
            </w:pP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Price(s) and volume(s)</w:t>
            </w:r>
          </w:p>
        </w:tc>
        <w:tc>
          <w:tcPr>
            <w:tcW w:w="212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44,549 RADSUs</w:t>
            </w:r>
          </w:p>
        </w:tc>
        <w:tc>
          <w:tcPr>
            <w:tcW w:w="0" w:type="dxa"/>
            <w:vAlign w:val="bottom"/>
          </w:tcPr>
          <w:p>
            <w:pPr>
              <w:spacing w:after="0"/>
              <w:rPr>
                <w:sz w:val="1"/>
                <w:szCs w:val="1"/>
                <w:color w:val="auto"/>
              </w:rPr>
            </w:pPr>
          </w:p>
        </w:tc>
      </w:tr>
      <w:tr>
        <w:trPr>
          <w:trHeight w:val="184"/>
        </w:trPr>
        <w:tc>
          <w:tcPr>
            <w:tcW w:w="580" w:type="dxa"/>
            <w:vAlign w:val="bottom"/>
            <w:tcBorders>
              <w:left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20"/>
              <w:spacing w:after="0" w:line="185" w:lineRule="exact"/>
              <w:rPr>
                <w:sz w:val="20"/>
                <w:szCs w:val="20"/>
                <w:color w:val="auto"/>
              </w:rPr>
            </w:pPr>
            <w:r>
              <w:rPr>
                <w:rFonts w:ascii="Arial" w:cs="Arial" w:eastAsia="Arial" w:hAnsi="Arial"/>
                <w:sz w:val="17"/>
                <w:szCs w:val="17"/>
                <w:color w:val="auto"/>
              </w:rPr>
              <w:t>(representing 356,392</w:t>
            </w:r>
          </w:p>
        </w:tc>
        <w:tc>
          <w:tcPr>
            <w:tcW w:w="0" w:type="dxa"/>
            <w:vAlign w:val="bottom"/>
          </w:tcPr>
          <w:p>
            <w:pPr>
              <w:spacing w:after="0"/>
              <w:rPr>
                <w:sz w:val="1"/>
                <w:szCs w:val="1"/>
                <w:color w:val="auto"/>
              </w:rPr>
            </w:pPr>
          </w:p>
        </w:tc>
      </w:tr>
      <w:tr>
        <w:trPr>
          <w:trHeight w:val="207"/>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w:t>
            </w:r>
          </w:p>
        </w:tc>
        <w:tc>
          <w:tcPr>
            <w:tcW w:w="280" w:type="dxa"/>
            <w:vAlign w:val="bottom"/>
            <w:tcBorders>
              <w:bottom w:val="single" w:sz="8" w:color="auto"/>
            </w:tcBorders>
          </w:tcPr>
          <w:p>
            <w:pPr>
              <w:spacing w:after="0"/>
              <w:rPr>
                <w:sz w:val="17"/>
                <w:szCs w:val="17"/>
                <w:color w:val="auto"/>
              </w:rPr>
            </w:pPr>
          </w:p>
        </w:tc>
        <w:tc>
          <w:tcPr>
            <w:tcW w:w="61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No consideration paid</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Ordinary Shares)</w:t>
            </w:r>
          </w:p>
        </w:tc>
        <w:tc>
          <w:tcPr>
            <w:tcW w:w="0" w:type="dxa"/>
            <w:vAlign w:val="bottom"/>
          </w:tcPr>
          <w:p>
            <w:pPr>
              <w:spacing w:after="0"/>
              <w:rPr>
                <w:sz w:val="1"/>
                <w:szCs w:val="1"/>
                <w:color w:val="auto"/>
              </w:rPr>
            </w:pPr>
          </w:p>
        </w:tc>
      </w:tr>
      <w:tr>
        <w:trPr>
          <w:trHeight w:val="253"/>
        </w:trPr>
        <w:tc>
          <w:tcPr>
            <w:tcW w:w="580" w:type="dxa"/>
            <w:vAlign w:val="bottom"/>
            <w:tcBorders>
              <w:left w:val="single" w:sz="8" w:color="auto"/>
              <w:right w:val="single" w:sz="8" w:color="auto"/>
            </w:tcBorders>
          </w:tcPr>
          <w:p>
            <w:pPr>
              <w:spacing w:after="0"/>
              <w:rPr>
                <w:sz w:val="21"/>
                <w:szCs w:val="21"/>
                <w:color w:val="auto"/>
              </w:rPr>
            </w:pPr>
          </w:p>
        </w:tc>
        <w:tc>
          <w:tcPr>
            <w:tcW w:w="6440" w:type="dxa"/>
            <w:vAlign w:val="bottom"/>
            <w:tcBorders>
              <w:right w:val="single" w:sz="8" w:color="auto"/>
            </w:tcBorders>
            <w:gridSpan w:val="2"/>
          </w:tcPr>
          <w:p>
            <w:pPr>
              <w:ind w:left="20"/>
              <w:spacing w:after="0"/>
              <w:rPr>
                <w:sz w:val="20"/>
                <w:szCs w:val="20"/>
                <w:color w:val="auto"/>
              </w:rPr>
            </w:pPr>
            <w:r>
              <w:rPr>
                <w:rFonts w:ascii="Arial" w:cs="Arial" w:eastAsia="Arial" w:hAnsi="Arial"/>
                <w:sz w:val="17"/>
                <w:szCs w:val="17"/>
                <w:color w:val="auto"/>
              </w:rPr>
              <w:t>Aggregated information</w:t>
            </w:r>
          </w:p>
        </w:tc>
        <w:tc>
          <w:tcPr>
            <w:tcW w:w="2120" w:type="dxa"/>
            <w:vAlign w:val="bottom"/>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80" w:type="dxa"/>
            <w:vAlign w:val="bottom"/>
            <w:tcBorders>
              <w:left w:val="single" w:sz="8" w:color="auto"/>
              <w:right w:val="single" w:sz="8" w:color="auto"/>
            </w:tcBorders>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616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Aggregated volume</w:t>
            </w:r>
          </w:p>
        </w:tc>
        <w:tc>
          <w:tcPr>
            <w:tcW w:w="212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d)</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616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Price</w:t>
            </w:r>
          </w:p>
        </w:tc>
        <w:tc>
          <w:tcPr>
            <w:tcW w:w="2120" w:type="dxa"/>
            <w:vAlign w:val="bottom"/>
            <w:vMerge w:val="restart"/>
          </w:tcPr>
          <w:p>
            <w:pPr>
              <w:spacing w:after="0"/>
              <w:rPr>
                <w:sz w:val="20"/>
                <w:szCs w:val="20"/>
                <w:color w:val="auto"/>
              </w:rPr>
            </w:pPr>
            <w:r>
              <w:rPr>
                <w:rFonts w:ascii="Arial" w:cs="Arial" w:eastAsia="Arial" w:hAnsi="Arial"/>
                <w:sz w:val="17"/>
                <w:szCs w:val="17"/>
                <w:color w:val="auto"/>
              </w:rPr>
              <w:t>N/A (single transaction)</w:t>
            </w:r>
          </w:p>
        </w:tc>
        <w:tc>
          <w:tcPr>
            <w:tcW w:w="2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160" w:type="dxa"/>
            <w:vAlign w:val="bottom"/>
            <w:tcBorders>
              <w:bottom w:val="single" w:sz="8" w:color="auto"/>
              <w:right w:val="single" w:sz="8" w:color="auto"/>
            </w:tcBorders>
          </w:tcPr>
          <w:p>
            <w:pPr>
              <w:spacing w:after="0"/>
              <w:rPr>
                <w:sz w:val="6"/>
                <w:szCs w:val="6"/>
                <w:color w:val="auto"/>
              </w:rPr>
            </w:pPr>
          </w:p>
        </w:tc>
        <w:tc>
          <w:tcPr>
            <w:tcW w:w="2120" w:type="dxa"/>
            <w:vAlign w:val="bottom"/>
            <w:tcBorders>
              <w:bottom w:val="single" w:sz="8" w:color="auto"/>
            </w:tcBorders>
            <w:vMerge w:val="continue"/>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w:t>
            </w:r>
          </w:p>
        </w:tc>
        <w:tc>
          <w:tcPr>
            <w:tcW w:w="64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Date of the transaction</w:t>
            </w:r>
          </w:p>
        </w:tc>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March 3, 2020</w:t>
            </w: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w:t>
            </w:r>
          </w:p>
        </w:tc>
        <w:tc>
          <w:tcPr>
            <w:tcW w:w="64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Place of the transaction</w:t>
            </w:r>
          </w:p>
        </w:tc>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Outside a trading venue</w:t>
            </w:r>
          </w:p>
        </w:tc>
        <w:tc>
          <w:tcPr>
            <w:tcW w:w="2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419" w:right="31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323215</wp:posOffset>
            </wp:positionV>
            <wp:extent cx="7091680" cy="1014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9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680"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9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1680"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680"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9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680"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9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1680"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9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1680"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10569575</wp:posOffset>
            </wp:positionV>
            <wp:extent cx="709168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168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1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1680" cy="1014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42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1680" cy="1014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312420</wp:posOffset>
            </wp:positionH>
            <wp:positionV relativeFrom="page">
              <wp:posOffset>454660</wp:posOffset>
            </wp:positionV>
            <wp:extent cx="7091680" cy="10134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1680" cy="10134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2020-03-10T08:48:38Z</dcterms:created>
  <dcterms:modified xsi:type="dcterms:W3CDTF">2020-03-10T08:48:38Z</dcterms:modified>
</cp:coreProperties>
</file>