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4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39"/>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N/A</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440" w:right="339" w:bottom="73"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38"/>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18"/>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398" w:lineRule="exact"/>
        <w:rPr>
          <w:sz w:val="20"/>
          <w:szCs w:val="20"/>
          <w:color w:val="auto"/>
        </w:rPr>
      </w:pPr>
    </w:p>
    <w:p>
      <w:pPr>
        <w:ind w:right="480" w:firstLine="8"/>
        <w:spacing w:after="0" w:line="284" w:lineRule="auto"/>
        <w:tabs>
          <w:tab w:leader="none" w:pos="13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8"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75" w:lineRule="exact"/>
        <w:rPr>
          <w:sz w:val="20"/>
          <w:szCs w:val="20"/>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9, 2024, Verona Pharma plc announced its financial results for the quarter ended March 31, 2024. The full text of the press release issued in connection with the announcement is furnished as Exhibit 99.1 to this Current Report on Form 8-K.</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issued on May 9, 2024</w:t>
      </w:r>
    </w:p>
    <w:p>
      <w:pPr>
        <w:spacing w:after="0" w:line="6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8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84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28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5531485</wp:posOffset>
            </wp:positionH>
            <wp:positionV relativeFrom="page">
              <wp:posOffset>243205</wp:posOffset>
            </wp:positionV>
            <wp:extent cx="1808480" cy="87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First Quarter 2024 Financial Results and Provides Corporate Update</w:t>
      </w:r>
    </w:p>
    <w:p>
      <w:pPr>
        <w:spacing w:after="0" w:line="170" w:lineRule="exact"/>
        <w:rPr>
          <w:sz w:val="20"/>
          <w:szCs w:val="20"/>
          <w:color w:val="auto"/>
        </w:rPr>
      </w:pPr>
    </w:p>
    <w:p>
      <w:pPr>
        <w:jc w:val="center"/>
        <w:spacing w:after="0" w:line="317" w:lineRule="auto"/>
        <w:rPr>
          <w:sz w:val="20"/>
          <w:szCs w:val="20"/>
          <w:color w:val="auto"/>
        </w:rPr>
      </w:pPr>
      <w:r>
        <w:rPr>
          <w:rFonts w:ascii="Arial" w:cs="Arial" w:eastAsia="Arial" w:hAnsi="Arial"/>
          <w:sz w:val="22"/>
          <w:szCs w:val="22"/>
          <w:i w:val="1"/>
          <w:iCs w:val="1"/>
          <w:color w:val="auto"/>
        </w:rPr>
        <w:t>PDUFA Target Action Date for Ensifentrine of June 26, 2024 Finalizing commercial launch preparations Strong balance sheet supports commercialization and pipeline expansion Conference call today at 9:00 a.m. EDT / 2:00 p.m. BST</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LONDON and RALEIGH, N.C., May 9, 2024 </w:t>
      </w:r>
      <w:r>
        <w:rPr>
          <w:rFonts w:ascii="Arial" w:cs="Arial" w:eastAsia="Arial" w:hAnsi="Arial"/>
          <w:sz w:val="20"/>
          <w:szCs w:val="20"/>
          <w:color w:val="auto"/>
        </w:rPr>
        <w:t>– Verona Pharma plc (Nasdaq: VRNA) (“Verona Pharma” or the “Company”), a</w:t>
      </w:r>
    </w:p>
    <w:p>
      <w:pPr>
        <w:jc w:val="both"/>
        <w:spacing w:after="0" w:line="225" w:lineRule="auto"/>
        <w:rPr>
          <w:sz w:val="20"/>
          <w:szCs w:val="20"/>
          <w:color w:val="auto"/>
        </w:rPr>
      </w:pPr>
      <w:r>
        <w:rPr>
          <w:rFonts w:ascii="Arial" w:cs="Arial" w:eastAsia="Arial" w:hAnsi="Arial"/>
          <w:sz w:val="20"/>
          <w:szCs w:val="20"/>
          <w:color w:val="auto"/>
        </w:rPr>
        <w:t>biopharmaceutical company focused on respiratory diseases, announces its financial results for the first quarter ended March 31, 2024, and provides a corporate update.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“As we approach the PDUFA target action date for ensifentrine of June 26, we are finalizing our preparations for a potential US</w:t>
      </w:r>
    </w:p>
    <w:p>
      <w:pPr>
        <w:jc w:val="both"/>
        <w:spacing w:after="0" w:line="215" w:lineRule="auto"/>
        <w:rPr>
          <w:sz w:val="20"/>
          <w:szCs w:val="20"/>
          <w:color w:val="auto"/>
        </w:rPr>
      </w:pPr>
      <w:r>
        <w:rPr>
          <w:rFonts w:ascii="Arial" w:cs="Arial" w:eastAsia="Arial" w:hAnsi="Arial"/>
          <w:sz w:val="19"/>
          <w:szCs w:val="19"/>
          <w:color w:val="auto"/>
        </w:rPr>
        <w:t>launch in the third quarter of 2024,” said David Zaccardelli, Pharm. D., President and Chief Executive Officer. “If approved, ensifentrine is expected to be the first novel inhaled mechanism available for the treatment of COPD in more than 20 years, and</w:t>
      </w:r>
    </w:p>
    <w:p>
      <w:pPr>
        <w:spacing w:after="0" w:line="211" w:lineRule="auto"/>
        <w:rPr>
          <w:sz w:val="20"/>
          <w:szCs w:val="20"/>
          <w:color w:val="auto"/>
        </w:rPr>
      </w:pPr>
      <w:r>
        <w:rPr>
          <w:rFonts w:ascii="Arial" w:cs="Arial" w:eastAsia="Arial" w:hAnsi="Arial"/>
          <w:sz w:val="20"/>
          <w:szCs w:val="20"/>
          <w:color w:val="auto"/>
        </w:rPr>
        <w:t>we continue to work with the US Food and Drug Administration during their review. Our goal is to address the significant unmet</w:t>
      </w:r>
    </w:p>
    <w:p>
      <w:pPr>
        <w:jc w:val="both"/>
        <w:ind w:right="20"/>
        <w:spacing w:after="0" w:line="225" w:lineRule="auto"/>
        <w:rPr>
          <w:sz w:val="20"/>
          <w:szCs w:val="20"/>
          <w:color w:val="auto"/>
        </w:rPr>
      </w:pPr>
      <w:r>
        <w:rPr>
          <w:rFonts w:ascii="Arial" w:cs="Arial" w:eastAsia="Arial" w:hAnsi="Arial"/>
          <w:sz w:val="20"/>
          <w:szCs w:val="20"/>
          <w:color w:val="auto"/>
        </w:rPr>
        <w:t>need in COPD and provide a novel and effective treatment for patients that continue to experience symptoms, despite existing therapies.</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believe ensifentrine’s bronchodilator and non-steroidal anti-inflammatory activity has the potential to change the treatment paradigm for COPD and we look forward to providing updates later this year on our planned clinical programs for a fixed-dose combination of ensifentrine and glycopyrrolate in COPD and ensifentrine in non-cystic fibrosis bronchiectasis.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 the financing announced this morning, we are pleased to have further strengthened our balance sheet and enhanced our financial flexibility as we prepare for the potential launch of ensifentrine with access to up to $650 million in addition to our existing cash of $255 million. We refinanced our $ 400 million debt facility to one with a lower overall cost of capital and favorable financial covenants. In addition, we have entered into a $250 million capped revenue interest sales transaction with repayment based on a percentage of future ensifentrine revenues. We expect these funds, along with existing cash, to support the Company’s growth through the planned commercialization beyond 2026.”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Company’s near-term milestones include:</w:t>
      </w:r>
    </w:p>
    <w:p>
      <w:pPr>
        <w:spacing w:after="0" w:line="81" w:lineRule="exact"/>
        <w:rPr>
          <w:sz w:val="20"/>
          <w:szCs w:val="20"/>
          <w:color w:val="auto"/>
        </w:rPr>
      </w:pPr>
    </w:p>
    <w:p>
      <w:pPr>
        <w:jc w:val="both"/>
        <w:ind w:left="660" w:hanging="328"/>
        <w:spacing w:after="0" w:line="22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FDA has assigned a Prescription Drug User Fee Act ("PDUFA") target action date for ensifentrine of June 26, 2024 and notified the Company that it is not currently planning to hold an advisory committee meeting to discuss the application. If approved, the Company intends to launch ensifentrine in the US market in the third quarter of 2024.</w:t>
      </w:r>
    </w:p>
    <w:p>
      <w:pPr>
        <w:spacing w:after="0" w:line="49"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the second quarter of 2024, the Company continues to finalize key launch preparations including sales force deployment strategy, pricing, distribution and patient services, healthcare professional and patient engagement plans.</w:t>
      </w:r>
    </w:p>
    <w:p>
      <w:pPr>
        <w:sectPr>
          <w:pgSz w:w="11900" w:h="16838" w:orient="portrait"/>
          <w:cols w:equalWidth="0" w:num="1">
            <w:col w:w="11240"/>
          </w:cols>
          <w:pgMar w:left="320" w:top="1440" w:right="339" w:bottom="1440" w:gutter="0" w:footer="0" w:header="0"/>
        </w:sectPr>
      </w:pPr>
    </w:p>
    <w:bookmarkStart w:id="5" w:name="page6"/>
    <w:bookmarkEnd w:id="5"/>
    <w:p>
      <w:pPr>
        <w:jc w:val="both"/>
        <w:ind w:left="660" w:hanging="328"/>
        <w:spacing w:after="0" w:line="22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the second quarter of 2024, the Company will continue to highlight the burden of chronic obstructive pulmonary disease ("COPD") through the "Unspoken COPD" disease awareness campaign. Through the first quarter of 2024, 85% of targeted healthcare professionals (“HCPs”) were reached with the campaign and over 2,000 HCPs engaged with the website.</w:t>
      </w:r>
    </w:p>
    <w:p>
      <w:pPr>
        <w:spacing w:after="0" w:line="63" w:lineRule="exact"/>
        <w:rPr>
          <w:rFonts w:ascii="Arial" w:cs="Arial" w:eastAsia="Arial" w:hAnsi="Arial"/>
          <w:sz w:val="20"/>
          <w:szCs w:val="20"/>
          <w:color w:val="auto"/>
        </w:rPr>
      </w:pPr>
    </w:p>
    <w:p>
      <w:pPr>
        <w:jc w:val="both"/>
        <w:ind w:left="660" w:hanging="328"/>
        <w:spacing w:after="0" w:line="23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May 2024, the Company will present eight posters including two mini oral symposia, at the American Thoracic Society International Conference (“ATS”) 2024. The posters will highlight additional pooled analyses of the Phase 3 ENHANCE studies with ensifentrine for the treatment of COPD. A pooled analysis demonstrating reductions in the rate and risk of exacerbations with ensifentrine will be presented as part of the ‘Late Breaking Mini Symposium’ designed to highlight new breakthroughs. In addition, the Company will host an exhibition booth exploring the role of phosphodiesterase (“PDE”) in inflammation and lung function impairment in COPD as well as three innovation hub presentations led by clinical experts.</w:t>
      </w:r>
    </w:p>
    <w:p>
      <w:pPr>
        <w:spacing w:after="0" w:line="63" w:lineRule="exact"/>
        <w:rPr>
          <w:rFonts w:ascii="Arial" w:cs="Arial" w:eastAsia="Arial" w:hAnsi="Arial"/>
          <w:sz w:val="20"/>
          <w:szCs w:val="20"/>
          <w:color w:val="auto"/>
        </w:rPr>
      </w:pPr>
    </w:p>
    <w:p>
      <w:pPr>
        <w:jc w:val="both"/>
        <w:ind w:left="660" w:hanging="328"/>
        <w:spacing w:after="0" w:line="22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the second half of 2024, the Company intends to submit an investigational new drug application (“IND”) to the FDA and, subject to clearance, initiate a Phase 2 clinical trial assessing the safety and efficacy of a fixed-dose combination formulation of ensifentrine and glycopyrrolate, a long-acting muscarinic antagonist ("LAMA"), for the maintenance treatment of patients with COPD via delivery in a nebulizer.</w:t>
      </w:r>
    </w:p>
    <w:p>
      <w:pPr>
        <w:spacing w:after="0" w:line="36"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Also in the second half of 2024, the Company plans to initiate a Phase 2 clinical trial to assess the efficacy and safety of nebulized ensifentrine in patients with non-cystic fibrosis bronchiectasis ("NCFBE"), subject to clearance by the FDA.</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Financing and Recent Highlights</w:t>
      </w:r>
    </w:p>
    <w:p>
      <w:pPr>
        <w:spacing w:after="0" w:line="83" w:lineRule="exact"/>
        <w:rPr>
          <w:sz w:val="20"/>
          <w:szCs w:val="20"/>
          <w:color w:val="auto"/>
        </w:rPr>
      </w:pPr>
    </w:p>
    <w:p>
      <w:pPr>
        <w:jc w:val="both"/>
        <w:ind w:left="660" w:hanging="328"/>
        <w:spacing w:after="0" w:line="22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May 2024, the Company refinanced its $400 million debt facility and entered into a $250 million capped revenue interest sales transaction with Oaktree Capital and OMERS Life Sciences (collectively “the $650 million strategic financing”).</w:t>
      </w:r>
    </w:p>
    <w:p>
      <w:pPr>
        <w:spacing w:after="0" w:line="49" w:lineRule="exact"/>
        <w:rPr>
          <w:rFonts w:ascii="Arial" w:cs="Arial" w:eastAsia="Arial" w:hAnsi="Arial"/>
          <w:sz w:val="20"/>
          <w:szCs w:val="20"/>
          <w:color w:val="auto"/>
        </w:rPr>
      </w:pPr>
    </w:p>
    <w:p>
      <w:pPr>
        <w:jc w:val="both"/>
        <w:ind w:left="660" w:hanging="328"/>
        <w:spacing w:after="0" w:line="22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Also in May 2024, the Company presented posters at the International Society for Pharmacoeconomics and Outcomes Research (“ISPOR”) Annual International Conference 2024. Posters at ISPOR included claims data demonstrating exacerbations persist for patients even when they are receiving treatment regimens containing inhaled corticosteroids, resulting in a significant burden to the healthcare system.</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2024 Financial Results</w:t>
      </w:r>
    </w:p>
    <w:p>
      <w:pPr>
        <w:spacing w:after="0" w:line="81" w:lineRule="exact"/>
        <w:rPr>
          <w:sz w:val="20"/>
          <w:szCs w:val="20"/>
          <w:color w:val="auto"/>
        </w:rPr>
      </w:pPr>
    </w:p>
    <w:p>
      <w:pPr>
        <w:jc w:val="both"/>
        <w:ind w:left="660" w:hanging="328"/>
        <w:spacing w:after="0" w:line="235" w:lineRule="auto"/>
        <w:tabs>
          <w:tab w:leader="none" w:pos="655" w:val="left"/>
        </w:tabs>
        <w:numPr>
          <w:ilvl w:val="0"/>
          <w:numId w:val="6"/>
        </w:numPr>
        <w:rPr>
          <w:rFonts w:ascii="Times New Roman" w:cs="Times New Roman" w:eastAsia="Times New Roman" w:hAnsi="Times New Roman"/>
          <w:sz w:val="17"/>
          <w:szCs w:val="17"/>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Cash and cash equivalents at March 31, 2024, were $254.9 million (December 31, 2023: $271.8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believes cash and cash equivalents at March 31, 2024, and funding expected to become available under the $650 million strategic financing facility, will enable Verona Pharma to fund planned operating expenses and capital expenditure requirements beyond 2026 including the commercial launch of ensifentrine in the US, if approved.</w:t>
      </w:r>
    </w:p>
    <w:p>
      <w:pPr>
        <w:spacing w:after="0" w:line="2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were $6.8 million for the first quarter ended March 31,</w:t>
      </w:r>
    </w:p>
    <w:p>
      <w:pPr>
        <w:jc w:val="both"/>
        <w:ind w:left="660"/>
        <w:spacing w:after="0" w:line="216" w:lineRule="auto"/>
        <w:rPr>
          <w:rFonts w:ascii="Arial" w:cs="Arial" w:eastAsia="Arial" w:hAnsi="Arial"/>
          <w:sz w:val="18"/>
          <w:szCs w:val="18"/>
          <w:color w:val="auto"/>
        </w:rPr>
      </w:pPr>
      <w:r>
        <w:rPr>
          <w:rFonts w:ascii="Arial" w:cs="Arial" w:eastAsia="Arial" w:hAnsi="Arial"/>
          <w:sz w:val="20"/>
          <w:szCs w:val="20"/>
          <w:color w:val="auto"/>
        </w:rPr>
        <w:t>2024 (Q1 2023: $12.6 million). This decrease of $5.8 million was primarily due to expense of $7.2 million in the three months ended March 31, 2023 for finalizing all matters related to the Phase 3 ENHANCE program. As the program completed in 2023, no similar costs were incurred in 2024. This decrease was partially offset by $1.5 million of pre-approval active pharmaceutical ingredient manufacturing-related costs as well as an increase of $0.7 million in people related costs including share-based compensation.</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$20.4 million for the first quarter ended</w:t>
      </w:r>
    </w:p>
    <w:p>
      <w:pPr>
        <w:jc w:val="both"/>
        <w:ind w:left="660"/>
        <w:spacing w:after="0" w:line="216" w:lineRule="auto"/>
        <w:rPr>
          <w:rFonts w:ascii="Arial" w:cs="Arial" w:eastAsia="Arial" w:hAnsi="Arial"/>
          <w:sz w:val="18"/>
          <w:szCs w:val="18"/>
          <w:color w:val="auto"/>
        </w:rPr>
      </w:pPr>
      <w:r>
        <w:rPr>
          <w:rFonts w:ascii="Arial" w:cs="Arial" w:eastAsia="Arial" w:hAnsi="Arial"/>
          <w:sz w:val="20"/>
          <w:szCs w:val="20"/>
          <w:color w:val="auto"/>
        </w:rPr>
        <w:t>March 31, 2024 (Q1 2023: $9.6 million). The increase of $10.8 million was primarily due to an increase of $4.6 million related to marketing, commercial preparation and other pre-commercial activities, $1.1 million related to professional fees, consulting costs and other administrative expenses, which support our continued growth and evolution of our business, and $0.7 million related to the continued build-out of our information technology infrastructure. Additionally, people related costs increased by $4.1 million including share-based</w:t>
      </w:r>
    </w:p>
    <w:p>
      <w:pPr>
        <w:sectPr>
          <w:pgSz w:w="11900" w:h="16838" w:orient="portrait"/>
          <w:cols w:equalWidth="0" w:num="1">
            <w:col w:w="11240"/>
          </w:cols>
          <w:pgMar w:left="320" w:top="1400" w:right="339" w:bottom="1440" w:gutter="0" w:footer="0" w:header="0"/>
        </w:sectPr>
      </w:pPr>
    </w:p>
    <w:bookmarkStart w:id="6" w:name="page7"/>
    <w:bookmarkEnd w:id="6"/>
    <w:p>
      <w:pPr>
        <w:ind w:left="660"/>
        <w:spacing w:after="0" w:line="243" w:lineRule="auto"/>
        <w:rPr>
          <w:sz w:val="20"/>
          <w:szCs w:val="20"/>
          <w:color w:val="auto"/>
        </w:rPr>
      </w:pPr>
      <w:r>
        <w:rPr>
          <w:rFonts w:ascii="Arial" w:cs="Arial" w:eastAsia="Arial" w:hAnsi="Arial"/>
          <w:sz w:val="20"/>
          <w:szCs w:val="20"/>
          <w:color w:val="auto"/>
        </w:rPr>
        <w:t>compensation as we increased our headcount in our commercial and support functions in preparation for the planned commercial launch.</w:t>
      </w:r>
    </w:p>
    <w:p>
      <w:pPr>
        <w:spacing w:after="0" w:line="3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$25.8 million for the first quarter ended March 31, 2024 (Q1 2023: net loss $16.7 million).</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25" w:lineRule="auto"/>
        <w:rPr>
          <w:sz w:val="20"/>
          <w:szCs w:val="20"/>
          <w:color w:val="auto"/>
        </w:rPr>
      </w:pPr>
      <w:r>
        <w:rPr>
          <w:rFonts w:ascii="Arial" w:cs="Arial" w:eastAsia="Arial" w:hAnsi="Arial"/>
          <w:sz w:val="20"/>
          <w:szCs w:val="20"/>
          <w:color w:val="auto"/>
        </w:rPr>
        <w:t>Verona Pharma will host an investment community webcast and conference call at 9:00 a.m. EDT / 2:00 p.m. BST on Thursday, May 9, 2024, to discuss the first quarter 2024 financial results and the corporate update.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To participate, please dial one of the following numbers and ask to join the Verona Pharma call:</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+1-833-816-1396 for callers in the United States</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+1-412-317-0489 for international callers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w:t>
      </w:r>
    </w:p>
    <w:p>
      <w:pPr>
        <w:spacing w:after="0" w:line="225" w:lineRule="auto"/>
        <w:rPr>
          <w:sz w:val="20"/>
          <w:szCs w:val="20"/>
          <w:color w:val="auto"/>
        </w:rPr>
      </w:pPr>
      <w:r>
        <w:rPr>
          <w:rFonts w:ascii="Arial" w:cs="Arial" w:eastAsia="Arial" w:hAnsi="Arial"/>
          <w:sz w:val="20"/>
          <w:szCs w:val="20"/>
          <w:color w:val="auto"/>
        </w:rPr>
        <w:t>www.veronapharma.com, and the audio replay will be available for 90 days. An electronic copy of the first quarter 2024 results press release will also be made available today on the Company’s website.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6260" w:type="dxa"/>
            <w:vAlign w:val="bottom"/>
            <w:tcBorders>
              <w:top w:val="single" w:sz="8" w:color="CFCFCF"/>
              <w:left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Verona Pharma plc</w:t>
            </w:r>
          </w:p>
        </w:tc>
        <w:tc>
          <w:tcPr>
            <w:tcW w:w="4980" w:type="dxa"/>
            <w:vAlign w:val="bottom"/>
            <w:tcBorders>
              <w:top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US Tel: +1-833-417-0262</w:t>
            </w:r>
          </w:p>
        </w:tc>
      </w:tr>
      <w:tr>
        <w:trPr>
          <w:trHeight w:val="263"/>
        </w:trPr>
        <w:tc>
          <w:tcPr>
            <w:tcW w:w="6260" w:type="dxa"/>
            <w:vAlign w:val="bottom"/>
            <w:tcBorders>
              <w:left w:val="single" w:sz="8" w:color="CFCFCF"/>
              <w:bottom w:val="single" w:sz="8" w:color="CFCFCF"/>
              <w:right w:val="single" w:sz="8" w:color="CFCFCF"/>
            </w:tcBorders>
          </w:tcPr>
          <w:p>
            <w:pPr>
              <w:spacing w:after="0"/>
              <w:rPr>
                <w:sz w:val="22"/>
                <w:szCs w:val="22"/>
                <w:color w:val="auto"/>
              </w:rPr>
            </w:pP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UK Tel: +44 (0)203 283 4200</w:t>
            </w:r>
          </w:p>
        </w:tc>
      </w:tr>
      <w:tr>
        <w:trPr>
          <w:trHeight w:val="230"/>
        </w:trPr>
        <w:tc>
          <w:tcPr>
            <w:tcW w:w="6260" w:type="dxa"/>
            <w:vAlign w:val="bottom"/>
            <w:tcBorders>
              <w:left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Victoria Stewart, Senior Director of Investor Relations and</w:t>
            </w:r>
          </w:p>
        </w:tc>
        <w:tc>
          <w:tcPr>
            <w:tcW w:w="4980" w:type="dxa"/>
            <w:vAlign w:val="bottom"/>
            <w:tcBorders>
              <w:right w:val="single" w:sz="8" w:color="CFCFCF"/>
            </w:tcBorders>
          </w:tcPr>
          <w:p>
            <w:pPr>
              <w:ind w:left="20"/>
              <w:spacing w:after="0"/>
              <w:rPr>
                <w:sz w:val="20"/>
                <w:szCs w:val="20"/>
                <w:color w:val="auto"/>
              </w:rPr>
            </w:pPr>
            <w:r>
              <w:rPr>
                <w:rFonts w:ascii="Arial" w:cs="Arial" w:eastAsia="Arial" w:hAnsi="Arial"/>
                <w:sz w:val="20"/>
                <w:szCs w:val="20"/>
                <w:color w:val="0000FF"/>
              </w:rPr>
              <w:t>IR@veronapharma.com</w:t>
            </w:r>
          </w:p>
        </w:tc>
      </w:tr>
      <w:tr>
        <w:trPr>
          <w:trHeight w:val="263"/>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Communications</w:t>
            </w:r>
          </w:p>
        </w:tc>
        <w:tc>
          <w:tcPr>
            <w:tcW w:w="4980" w:type="dxa"/>
            <w:vAlign w:val="bottom"/>
            <w:tcBorders>
              <w:bottom w:val="single" w:sz="8" w:color="CFCFCF"/>
              <w:right w:val="single" w:sz="8" w:color="CFCFCF"/>
            </w:tcBorders>
          </w:tcPr>
          <w:p>
            <w:pPr>
              <w:spacing w:after="0"/>
              <w:rPr>
                <w:sz w:val="22"/>
                <w:szCs w:val="22"/>
                <w:color w:val="auto"/>
              </w:rPr>
            </w:pPr>
          </w:p>
        </w:tc>
      </w:tr>
      <w:tr>
        <w:trPr>
          <w:trHeight w:val="275"/>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 xml:space="preserve">Argot Partners </w:t>
            </w:r>
            <w:r>
              <w:rPr>
                <w:rFonts w:ascii="Arial" w:cs="Arial" w:eastAsia="Arial" w:hAnsi="Arial"/>
                <w:sz w:val="20"/>
                <w:szCs w:val="20"/>
                <w:color w:val="auto"/>
              </w:rPr>
              <w:t>US Investor Enquiries</w:t>
            </w: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 xml:space="preserve">Tel: +1-212-600-1902 </w:t>
            </w:r>
            <w:r>
              <w:rPr>
                <w:rFonts w:ascii="Arial" w:cs="Arial" w:eastAsia="Arial" w:hAnsi="Arial"/>
                <w:sz w:val="20"/>
                <w:szCs w:val="20"/>
                <w:color w:val="0000FF"/>
              </w:rPr>
              <w:t>verona@argotpartners.com</w:t>
            </w:r>
          </w:p>
        </w:tc>
      </w:tr>
      <w:tr>
        <w:trPr>
          <w:trHeight w:val="232"/>
        </w:trPr>
        <w:tc>
          <w:tcPr>
            <w:tcW w:w="6260" w:type="dxa"/>
            <w:vAlign w:val="bottom"/>
            <w:tcBorders>
              <w:left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 xml:space="preserve">Ten Bridge Communications </w:t>
            </w:r>
            <w:r>
              <w:rPr>
                <w:rFonts w:ascii="Arial" w:cs="Arial" w:eastAsia="Arial" w:hAnsi="Arial"/>
                <w:sz w:val="20"/>
                <w:szCs w:val="20"/>
                <w:color w:val="auto"/>
              </w:rPr>
              <w:t>International / US Media Enquiries</w:t>
            </w:r>
          </w:p>
        </w:tc>
        <w:tc>
          <w:tcPr>
            <w:tcW w:w="4980" w:type="dxa"/>
            <w:vAlign w:val="bottom"/>
            <w:tcBorders>
              <w:right w:val="single" w:sz="8" w:color="CFCFCF"/>
            </w:tcBorders>
          </w:tcPr>
          <w:p>
            <w:pPr>
              <w:ind w:left="20"/>
              <w:spacing w:after="0"/>
              <w:rPr>
                <w:sz w:val="20"/>
                <w:szCs w:val="20"/>
                <w:color w:val="auto"/>
              </w:rPr>
            </w:pPr>
            <w:r>
              <w:rPr>
                <w:rFonts w:ascii="Arial" w:cs="Arial" w:eastAsia="Arial" w:hAnsi="Arial"/>
                <w:sz w:val="20"/>
                <w:szCs w:val="20"/>
                <w:color w:val="auto"/>
              </w:rPr>
              <w:t>Tel: +1-312-523-5016</w:t>
            </w:r>
          </w:p>
        </w:tc>
      </w:tr>
      <w:tr>
        <w:trPr>
          <w:trHeight w:val="263"/>
        </w:trPr>
        <w:tc>
          <w:tcPr>
            <w:tcW w:w="6260" w:type="dxa"/>
            <w:vAlign w:val="bottom"/>
            <w:tcBorders>
              <w:left w:val="single" w:sz="8" w:color="CFCFCF"/>
              <w:bottom w:val="single" w:sz="8" w:color="CFCFCF"/>
              <w:right w:val="single" w:sz="8" w:color="CFCFCF"/>
            </w:tcBorders>
          </w:tcPr>
          <w:p>
            <w:pPr>
              <w:spacing w:after="0"/>
              <w:rPr>
                <w:sz w:val="22"/>
                <w:szCs w:val="22"/>
                <w:color w:val="auto"/>
              </w:rPr>
            </w:pP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0000FF"/>
              </w:rPr>
              <w:t>tbcverona@tenbridgecommunications.com</w:t>
            </w:r>
          </w:p>
        </w:tc>
      </w:tr>
      <w:tr>
        <w:trPr>
          <w:trHeight w:val="261"/>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Leslie Humbel</w:t>
            </w:r>
          </w:p>
        </w:tc>
        <w:tc>
          <w:tcPr>
            <w:tcW w:w="4980" w:type="dxa"/>
            <w:vAlign w:val="bottom"/>
            <w:tcBorders>
              <w:bottom w:val="single" w:sz="8" w:color="CFCFCF"/>
              <w:right w:val="single" w:sz="8" w:color="CFCFCF"/>
            </w:tcBorders>
          </w:tcPr>
          <w:p>
            <w:pPr>
              <w:spacing w:after="0"/>
              <w:rPr>
                <w:sz w:val="22"/>
                <w:szCs w:val="22"/>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8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Verona Pharma is a biopharmaceutical company focused on developing and commercializing innovative therapies for the treatment of chronic respiratory diseases with significant unmet medical needs. In the third quarter of 2023, the US Food and</w:t>
      </w:r>
    </w:p>
    <w:p>
      <w:pPr>
        <w:spacing w:after="0" w:line="212" w:lineRule="auto"/>
        <w:rPr>
          <w:sz w:val="20"/>
          <w:szCs w:val="20"/>
          <w:color w:val="auto"/>
        </w:rPr>
      </w:pPr>
      <w:r>
        <w:rPr>
          <w:rFonts w:ascii="Arial" w:cs="Arial" w:eastAsia="Arial" w:hAnsi="Arial"/>
          <w:sz w:val="20"/>
          <w:szCs w:val="20"/>
          <w:color w:val="auto"/>
        </w:rPr>
        <w:t>Drug Administration accepted for review the Company’s NDA for ensifentrine for the maintenance treatment of patients with</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COPD and assigned a PDUFA target action date of June 26, 2024. If approved, ensifentrine has the potential to become the first inhaled non-steroidal therapy for the treatment of respiratory diseases that combines bronchodilator and anti-inflammatory</w:t>
      </w:r>
    </w:p>
    <w:p>
      <w:pPr>
        <w:spacing w:after="0" w:line="211" w:lineRule="auto"/>
        <w:rPr>
          <w:sz w:val="20"/>
          <w:szCs w:val="20"/>
          <w:color w:val="auto"/>
        </w:rPr>
      </w:pPr>
      <w:r>
        <w:rPr>
          <w:rFonts w:ascii="Arial" w:cs="Arial" w:eastAsia="Arial" w:hAnsi="Arial"/>
          <w:sz w:val="20"/>
          <w:szCs w:val="20"/>
          <w:color w:val="auto"/>
        </w:rPr>
        <w:t>activities in one molecule. The Company has evaluated nebulized ensifentrine in its Phase 3 clinical program ENHANCE</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(“Ensifentrine as a Novel inHAled Nebulized COPD thErapy”) for COPD maintenance treatment. Ensifentrine met the primary endpoint in both ENHANCE-1 and ENHANCE-2 trials demonstrating statistically significant and clinically meaningful</w:t>
      </w:r>
    </w:p>
    <w:p>
      <w:pPr>
        <w:spacing w:after="0" w:line="223" w:lineRule="auto"/>
        <w:rPr>
          <w:sz w:val="20"/>
          <w:szCs w:val="20"/>
          <w:color w:val="auto"/>
        </w:rPr>
      </w:pPr>
      <w:r>
        <w:rPr>
          <w:rFonts w:ascii="Arial" w:cs="Arial" w:eastAsia="Arial" w:hAnsi="Arial"/>
          <w:sz w:val="19"/>
          <w:szCs w:val="19"/>
          <w:color w:val="auto"/>
        </w:rPr>
        <w:t>improvements in lung function. In addition, ensifentrine substantially reduced the rate and risk of COPD exacerbations in pooled</w:t>
      </w:r>
    </w:p>
    <w:p>
      <w:pPr>
        <w:jc w:val="both"/>
        <w:spacing w:after="0" w:line="204" w:lineRule="auto"/>
        <w:rPr>
          <w:sz w:val="20"/>
          <w:szCs w:val="20"/>
          <w:color w:val="auto"/>
        </w:rPr>
      </w:pPr>
      <w:r>
        <w:rPr>
          <w:rFonts w:ascii="Arial" w:cs="Arial" w:eastAsia="Arial" w:hAnsi="Arial"/>
          <w:sz w:val="20"/>
          <w:szCs w:val="20"/>
          <w:color w:val="auto"/>
        </w:rPr>
        <w:t>analysis from ENHANCE-1 and ENHANCE-2. Two additional formulations of ensifentrine have been evaluated in Phase 2 trials for the treatment of COPD: dry powder inhaler (“DPI”) and pressurized metered-dose inhaler (“pMDI”) and a fixed-dose</w:t>
      </w:r>
    </w:p>
    <w:p>
      <w:pPr>
        <w:spacing w:after="0" w:line="211" w:lineRule="auto"/>
        <w:rPr>
          <w:sz w:val="20"/>
          <w:szCs w:val="20"/>
          <w:color w:val="auto"/>
        </w:rPr>
      </w:pPr>
      <w:r>
        <w:rPr>
          <w:rFonts w:ascii="Arial" w:cs="Arial" w:eastAsia="Arial" w:hAnsi="Arial"/>
          <w:sz w:val="20"/>
          <w:szCs w:val="20"/>
          <w:color w:val="auto"/>
        </w:rPr>
        <w:t>combination formulation with ensifentrine and glycopyrrolate, a LAMA, is currently under development, also for the treatment of</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COPD. Ensifentrine also has potential applications in cystic fibrosis, non-cystic fibrosis bronchiectasis, asthma and other respiratory diseases. For more information, please visit www.veronapharma.com</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All statements contained in this press release that</w:t>
      </w:r>
    </w:p>
    <w:p>
      <w:pPr>
        <w:sectPr>
          <w:pgSz w:w="11900" w:h="16838" w:orient="portrait"/>
          <w:cols w:equalWidth="0" w:num="1">
            <w:col w:w="11240"/>
          </w:cols>
          <w:pgMar w:left="320" w:top="1400" w:right="339" w:bottom="1440" w:gutter="0" w:footer="0" w:header="0"/>
        </w:sectPr>
      </w:pPr>
    </w:p>
    <w:bookmarkStart w:id="7" w:name="page8"/>
    <w:bookmarkEnd w:id="7"/>
    <w:p>
      <w:pPr>
        <w:jc w:val="both"/>
        <w:spacing w:after="0" w:line="234" w:lineRule="auto"/>
        <w:rPr>
          <w:sz w:val="20"/>
          <w:szCs w:val="20"/>
          <w:color w:val="auto"/>
        </w:rPr>
      </w:pPr>
      <w:r>
        <w:rPr>
          <w:rFonts w:ascii="Arial" w:cs="Arial" w:eastAsia="Arial" w:hAnsi="Arial"/>
          <w:sz w:val="20"/>
          <w:szCs w:val="20"/>
          <w:color w:val="auto"/>
        </w:rPr>
        <w:t>do not relate to matters of historical fact should be considered forward-looking statements, including, but not limited to, statements regarding our operational review, financial review, program updates and key milestones, the timing of the approval of the NDA for ensifentrine for the maintenance treatment of COPD, the development of ensifentrine in other formulations and for other indications and planned regulatory submissions and timing thereof, including the timing of submission of an IND for a fixed-dose combination formulation with ensifentrine and glycopyrrolate, a LAMA, for the maintenance treatment of patients with COPD and the timing of clinical studies to assess ensifentrine in patients with NCFBE, the planned US commercial launch of ensifentrine in 2024, the potential for ensifentrine to be the first therapy for the treatment of respiratory diseases to combine bronchodilator and non-steroidal anti-inflammatory benefits in one compound, the potential of ensifentrine to change the treatment paradigm for COPD patients, the potential of ensifentrine in the treatment of cystic fibrosis, NCFBE, asthma and other respiratory diseases, as well as the potential of the DPI and pMDI formulations of ensifentrine, the funding we expect to become available under our $650 million strategic financing facility, and the sufficiency of cash and cash equivalents, and the cash runway period provided by the sources of financing to fund planned operating expenses and capital expenditure requirements beyond 2026 including the commercial launch of ensifentrine in the US, if approved.</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ability to operate our business due to restrictions from our $400 million debt financing facility and any other existing or future indebtedness; our need for additional funding to complete development and commercialization of any future product candidates or development and commercialization of other formulations or target indications of ensifentrine, which may not be available and which may force us to delay, reduce or eliminate our product development programs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we may not be successful in developing ensifentrine in other formulations or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and conflicts such as the Russia-Ukraine conflict, which has and may continue to adversely impact our business. These and other important factors under the caption “Risk Factors” in our Annual Report on Form 10-K for the year ended December 31, 2023, as updated in our Quarterly Report on Form 10-Q for the quarter ended March 31, 2024, and</w:t>
      </w:r>
    </w:p>
    <w:p>
      <w:pPr>
        <w:sectPr>
          <w:pgSz w:w="11900" w:h="16838" w:orient="portrait"/>
          <w:cols w:equalWidth="0" w:num="1">
            <w:col w:w="11240"/>
          </w:cols>
          <w:pgMar w:left="320" w:top="1414" w:right="339" w:bottom="1440"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20"/>
          <w:szCs w:val="20"/>
          <w:color w:val="auto"/>
        </w:rPr>
        <w:t>our other reports filed with the SEC, could cause actual results to differ materially from those indicated by the forward-looking statements made in this press release. Although management believes that the expectations reflected in the forward-looking statements are reasonable, it cannot guarantee future results, levels of activity, performance or achievements.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except as required by law. These forward-looking statements should not be relied upon as representing our views as of any date subsequent to the date of this press release.</w:t>
      </w:r>
    </w:p>
    <w:p>
      <w:pPr>
        <w:sectPr>
          <w:pgSz w:w="11900" w:h="16838" w:orient="portrait"/>
          <w:cols w:equalWidth="0" w:num="1">
            <w:col w:w="11240"/>
          </w:cols>
          <w:pgMar w:left="320" w:top="141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7340" w:type="dxa"/>
            <w:vAlign w:val="bottom"/>
            <w:tcBorders>
              <w:top w:val="single" w:sz="8" w:color="auto"/>
              <w:lef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540" w:type="dxa"/>
            <w:vAlign w:val="bottom"/>
            <w:tcBorders>
              <w:top w:val="single" w:sz="8" w:color="auto"/>
              <w:right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65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40" w:type="dxa"/>
            <w:vAlign w:val="bottom"/>
            <w:tcBorders>
              <w:lef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6,764</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12,610</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20,434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9,589</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27,198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22,199</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loss</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(27,198)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(22,199)</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Other income/(expense)</w:t>
            </w: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 tax credit</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3,378</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(1,586)</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Foreign exchange (loss)/gain</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(219)</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other income, net</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2,158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5,629</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(25,040)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(16,570)</w:t>
            </w:r>
          </w:p>
        </w:tc>
        <w:tc>
          <w:tcPr>
            <w:tcW w:w="0" w:type="dxa"/>
            <w:vAlign w:val="bottom"/>
          </w:tcPr>
          <w:p>
            <w:pPr>
              <w:spacing w:after="0"/>
              <w:rPr>
                <w:sz w:val="1"/>
                <w:szCs w:val="1"/>
                <w:color w:val="auto"/>
              </w:rPr>
            </w:pPr>
          </w:p>
        </w:tc>
      </w:tr>
      <w:tr>
        <w:trPr>
          <w:trHeight w:val="249"/>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Income tax expense</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(754)</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(25,794)</w:t>
            </w:r>
          </w:p>
        </w:tc>
        <w:tc>
          <w:tcPr>
            <w:tcW w:w="3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(16,743)</w:t>
            </w:r>
          </w:p>
        </w:tc>
        <w:tc>
          <w:tcPr>
            <w:tcW w:w="0" w:type="dxa"/>
            <w:vAlign w:val="bottom"/>
          </w:tcPr>
          <w:p>
            <w:pPr>
              <w:spacing w:after="0"/>
              <w:rPr>
                <w:sz w:val="1"/>
                <w:szCs w:val="1"/>
                <w:color w:val="auto"/>
              </w:rPr>
            </w:pPr>
          </w:p>
        </w:tc>
      </w:tr>
      <w:tr>
        <w:trPr>
          <w:trHeight w:val="20"/>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Weighted average shares outstanding – basic and diluted</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645,701,197</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621,450,900</w:t>
            </w:r>
          </w:p>
        </w:tc>
        <w:tc>
          <w:tcPr>
            <w:tcW w:w="0" w:type="dxa"/>
            <w:vAlign w:val="bottom"/>
          </w:tcPr>
          <w:p>
            <w:pPr>
              <w:spacing w:after="0"/>
              <w:rPr>
                <w:sz w:val="1"/>
                <w:szCs w:val="1"/>
                <w:color w:val="auto"/>
              </w:rPr>
            </w:pPr>
          </w:p>
        </w:tc>
      </w:tr>
      <w:tr>
        <w:trPr>
          <w:trHeight w:val="520"/>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per ordinary share - basic and diluted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300" w:type="dxa"/>
            <w:vAlign w:val="bottom"/>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34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Arial" w:cs="Arial" w:eastAsia="Arial" w:hAnsi="Arial"/>
                <w:sz w:val="16"/>
                <w:szCs w:val="16"/>
                <w:color w:val="auto"/>
              </w:rPr>
              <w:t>Mar-31</w:t>
            </w:r>
          </w:p>
        </w:tc>
        <w:tc>
          <w:tcPr>
            <w:tcW w:w="360" w:type="dxa"/>
            <w:vAlign w:val="bottom"/>
          </w:tcPr>
          <w:p>
            <w:pPr>
              <w:spacing w:after="0"/>
              <w:rPr>
                <w:sz w:val="24"/>
                <w:szCs w:val="24"/>
                <w:color w:val="auto"/>
              </w:rPr>
            </w:pPr>
          </w:p>
        </w:tc>
        <w:tc>
          <w:tcPr>
            <w:tcW w:w="1460" w:type="dxa"/>
            <w:vAlign w:val="bottom"/>
            <w:tcBorders>
              <w:right w:val="single" w:sz="8" w:color="auto"/>
            </w:tcBorders>
          </w:tcPr>
          <w:p>
            <w:pPr>
              <w:jc w:val="right"/>
              <w:ind w:right="579"/>
              <w:spacing w:after="0"/>
              <w:rPr>
                <w:sz w:val="20"/>
                <w:szCs w:val="20"/>
                <w:color w:val="auto"/>
              </w:rPr>
            </w:pPr>
            <w:r>
              <w:rPr>
                <w:rFonts w:ascii="Arial" w:cs="Arial" w:eastAsia="Arial" w:hAnsi="Arial"/>
                <w:sz w:val="16"/>
                <w:szCs w:val="16"/>
                <w:color w:val="auto"/>
              </w:rPr>
              <w:t>Mar-31</w:t>
            </w:r>
          </w:p>
        </w:tc>
        <w:tc>
          <w:tcPr>
            <w:tcW w:w="0" w:type="dxa"/>
            <w:vAlign w:val="bottom"/>
          </w:tcPr>
          <w:p>
            <w:pPr>
              <w:spacing w:after="0"/>
              <w:rPr>
                <w:sz w:val="1"/>
                <w:szCs w:val="1"/>
                <w:color w:val="auto"/>
              </w:rPr>
            </w:pPr>
          </w:p>
        </w:tc>
      </w:tr>
      <w:tr>
        <w:trPr>
          <w:trHeight w:val="230"/>
        </w:trPr>
        <w:tc>
          <w:tcPr>
            <w:tcW w:w="734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Borders>
              <w:right w:val="single" w:sz="8" w:color="auto"/>
            </w:tcBorders>
          </w:tcPr>
          <w:p>
            <w:pPr>
              <w:jc w:val="right"/>
              <w:ind w:right="65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254,882</w:t>
            </w:r>
          </w:p>
        </w:tc>
        <w:tc>
          <w:tcPr>
            <w:tcW w:w="3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291,415</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289,912</w:t>
            </w:r>
          </w:p>
        </w:tc>
        <w:tc>
          <w:tcPr>
            <w:tcW w:w="30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323,146</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Shareholders’ equity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224,988</w:t>
            </w:r>
          </w:p>
        </w:tc>
        <w:tc>
          <w:tcPr>
            <w:tcW w:w="30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276,749</w:t>
            </w:r>
          </w:p>
        </w:tc>
        <w:tc>
          <w:tcPr>
            <w:tcW w:w="0" w:type="dxa"/>
            <w:vAlign w:val="bottom"/>
          </w:tcPr>
          <w:p>
            <w:pPr>
              <w:spacing w:after="0"/>
              <w:rPr>
                <w:sz w:val="1"/>
                <w:szCs w:val="1"/>
                <w:color w:val="auto"/>
              </w:rPr>
            </w:pPr>
          </w:p>
        </w:tc>
      </w:tr>
      <w:tr>
        <w:trPr>
          <w:trHeight w:val="690"/>
        </w:trPr>
        <w:tc>
          <w:tcPr>
            <w:tcW w:w="73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2024-05-09T06:31:05Z</dcterms:created>
  <dcterms:modified xsi:type="dcterms:W3CDTF">2024-05-09T06:31:05Z</dcterms:modified>
</cp:coreProperties>
</file>