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2,443,039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360,400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2,082,639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360,400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 (unless otherwise indicated),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30, 2021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2,040,000 Ordinary Shares underlying Restricted Share Units, each of which represents a contingent right to receive one (1) Ordinary Share of the Issuer (which may be represented by 255,000 ADSs); (ii) 42,632 Ordinary Shares underlying 5,329 ADSs; and (iii) 7 Ordinary Shares.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08/03/2021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2021-08-03T21:08:15Z</dcterms:created>
  <dcterms:modified xsi:type="dcterms:W3CDTF">2021-08-03T21:08:15Z</dcterms:modified>
</cp:coreProperties>
</file>