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20, 2020</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VERONA PHARMA PLC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4380" w:type="dxa"/>
            <w:vAlign w:val="bottom"/>
          </w:tcPr>
          <w:p>
            <w:pPr>
              <w:jc w:val="center"/>
              <w:ind w:right="1370"/>
              <w:spacing w:after="0"/>
              <w:rPr>
                <w:sz w:val="20"/>
                <w:szCs w:val="20"/>
                <w:color w:val="auto"/>
              </w:rPr>
            </w:pPr>
            <w:r>
              <w:rPr>
                <w:rFonts w:ascii="Arial" w:cs="Arial" w:eastAsia="Arial" w:hAnsi="Arial"/>
                <w:sz w:val="18"/>
                <w:szCs w:val="18"/>
                <w:b w:val="1"/>
                <w:bCs w:val="1"/>
                <w:color w:val="auto"/>
                <w:w w:val="92"/>
              </w:rPr>
              <w:t>United Kingdom</w:t>
            </w:r>
          </w:p>
        </w:tc>
        <w:tc>
          <w:tcPr>
            <w:tcW w:w="3980" w:type="dxa"/>
            <w:vAlign w:val="bottom"/>
          </w:tcPr>
          <w:p>
            <w:pPr>
              <w:jc w:val="center"/>
              <w:ind w:left="1410"/>
              <w:spacing w:after="0"/>
              <w:rPr>
                <w:sz w:val="20"/>
                <w:szCs w:val="20"/>
                <w:color w:val="auto"/>
              </w:rPr>
            </w:pPr>
            <w:r>
              <w:rPr>
                <w:rFonts w:ascii="Arial" w:cs="Arial" w:eastAsia="Arial" w:hAnsi="Arial"/>
                <w:sz w:val="18"/>
                <w:szCs w:val="18"/>
                <w:b w:val="1"/>
                <w:bCs w:val="1"/>
                <w:color w:val="auto"/>
                <w:w w:val="92"/>
              </w:rPr>
              <w:t>Not Applicable</w:t>
            </w:r>
          </w:p>
        </w:tc>
      </w:tr>
      <w:tr>
        <w:trPr>
          <w:trHeight w:val="432"/>
        </w:trPr>
        <w:tc>
          <w:tcPr>
            <w:tcW w:w="4380" w:type="dxa"/>
            <w:vAlign w:val="bottom"/>
          </w:tcPr>
          <w:p>
            <w:pPr>
              <w:jc w:val="center"/>
              <w:ind w:right="1390"/>
              <w:spacing w:after="0"/>
              <w:rPr>
                <w:sz w:val="20"/>
                <w:szCs w:val="20"/>
                <w:color w:val="auto"/>
              </w:rPr>
            </w:pPr>
            <w:r>
              <w:rPr>
                <w:rFonts w:ascii="Arial" w:cs="Arial" w:eastAsia="Arial" w:hAnsi="Arial"/>
                <w:sz w:val="18"/>
                <w:szCs w:val="18"/>
                <w:color w:val="auto"/>
                <w:w w:val="92"/>
              </w:rPr>
              <w:t>(State or other jurisdiction</w:t>
            </w:r>
          </w:p>
        </w:tc>
        <w:tc>
          <w:tcPr>
            <w:tcW w:w="3980" w:type="dxa"/>
            <w:vAlign w:val="bottom"/>
          </w:tcPr>
          <w:p>
            <w:pPr>
              <w:jc w:val="center"/>
              <w:ind w:left="1410"/>
              <w:spacing w:after="0"/>
              <w:rPr>
                <w:sz w:val="20"/>
                <w:szCs w:val="20"/>
                <w:color w:val="auto"/>
              </w:rPr>
            </w:pPr>
            <w:r>
              <w:rPr>
                <w:rFonts w:ascii="Arial" w:cs="Arial" w:eastAsia="Arial" w:hAnsi="Arial"/>
                <w:sz w:val="18"/>
                <w:szCs w:val="18"/>
                <w:color w:val="auto"/>
                <w:w w:val="94"/>
              </w:rPr>
              <w:t>(IRS Employer Identification No.)</w:t>
            </w:r>
          </w:p>
        </w:tc>
      </w:tr>
      <w:tr>
        <w:trPr>
          <w:trHeight w:val="432"/>
        </w:trPr>
        <w:tc>
          <w:tcPr>
            <w:tcW w:w="4380" w:type="dxa"/>
            <w:vAlign w:val="bottom"/>
          </w:tcPr>
          <w:p>
            <w:pPr>
              <w:jc w:val="center"/>
              <w:ind w:right="1370"/>
              <w:spacing w:after="0"/>
              <w:rPr>
                <w:sz w:val="20"/>
                <w:szCs w:val="20"/>
                <w:color w:val="auto"/>
              </w:rPr>
            </w:pPr>
            <w:r>
              <w:rPr>
                <w:rFonts w:ascii="Arial" w:cs="Arial" w:eastAsia="Arial" w:hAnsi="Arial"/>
                <w:sz w:val="18"/>
                <w:szCs w:val="18"/>
                <w:color w:val="auto"/>
                <w:w w:val="92"/>
              </w:rPr>
              <w:t>of incorporation or organization)</w:t>
            </w:r>
          </w:p>
        </w:tc>
        <w:tc>
          <w:tcPr>
            <w:tcW w:w="3980" w:type="dxa"/>
            <w:vAlign w:val="bottom"/>
          </w:tcPr>
          <w:p>
            <w:pPr>
              <w:spacing w:after="0"/>
              <w:rPr>
                <w:sz w:val="24"/>
                <w:szCs w:val="24"/>
                <w:color w:val="auto"/>
              </w:rPr>
            </w:pPr>
          </w:p>
        </w:tc>
      </w:tr>
      <w:tr>
        <w:trPr>
          <w:trHeight w:val="630"/>
        </w:trPr>
        <w:tc>
          <w:tcPr>
            <w:tcW w:w="438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3 More London Riverside</w:t>
            </w:r>
          </w:p>
        </w:tc>
        <w:tc>
          <w:tcPr>
            <w:tcW w:w="3980" w:type="dxa"/>
            <w:vAlign w:val="bottom"/>
          </w:tcPr>
          <w:p>
            <w:pPr>
              <w:spacing w:after="0"/>
              <w:rPr>
                <w:sz w:val="24"/>
                <w:szCs w:val="24"/>
                <w:color w:val="auto"/>
              </w:rPr>
            </w:pPr>
          </w:p>
        </w:tc>
      </w:tr>
      <w:tr>
        <w:trPr>
          <w:trHeight w:val="216"/>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4"/>
              </w:rPr>
              <w:t>London SE1 2RE UK</w:t>
            </w:r>
          </w:p>
        </w:tc>
        <w:tc>
          <w:tcPr>
            <w:tcW w:w="3980" w:type="dxa"/>
            <w:vAlign w:val="bottom"/>
          </w:tcPr>
          <w:p>
            <w:pPr>
              <w:spacing w:after="0"/>
              <w:rPr>
                <w:sz w:val="18"/>
                <w:szCs w:val="18"/>
                <w:color w:val="auto"/>
              </w:rPr>
            </w:pPr>
          </w:p>
        </w:tc>
      </w:tr>
      <w:tr>
        <w:trPr>
          <w:trHeight w:val="234"/>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Tel: +44 203 283 4200</w:t>
            </w:r>
          </w:p>
        </w:tc>
        <w:tc>
          <w:tcPr>
            <w:tcW w:w="3980" w:type="dxa"/>
            <w:vAlign w:val="bottom"/>
          </w:tcPr>
          <w:p>
            <w:pPr>
              <w:jc w:val="center"/>
              <w:ind w:left="1450"/>
              <w:spacing w:after="0"/>
              <w:rPr>
                <w:sz w:val="20"/>
                <w:szCs w:val="20"/>
                <w:color w:val="auto"/>
              </w:rPr>
            </w:pPr>
            <w:r>
              <w:rPr>
                <w:rFonts w:ascii="Arial" w:cs="Arial" w:eastAsia="Arial" w:hAnsi="Arial"/>
                <w:sz w:val="18"/>
                <w:szCs w:val="18"/>
                <w:b w:val="1"/>
                <w:bCs w:val="1"/>
                <w:color w:val="auto"/>
                <w:w w:val="92"/>
              </w:rPr>
              <w:t>Not Applicable</w:t>
            </w:r>
          </w:p>
        </w:tc>
      </w:tr>
      <w:tr>
        <w:trPr>
          <w:trHeight w:val="432"/>
        </w:trPr>
        <w:tc>
          <w:tcPr>
            <w:tcW w:w="438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3980" w:type="dxa"/>
            <w:vAlign w:val="bottom"/>
          </w:tcPr>
          <w:p>
            <w:pPr>
              <w:jc w:val="center"/>
              <w:ind w:left="1450"/>
              <w:spacing w:after="0"/>
              <w:rPr>
                <w:sz w:val="20"/>
                <w:szCs w:val="20"/>
                <w:color w:val="auto"/>
              </w:rPr>
            </w:pPr>
            <w:r>
              <w:rPr>
                <w:rFonts w:ascii="Arial" w:cs="Arial" w:eastAsia="Arial" w:hAnsi="Arial"/>
                <w:sz w:val="18"/>
                <w:szCs w:val="18"/>
                <w:color w:val="auto"/>
                <w:w w:val="93"/>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Verona Pharma plc 2017 Incentive Award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E.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7" w:lineRule="exact"/>
        <w:rPr>
          <w:sz w:val="24"/>
          <w:szCs w:val="24"/>
          <w:color w:val="auto"/>
        </w:rPr>
      </w:pPr>
    </w:p>
    <w:tbl>
      <w:tblPr>
        <w:tblLayout w:type="fixed"/>
        <w:tblInd w:w="202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4940" w:type="dxa"/>
            <w:vAlign w:val="bottom"/>
          </w:tcPr>
          <w:p>
            <w:pPr>
              <w:ind w:left="740"/>
              <w:spacing w:after="0"/>
              <w:rPr>
                <w:sz w:val="20"/>
                <w:szCs w:val="20"/>
                <w:color w:val="auto"/>
              </w:rPr>
            </w:pPr>
            <w:r>
              <w:rPr>
                <w:rFonts w:ascii="Arial" w:cs="Arial" w:eastAsia="Arial" w:hAnsi="Arial"/>
                <w:sz w:val="18"/>
                <w:szCs w:val="18"/>
                <w:b w:val="1"/>
                <w:bCs w:val="1"/>
                <w:color w:val="auto"/>
              </w:rPr>
              <w:t>Copies to:</w:t>
            </w:r>
          </w:p>
        </w:tc>
      </w:tr>
      <w:tr>
        <w:trPr>
          <w:trHeight w:val="418"/>
        </w:trPr>
        <w:tc>
          <w:tcPr>
            <w:tcW w:w="2480" w:type="dxa"/>
            <w:vAlign w:val="bottom"/>
          </w:tcPr>
          <w:p>
            <w:pPr>
              <w:jc w:val="center"/>
              <w:ind w:right="730"/>
              <w:spacing w:after="0"/>
              <w:rPr>
                <w:sz w:val="20"/>
                <w:szCs w:val="20"/>
                <w:color w:val="auto"/>
              </w:rPr>
            </w:pPr>
            <w:r>
              <w:rPr>
                <w:rFonts w:ascii="Arial" w:cs="Arial" w:eastAsia="Arial" w:hAnsi="Arial"/>
                <w:sz w:val="18"/>
                <w:szCs w:val="18"/>
                <w:b w:val="1"/>
                <w:bCs w:val="1"/>
                <w:color w:val="auto"/>
                <w:w w:val="92"/>
              </w:rPr>
              <w:t>Peter N. Handrinos</w:t>
            </w:r>
          </w:p>
        </w:tc>
        <w:tc>
          <w:tcPr>
            <w:tcW w:w="4940" w:type="dxa"/>
            <w:vAlign w:val="bottom"/>
          </w:tcPr>
          <w:p>
            <w:pPr>
              <w:jc w:val="center"/>
              <w:ind w:left="3070"/>
              <w:spacing w:after="0"/>
              <w:rPr>
                <w:sz w:val="20"/>
                <w:szCs w:val="20"/>
                <w:color w:val="auto"/>
              </w:rPr>
            </w:pPr>
            <w:r>
              <w:rPr>
                <w:rFonts w:ascii="Arial" w:cs="Arial" w:eastAsia="Arial" w:hAnsi="Arial"/>
                <w:sz w:val="18"/>
                <w:szCs w:val="18"/>
                <w:b w:val="1"/>
                <w:bCs w:val="1"/>
                <w:color w:val="auto"/>
                <w:w w:val="86"/>
              </w:rPr>
              <w:t>James Inness</w:t>
            </w:r>
          </w:p>
        </w:tc>
      </w:tr>
      <w:tr>
        <w:trPr>
          <w:trHeight w:val="216"/>
        </w:trPr>
        <w:tc>
          <w:tcPr>
            <w:tcW w:w="2480" w:type="dxa"/>
            <w:vAlign w:val="bottom"/>
          </w:tcPr>
          <w:p>
            <w:pPr>
              <w:jc w:val="center"/>
              <w:ind w:right="670"/>
              <w:spacing w:after="0"/>
              <w:rPr>
                <w:sz w:val="20"/>
                <w:szCs w:val="20"/>
                <w:color w:val="auto"/>
              </w:rPr>
            </w:pPr>
            <w:r>
              <w:rPr>
                <w:rFonts w:ascii="Arial" w:cs="Arial" w:eastAsia="Arial" w:hAnsi="Arial"/>
                <w:sz w:val="18"/>
                <w:szCs w:val="18"/>
                <w:color w:val="auto"/>
                <w:w w:val="93"/>
              </w:rPr>
              <w:t>Latham &amp; Watkins LLP</w:t>
            </w:r>
          </w:p>
        </w:tc>
        <w:tc>
          <w:tcPr>
            <w:tcW w:w="4940" w:type="dxa"/>
            <w:vAlign w:val="bottom"/>
          </w:tcPr>
          <w:p>
            <w:pPr>
              <w:jc w:val="center"/>
              <w:ind w:left="3130"/>
              <w:spacing w:after="0"/>
              <w:rPr>
                <w:sz w:val="20"/>
                <w:szCs w:val="20"/>
                <w:color w:val="auto"/>
              </w:rPr>
            </w:pPr>
            <w:r>
              <w:rPr>
                <w:rFonts w:ascii="Arial" w:cs="Arial" w:eastAsia="Arial" w:hAnsi="Arial"/>
                <w:sz w:val="18"/>
                <w:szCs w:val="18"/>
                <w:color w:val="auto"/>
                <w:w w:val="93"/>
              </w:rPr>
              <w:t>Latham &amp; Watkins LLP</w:t>
            </w:r>
          </w:p>
        </w:tc>
      </w:tr>
      <w:tr>
        <w:trPr>
          <w:trHeight w:val="216"/>
        </w:trPr>
        <w:tc>
          <w:tcPr>
            <w:tcW w:w="2480" w:type="dxa"/>
            <w:vAlign w:val="bottom"/>
          </w:tcPr>
          <w:p>
            <w:pPr>
              <w:jc w:val="center"/>
              <w:ind w:right="710"/>
              <w:spacing w:after="0"/>
              <w:rPr>
                <w:sz w:val="20"/>
                <w:szCs w:val="20"/>
                <w:color w:val="auto"/>
              </w:rPr>
            </w:pPr>
            <w:r>
              <w:rPr>
                <w:rFonts w:ascii="Arial" w:cs="Arial" w:eastAsia="Arial" w:hAnsi="Arial"/>
                <w:sz w:val="18"/>
                <w:szCs w:val="18"/>
                <w:color w:val="auto"/>
                <w:w w:val="88"/>
              </w:rPr>
              <w:t>200 Clarendon Street</w:t>
            </w:r>
          </w:p>
        </w:tc>
        <w:tc>
          <w:tcPr>
            <w:tcW w:w="4940" w:type="dxa"/>
            <w:vAlign w:val="bottom"/>
          </w:tcPr>
          <w:p>
            <w:pPr>
              <w:jc w:val="center"/>
              <w:ind w:left="3070"/>
              <w:spacing w:after="0"/>
              <w:rPr>
                <w:sz w:val="20"/>
                <w:szCs w:val="20"/>
                <w:color w:val="auto"/>
              </w:rPr>
            </w:pPr>
            <w:r>
              <w:rPr>
                <w:rFonts w:ascii="Arial" w:cs="Arial" w:eastAsia="Arial" w:hAnsi="Arial"/>
                <w:sz w:val="18"/>
                <w:szCs w:val="18"/>
                <w:color w:val="auto"/>
                <w:w w:val="88"/>
              </w:rPr>
              <w:t>99 Bishopsgate</w:t>
            </w:r>
          </w:p>
        </w:tc>
      </w:tr>
      <w:tr>
        <w:trPr>
          <w:trHeight w:val="216"/>
        </w:trPr>
        <w:tc>
          <w:tcPr>
            <w:tcW w:w="2480" w:type="dxa"/>
            <w:vAlign w:val="bottom"/>
          </w:tcPr>
          <w:p>
            <w:pPr>
              <w:jc w:val="center"/>
              <w:ind w:right="730"/>
              <w:spacing w:after="0"/>
              <w:rPr>
                <w:sz w:val="20"/>
                <w:szCs w:val="20"/>
                <w:color w:val="auto"/>
              </w:rPr>
            </w:pPr>
            <w:r>
              <w:rPr>
                <w:rFonts w:ascii="Arial" w:cs="Arial" w:eastAsia="Arial" w:hAnsi="Arial"/>
                <w:sz w:val="18"/>
                <w:szCs w:val="18"/>
                <w:color w:val="auto"/>
                <w:w w:val="93"/>
              </w:rPr>
              <w:t>Boston, MA 02116</w:t>
            </w:r>
          </w:p>
        </w:tc>
        <w:tc>
          <w:tcPr>
            <w:tcW w:w="4940" w:type="dxa"/>
            <w:vAlign w:val="bottom"/>
          </w:tcPr>
          <w:p>
            <w:pPr>
              <w:jc w:val="center"/>
              <w:ind w:left="3070"/>
              <w:spacing w:after="0"/>
              <w:rPr>
                <w:sz w:val="20"/>
                <w:szCs w:val="20"/>
                <w:color w:val="auto"/>
              </w:rPr>
            </w:pPr>
            <w:r>
              <w:rPr>
                <w:rFonts w:ascii="Arial" w:cs="Arial" w:eastAsia="Arial" w:hAnsi="Arial"/>
                <w:sz w:val="18"/>
                <w:szCs w:val="18"/>
                <w:color w:val="auto"/>
                <w:w w:val="95"/>
              </w:rPr>
              <w:t>London EC2M 3XF</w:t>
            </w:r>
          </w:p>
        </w:tc>
      </w:tr>
      <w:tr>
        <w:trPr>
          <w:trHeight w:val="216"/>
        </w:trPr>
        <w:tc>
          <w:tcPr>
            <w:tcW w:w="2480" w:type="dxa"/>
            <w:vAlign w:val="bottom"/>
          </w:tcPr>
          <w:p>
            <w:pPr>
              <w:jc w:val="center"/>
              <w:ind w:right="710"/>
              <w:spacing w:after="0"/>
              <w:rPr>
                <w:sz w:val="20"/>
                <w:szCs w:val="20"/>
                <w:color w:val="auto"/>
              </w:rPr>
            </w:pPr>
            <w:r>
              <w:rPr>
                <w:rFonts w:ascii="Arial" w:cs="Arial" w:eastAsia="Arial" w:hAnsi="Arial"/>
                <w:sz w:val="18"/>
                <w:szCs w:val="18"/>
                <w:color w:val="auto"/>
                <w:w w:val="90"/>
              </w:rPr>
              <w:t>(617) 948-6000</w:t>
            </w:r>
          </w:p>
        </w:tc>
        <w:tc>
          <w:tcPr>
            <w:tcW w:w="4940" w:type="dxa"/>
            <w:vAlign w:val="bottom"/>
          </w:tcPr>
          <w:p>
            <w:pPr>
              <w:jc w:val="center"/>
              <w:ind w:left="3070"/>
              <w:spacing w:after="0"/>
              <w:rPr>
                <w:sz w:val="20"/>
                <w:szCs w:val="20"/>
                <w:color w:val="auto"/>
              </w:rPr>
            </w:pPr>
            <w:r>
              <w:rPr>
                <w:rFonts w:ascii="Arial" w:cs="Arial" w:eastAsia="Arial" w:hAnsi="Arial"/>
                <w:sz w:val="18"/>
                <w:szCs w:val="18"/>
                <w:color w:val="auto"/>
                <w:w w:val="95"/>
              </w:rPr>
              <w:t>United Kingdom</w:t>
            </w:r>
          </w:p>
        </w:tc>
      </w:tr>
      <w:tr>
        <w:trPr>
          <w:trHeight w:val="230"/>
        </w:trPr>
        <w:tc>
          <w:tcPr>
            <w:tcW w:w="2480" w:type="dxa"/>
            <w:vAlign w:val="bottom"/>
          </w:tcPr>
          <w:p>
            <w:pPr>
              <w:spacing w:after="0"/>
              <w:rPr>
                <w:sz w:val="20"/>
                <w:szCs w:val="20"/>
                <w:color w:val="auto"/>
              </w:rPr>
            </w:pPr>
          </w:p>
        </w:tc>
        <w:tc>
          <w:tcPr>
            <w:tcW w:w="4940" w:type="dxa"/>
            <w:vAlign w:val="bottom"/>
          </w:tcPr>
          <w:p>
            <w:pPr>
              <w:jc w:val="center"/>
              <w:ind w:left="3030"/>
              <w:spacing w:after="0"/>
              <w:rPr>
                <w:sz w:val="20"/>
                <w:szCs w:val="20"/>
                <w:color w:val="auto"/>
              </w:rPr>
            </w:pPr>
            <w:r>
              <w:rPr>
                <w:rFonts w:ascii="Arial" w:cs="Arial" w:eastAsia="Arial" w:hAnsi="Arial"/>
                <w:sz w:val="18"/>
                <w:szCs w:val="18"/>
                <w:color w:val="auto"/>
                <w:w w:val="91"/>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0" w:gutter="0" w:footer="0" w:header="0"/>
        </w:sectPr>
      </w:pPr>
    </w:p>
    <w:p>
      <w:pPr>
        <w:spacing w:after="0" w:line="15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460"/>
          </w:cols>
          <w:pgMar w:left="320" w:top="472" w:right="339" w:bottom="0" w:gutter="0" w:footer="0" w:header="0"/>
          <w:type w:val="continuous"/>
        </w:sectPr>
      </w:pPr>
    </w:p>
    <w:p>
      <w:pPr>
        <w:spacing w:after="0" w:line="48"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460"/>
          </w:cols>
          <w:pgMar w:left="320" w:top="472" w:right="339" w:bottom="0" w:gutter="0" w:footer="0" w:header="0"/>
          <w:type w:val="continuous"/>
        </w:sectPr>
      </w:pPr>
    </w:p>
    <w:p>
      <w:pPr>
        <w:spacing w:after="0" w:line="48" w:lineRule="exact"/>
        <w:rPr>
          <w:sz w:val="24"/>
          <w:szCs w:val="24"/>
          <w:color w:val="auto"/>
        </w:rPr>
      </w:pPr>
    </w:p>
    <w:p>
      <w:pPr>
        <w:ind w:left="7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472" w:right="339" w:bottom="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Proposed</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Proposed</w:t>
            </w:r>
          </w:p>
        </w:tc>
        <w:tc>
          <w:tcPr>
            <w:tcW w:w="1460" w:type="dxa"/>
            <w:vAlign w:val="bottom"/>
          </w:tcPr>
          <w:p>
            <w:pPr>
              <w:spacing w:after="0"/>
              <w:rPr>
                <w:sz w:val="20"/>
                <w:szCs w:val="20"/>
                <w:color w:val="auto"/>
              </w:rPr>
            </w:pPr>
          </w:p>
        </w:tc>
      </w:tr>
      <w:tr>
        <w:trPr>
          <w:trHeight w:val="243"/>
        </w:trPr>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460" w:type="dxa"/>
            <w:vAlign w:val="bottom"/>
          </w:tcPr>
          <w:p>
            <w:pPr>
              <w:spacing w:after="0"/>
              <w:rPr>
                <w:sz w:val="21"/>
                <w:szCs w:val="21"/>
                <w:color w:val="auto"/>
              </w:rPr>
            </w:pPr>
          </w:p>
        </w:tc>
      </w:tr>
      <w:tr>
        <w:trPr>
          <w:trHeight w:val="243"/>
        </w:trPr>
        <w:tc>
          <w:tcPr>
            <w:tcW w:w="4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Title of Securities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to be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Offering Price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83"/>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be Registered</w:t>
            </w:r>
          </w:p>
        </w:tc>
        <w:tc>
          <w:tcPr>
            <w:tcW w:w="140" w:type="dxa"/>
            <w:vAlign w:val="bottom"/>
          </w:tcPr>
          <w:p>
            <w:pPr>
              <w:spacing w:after="0"/>
              <w:rPr>
                <w:sz w:val="24"/>
                <w:szCs w:val="24"/>
                <w:color w:val="auto"/>
              </w:rPr>
            </w:pPr>
          </w:p>
        </w:tc>
        <w:tc>
          <w:tcPr>
            <w:tcW w:w="2700" w:type="dxa"/>
            <w:vAlign w:val="bottom"/>
            <w:tcBorders>
              <w:bottom w:val="single" w:sz="8" w:color="auto"/>
            </w:tcBorders>
          </w:tcPr>
          <w:p>
            <w:pPr>
              <w:jc w:val="center"/>
              <w:spacing w:after="0" w:line="284" w:lineRule="exact"/>
              <w:rPr>
                <w:sz w:val="20"/>
                <w:szCs w:val="20"/>
                <w:color w:val="auto"/>
              </w:rPr>
            </w:pPr>
            <w:r>
              <w:rPr>
                <w:rFonts w:ascii="Arial" w:cs="Arial" w:eastAsia="Arial" w:hAnsi="Arial"/>
                <w:sz w:val="18"/>
                <w:szCs w:val="18"/>
                <w:b w:val="1"/>
                <w:bCs w:val="1"/>
                <w:color w:val="auto"/>
                <w:w w:val="85"/>
              </w:rPr>
              <w:t>Registered</w:t>
            </w:r>
            <w:r>
              <w:rPr>
                <w:rFonts w:ascii="Arial" w:cs="Arial" w:eastAsia="Arial" w:hAnsi="Arial"/>
                <w:sz w:val="29"/>
                <w:szCs w:val="29"/>
                <w:b w:val="1"/>
                <w:bCs w:val="1"/>
                <w:color w:val="auto"/>
                <w:w w:val="85"/>
                <w:vertAlign w:val="superscript"/>
              </w:rPr>
              <w:t>(1)</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w:t>
            </w:r>
            <w:r>
              <w:rPr>
                <w:rFonts w:ascii="Arial" w:cs="Arial" w:eastAsia="Arial" w:hAnsi="Arial"/>
                <w:sz w:val="18"/>
                <w:szCs w:val="18"/>
                <w:color w:val="auto"/>
                <w:w w:val="89"/>
              </w:rPr>
              <w:t>e</w:t>
            </w:r>
          </w:p>
        </w:tc>
      </w:tr>
      <w:tr>
        <w:trPr>
          <w:trHeight w:val="223"/>
        </w:trPr>
        <w:tc>
          <w:tcPr>
            <w:tcW w:w="40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Ordinary Shares, nominal value £0.05 per</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65,102,504</w:t>
            </w:r>
          </w:p>
        </w:tc>
        <w:tc>
          <w:tcPr>
            <w:tcW w:w="100" w:type="dxa"/>
            <w:vAlign w:val="bottom"/>
          </w:tcPr>
          <w:p>
            <w:pPr>
              <w:spacing w:after="0"/>
              <w:rPr>
                <w:sz w:val="19"/>
                <w:szCs w:val="19"/>
                <w:color w:val="auto"/>
              </w:rPr>
            </w:pPr>
          </w:p>
        </w:tc>
        <w:tc>
          <w:tcPr>
            <w:tcW w:w="1220" w:type="dxa"/>
            <w:vAlign w:val="bottom"/>
          </w:tcPr>
          <w:p>
            <w:pPr>
              <w:jc w:val="center"/>
              <w:spacing w:after="0" w:line="223" w:lineRule="exact"/>
              <w:rPr>
                <w:sz w:val="20"/>
                <w:szCs w:val="20"/>
                <w:color w:val="auto"/>
              </w:rPr>
            </w:pPr>
            <w:r>
              <w:rPr>
                <w:rFonts w:ascii="Arial" w:cs="Arial" w:eastAsia="Arial" w:hAnsi="Arial"/>
                <w:sz w:val="16"/>
                <w:szCs w:val="16"/>
                <w:color w:val="auto"/>
                <w:w w:val="95"/>
              </w:rPr>
              <w:t>$1.00</w:t>
            </w:r>
            <w:r>
              <w:rPr>
                <w:rFonts w:ascii="Arial" w:cs="Arial" w:eastAsia="Arial" w:hAnsi="Arial"/>
                <w:sz w:val="25"/>
                <w:szCs w:val="25"/>
                <w:color w:val="auto"/>
                <w:w w:val="95"/>
                <w:vertAlign w:val="superscript"/>
              </w:rPr>
              <w:t>(3)</w:t>
            </w:r>
          </w:p>
        </w:tc>
        <w:tc>
          <w:tcPr>
            <w:tcW w:w="120" w:type="dxa"/>
            <w:vAlign w:val="bottom"/>
          </w:tcPr>
          <w:p>
            <w:pPr>
              <w:spacing w:after="0"/>
              <w:rPr>
                <w:sz w:val="19"/>
                <w:szCs w:val="19"/>
                <w:color w:val="auto"/>
              </w:rPr>
            </w:pPr>
          </w:p>
        </w:tc>
        <w:tc>
          <w:tcPr>
            <w:tcW w:w="1460" w:type="dxa"/>
            <w:vAlign w:val="bottom"/>
          </w:tcPr>
          <w:p>
            <w:pPr>
              <w:jc w:val="center"/>
              <w:spacing w:after="0" w:line="223" w:lineRule="exact"/>
              <w:rPr>
                <w:sz w:val="20"/>
                <w:szCs w:val="20"/>
                <w:color w:val="auto"/>
              </w:rPr>
            </w:pPr>
            <w:r>
              <w:rPr>
                <w:rFonts w:ascii="Arial" w:cs="Arial" w:eastAsia="Arial" w:hAnsi="Arial"/>
                <w:sz w:val="16"/>
                <w:szCs w:val="16"/>
                <w:color w:val="auto"/>
                <w:w w:val="98"/>
              </w:rPr>
              <w:t>$65,102,504.00</w:t>
            </w:r>
            <w:r>
              <w:rPr>
                <w:rFonts w:ascii="Arial" w:cs="Arial" w:eastAsia="Arial" w:hAnsi="Arial"/>
                <w:sz w:val="25"/>
                <w:szCs w:val="25"/>
                <w:color w:val="auto"/>
                <w:w w:val="98"/>
                <w:vertAlign w:val="superscript"/>
              </w:rPr>
              <w:t>(3)</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$8,451</w:t>
            </w:r>
          </w:p>
        </w:tc>
      </w:tr>
      <w:tr>
        <w:trPr>
          <w:trHeight w:val="318"/>
        </w:trPr>
        <w:tc>
          <w:tcPr>
            <w:tcW w:w="4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84"/>
              </w:rPr>
              <w:t>share</w:t>
            </w:r>
          </w:p>
        </w:tc>
        <w:tc>
          <w:tcPr>
            <w:tcW w:w="2800" w:type="dxa"/>
            <w:vAlign w:val="bottom"/>
            <w:tcBorders>
              <w:bottom w:val="single" w:sz="8" w:color="auto"/>
            </w:tcBorders>
            <w:gridSpan w:val="2"/>
          </w:tcPr>
          <w:p>
            <w:pPr>
              <w:jc w:val="center"/>
              <w:ind w:right="120"/>
              <w:spacing w:after="0" w:line="296" w:lineRule="exact"/>
              <w:rPr>
                <w:sz w:val="20"/>
                <w:szCs w:val="20"/>
                <w:color w:val="auto"/>
              </w:rPr>
            </w:pPr>
            <w:r>
              <w:rPr>
                <w:rFonts w:ascii="Arial" w:cs="Arial" w:eastAsia="Arial" w:hAnsi="Arial"/>
                <w:sz w:val="18"/>
                <w:szCs w:val="18"/>
                <w:color w:val="auto"/>
                <w:w w:val="82"/>
              </w:rPr>
              <w:t>shares</w:t>
            </w:r>
            <w:r>
              <w:rPr>
                <w:rFonts w:ascii="Arial" w:cs="Arial" w:eastAsia="Arial" w:hAnsi="Arial"/>
                <w:sz w:val="29"/>
                <w:szCs w:val="29"/>
                <w:color w:val="auto"/>
                <w:w w:val="82"/>
                <w:vertAlign w:val="superscript"/>
              </w:rPr>
              <w:t>(2)</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34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and Rule 416(b) under the Securities Act of 1933, as amended (the “Securities Act”), this Registration Statement shall also cover an indeterminate number of additional ordinary shares, nominal value £0.05 per share (“Ordinary Shares”) of Verona Pharma plc (the “Registrant”), which may become issuable under the Verona Pharma plc 2017 Incentive Award Plan (the “2017 Plan”) by reason of any share split, share dividend, recapitalization or other similar transaction.</w:t>
      </w:r>
    </w:p>
    <w:p>
      <w:pPr>
        <w:spacing w:after="0" w:line="2"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65,102,504 Ordinary Shares that may become issuable under the 2017 Plan pursuant to its terms. These shares may be represented by the Registrant’s American Depositary Shares (“ADSs”), each of which represents eight Ordinary Shares. The Registrant’s ADSs issuable upon deposit of the Ordinary Shares registered hereby have been registered under a separate registration statement on Form F-6 (File No. 333-217353).</w:t>
      </w:r>
    </w:p>
    <w:p>
      <w:pPr>
        <w:spacing w:after="0" w:line="1" w:lineRule="exact"/>
        <w:rPr>
          <w:rFonts w:ascii="Arial" w:cs="Arial" w:eastAsia="Arial" w:hAnsi="Arial"/>
          <w:sz w:val="16"/>
          <w:szCs w:val="16"/>
          <w:color w:val="auto"/>
        </w:rPr>
      </w:pPr>
    </w:p>
    <w:p>
      <w:pPr>
        <w:jc w:val="both"/>
        <w:ind w:left="340" w:hanging="332"/>
        <w:spacing w:after="0" w:line="277"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Rules 457(c) and 457(h) under the Securities Act solely for the purpose of calculating the registration fee based on the average of the high and low prices of the Ordinary Shares of £0.76, as reported on AIM, a market of the London Stock Exchange, on August 13, 2020 and converted to $1.00 at the noon buying rate of the Federal Reserve Bank of New York of £1.00 to $1.3108 on August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Registration Statement on Form S-8 is being filed for the purpose of registering an additional 65,102,504 ordinary shares, nominal value £0.05 per share (“Ordinary Shares”) of Verona Pharma plc (the “Registrant”) that may become issuable under the Verona Pharma plc 2017 Incentive Award Plan, as it may be amended or restated from time to time (the “2017 Plan”). A Registration Statement of the Registrant on Form S-8 relating to the 2017 Plan is effective.</w:t>
      </w:r>
    </w:p>
    <w:p>
      <w:pPr>
        <w:spacing w:after="0" w:line="183" w:lineRule="exact"/>
        <w:rPr>
          <w:sz w:val="20"/>
          <w:szCs w:val="20"/>
          <w:color w:val="auto"/>
        </w:rPr>
      </w:pPr>
    </w:p>
    <w:p>
      <w:pPr>
        <w:ind w:left="3760" w:right="3220" w:hanging="496"/>
        <w:spacing w:after="0" w:line="282" w:lineRule="auto"/>
        <w:tabs>
          <w:tab w:leader="none" w:pos="340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BY REFERENCE OF CONTENTS OF REGISTRATION STATEMENT ON FORM S-8</w:t>
      </w:r>
    </w:p>
    <w:p>
      <w:pPr>
        <w:spacing w:after="0" w:line="166" w:lineRule="exact"/>
        <w:rPr>
          <w:sz w:val="20"/>
          <w:szCs w:val="20"/>
          <w:color w:val="auto"/>
        </w:rPr>
      </w:pPr>
    </w:p>
    <w:p>
      <w:pPr>
        <w:ind w:right="20" w:firstLine="48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Except as set forth below, the contents of the Registration Statements on Form S-8 (File Nos. </w:t>
      </w:r>
      <w:hyperlink r:id="rId20">
        <w:r>
          <w:rPr>
            <w:rFonts w:ascii="Arial" w:cs="Arial" w:eastAsia="Arial" w:hAnsi="Arial"/>
            <w:sz w:val="18"/>
            <w:szCs w:val="18"/>
            <w:u w:val="single" w:color="auto"/>
            <w:color w:val="0000EE"/>
          </w:rPr>
          <w:t>333-217521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
        <w:r>
          <w:rPr>
            <w:rFonts w:ascii="Arial" w:cs="Arial" w:eastAsia="Arial" w:hAnsi="Arial"/>
            <w:sz w:val="18"/>
            <w:szCs w:val="18"/>
            <w:u w:val="single" w:color="auto"/>
            <w:color w:val="0000EE"/>
          </w:rPr>
          <w:t>333-237926</w:t>
        </w:r>
      </w:hyperlink>
      <w:r>
        <w:rPr>
          <w:rFonts w:ascii="Arial" w:cs="Arial" w:eastAsia="Arial" w:hAnsi="Arial"/>
          <w:sz w:val="18"/>
          <w:szCs w:val="18"/>
          <w:color w:val="auto"/>
        </w:rPr>
        <w:t>) filed with the Securities and Exchange Commission, relating to the 2017 Plan, are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24"/>
                <w:szCs w:val="24"/>
                <w:color w:val="auto"/>
              </w:rPr>
            </w:pPr>
          </w:p>
        </w:tc>
        <w:tc>
          <w:tcPr>
            <w:tcW w:w="9820" w:type="dxa"/>
            <w:vAlign w:val="bottom"/>
            <w:gridSpan w:val="5"/>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1140" w:type="dxa"/>
            <w:vAlign w:val="bottom"/>
            <w:tcBorders>
              <w:top w:val="single" w:sz="8" w:color="auto"/>
            </w:tcBorders>
          </w:tcPr>
          <w:p>
            <w:pPr>
              <w:ind w:left="60"/>
              <w:spacing w:after="0" w:line="169" w:lineRule="exact"/>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3.1</w:t>
              </w:r>
            </w:hyperlink>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760" w:type="dxa"/>
            <w:vAlign w:val="bottom"/>
            <w:tcBorders>
              <w:top w:val="single" w:sz="8" w:color="auto"/>
              <w:bottom w:val="single" w:sz="8" w:color="0000EE"/>
            </w:tcBorders>
            <w:gridSpan w:val="3"/>
          </w:tcPr>
          <w:p>
            <w:pPr>
              <w:spacing w:after="0" w:line="169" w:lineRule="exact"/>
              <w:rPr>
                <w:rFonts w:ascii="Arial" w:cs="Arial" w:eastAsia="Arial" w:hAnsi="Arial"/>
                <w:sz w:val="18"/>
                <w:szCs w:val="18"/>
                <w:color w:val="0000EE"/>
                <w:w w:val="97"/>
              </w:rPr>
            </w:pPr>
            <w:hyperlink r:id="rId22">
              <w:r>
                <w:rPr>
                  <w:rFonts w:ascii="Arial" w:cs="Arial" w:eastAsia="Arial" w:hAnsi="Arial"/>
                  <w:sz w:val="18"/>
                  <w:szCs w:val="18"/>
                  <w:color w:val="0000EE"/>
                  <w:w w:val="97"/>
                </w:rPr>
                <w:t>Articles of Association of the Registrant, as amended and as currently in effect (incorporated by reference to Exhibit 3.1 to the</w:t>
              </w:r>
            </w:hyperlink>
          </w:p>
        </w:tc>
        <w:tc>
          <w:tcPr>
            <w:tcW w:w="60" w:type="dxa"/>
            <w:vAlign w:val="bottom"/>
            <w:tcBorders>
              <w:top w:val="single" w:sz="8" w:color="auto"/>
            </w:tcBorders>
            <w:gridSpan w:val="2"/>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9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Registrant’s Registration Statement on Form F-1 (Reg. No. 333-217124) filed on April 3, 2017).</w:t>
              </w:r>
            </w:hyperlink>
          </w:p>
        </w:tc>
        <w:tc>
          <w:tcPr>
            <w:tcW w:w="2880" w:type="dxa"/>
            <w:vAlign w:val="bottom"/>
            <w:gridSpan w:val="3"/>
          </w:tcPr>
          <w:p>
            <w:pPr>
              <w:spacing w:after="0"/>
              <w:rPr>
                <w:sz w:val="17"/>
                <w:szCs w:val="17"/>
                <w:color w:val="auto"/>
              </w:rPr>
            </w:pPr>
          </w:p>
        </w:tc>
      </w:tr>
      <w:tr>
        <w:trPr>
          <w:trHeight w:val="453"/>
        </w:trPr>
        <w:tc>
          <w:tcPr>
            <w:tcW w:w="114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5.1+</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Opinion of Latham &amp; Watkins LLP, counsel of the Registrant.</w:t>
              </w:r>
            </w:hyperlink>
          </w:p>
        </w:tc>
      </w:tr>
      <w:tr>
        <w:trPr>
          <w:trHeight w:val="432"/>
        </w:trPr>
        <w:tc>
          <w:tcPr>
            <w:tcW w:w="1140" w:type="dxa"/>
            <w:vAlign w:val="bottom"/>
          </w:tcPr>
          <w:p>
            <w:pPr>
              <w:ind w:left="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23.1+</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Consent of PricewaterhouseCoopers LLP, independent registered public accounting firm.</w:t>
              </w:r>
            </w:hyperlink>
          </w:p>
        </w:tc>
      </w:tr>
      <w:tr>
        <w:trPr>
          <w:trHeight w:val="432"/>
        </w:trPr>
        <w:tc>
          <w:tcPr>
            <w:tcW w:w="114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23.2 +</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Latham &amp; Watkins LLP, counsel of the Registrant (included in Exhibit 5.1).</w:t>
              </w:r>
            </w:hyperlink>
          </w:p>
        </w:tc>
      </w:tr>
      <w:tr>
        <w:trPr>
          <w:trHeight w:val="432"/>
        </w:trPr>
        <w:tc>
          <w:tcPr>
            <w:tcW w:w="114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24.1+</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Power of Attorney (included on signature page).</w:t>
              </w:r>
            </w:hyperlink>
          </w:p>
        </w:tc>
      </w:tr>
      <w:tr>
        <w:trPr>
          <w:trHeight w:val="391"/>
        </w:trPr>
        <w:tc>
          <w:tcPr>
            <w:tcW w:w="1140" w:type="dxa"/>
            <w:vAlign w:val="bottom"/>
          </w:tcPr>
          <w:p>
            <w:pPr>
              <w:ind w:left="60"/>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99.1</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80" w:type="dxa"/>
            <w:vAlign w:val="bottom"/>
            <w:tcBorders>
              <w:bottom w:val="single" w:sz="8" w:color="0000EE"/>
            </w:tcBorders>
            <w:gridSpan w:val="4"/>
          </w:tcPr>
          <w:p>
            <w:pPr>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Verona Pharma plc 2017 Incentive Award Plan, as it may be amended or restated from time to time, and forms of award agreements</w:t>
              </w:r>
            </w:hyperlink>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3">
              <w:r>
                <w:rPr>
                  <w:rFonts w:ascii="Arial" w:cs="Arial" w:eastAsia="Arial" w:hAnsi="Arial"/>
                  <w:sz w:val="18"/>
                  <w:szCs w:val="18"/>
                  <w:color w:val="0000EE"/>
                  <w:w w:val="92"/>
                </w:rPr>
                <w:t>thereunder (incorporated by reference to Exhibit 99.1 to the Registrant’s Registration Statement on Form S-8 (Reg. No. 333-237926)</w:t>
              </w:r>
            </w:hyperlink>
          </w:p>
        </w:tc>
        <w:tc>
          <w:tcPr>
            <w:tcW w:w="6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23">
              <w:r>
                <w:rPr>
                  <w:rFonts w:ascii="Arial" w:cs="Arial" w:eastAsia="Arial" w:hAnsi="Arial"/>
                  <w:sz w:val="18"/>
                  <w:szCs w:val="18"/>
                  <w:color w:val="0000EE"/>
                  <w:w w:val="93"/>
                </w:rPr>
                <w:t>filed on April 30, 2020).</w:t>
              </w:r>
            </w:hyperlink>
          </w:p>
        </w:tc>
        <w:tc>
          <w:tcPr>
            <w:tcW w:w="8060" w:type="dxa"/>
            <w:vAlign w:val="bottom"/>
            <w:gridSpan w:val="4"/>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this 20th day of August, 2020.</w:t>
      </w:r>
    </w:p>
    <w:p>
      <w:pPr>
        <w:spacing w:after="0" w:line="180"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David Zaccardelli</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Mark W. Hahn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undersigned officers and directors of Verona Pharma plc, hereby severally constitute and appoint David Zaccardelli and Mark W. Hahn,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338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46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tcPr>
          <w:p>
            <w:pPr>
              <w:spacing w:after="0" w:line="195" w:lineRule="exact"/>
              <w:rPr>
                <w:sz w:val="20"/>
                <w:szCs w:val="20"/>
                <w:color w:val="auto"/>
              </w:rPr>
            </w:pPr>
            <w:r>
              <w:rPr>
                <w:rFonts w:ascii="Arial" w:cs="Arial" w:eastAsia="Arial" w:hAnsi="Arial"/>
                <w:sz w:val="18"/>
                <w:szCs w:val="18"/>
                <w:color w:val="auto"/>
                <w:w w:val="99"/>
              </w:rPr>
              <w:t>Chief Executive Officer and Member of the</w:t>
            </w:r>
          </w:p>
        </w:tc>
        <w:tc>
          <w:tcPr>
            <w:tcW w:w="220" w:type="dxa"/>
            <w:vAlign w:val="bottom"/>
          </w:tcPr>
          <w:p>
            <w:pPr>
              <w:spacing w:after="0"/>
              <w:rPr>
                <w:sz w:val="16"/>
                <w:szCs w:val="16"/>
                <w:color w:val="auto"/>
              </w:rPr>
            </w:pPr>
          </w:p>
        </w:tc>
        <w:tc>
          <w:tcPr>
            <w:tcW w:w="3460" w:type="dxa"/>
            <w:vAlign w:val="bottom"/>
          </w:tcPr>
          <w:p>
            <w:pPr>
              <w:jc w:val="right"/>
              <w:ind w:right="2190"/>
              <w:spacing w:after="0" w:line="195" w:lineRule="exact"/>
              <w:rPr>
                <w:sz w:val="20"/>
                <w:szCs w:val="20"/>
                <w:color w:val="auto"/>
              </w:rPr>
            </w:pPr>
            <w:r>
              <w:rPr>
                <w:rFonts w:ascii="Arial" w:cs="Arial" w:eastAsia="Arial" w:hAnsi="Arial"/>
                <w:sz w:val="18"/>
                <w:szCs w:val="18"/>
                <w:color w:val="auto"/>
                <w:w w:val="88"/>
              </w:rPr>
              <w:t>August 20, 2020</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Board</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Zaccardelli</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David Zaccardelli</w:t>
            </w:r>
          </w:p>
        </w:tc>
        <w:tc>
          <w:tcPr>
            <w:tcW w:w="3620" w:type="dxa"/>
            <w:vAlign w:val="bottom"/>
            <w:gridSpan w:val="2"/>
            <w:vMerge w:val="restart"/>
          </w:tcPr>
          <w:p>
            <w:pPr>
              <w:ind w:left="240"/>
              <w:spacing w:after="0"/>
              <w:rPr>
                <w:sz w:val="20"/>
                <w:szCs w:val="20"/>
                <w:color w:val="auto"/>
              </w:rPr>
            </w:pPr>
            <w:r>
              <w:rPr>
                <w:rFonts w:ascii="Arial" w:cs="Arial" w:eastAsia="Arial" w:hAnsi="Arial"/>
                <w:sz w:val="18"/>
                <w:szCs w:val="18"/>
                <w:color w:val="auto"/>
              </w:rPr>
              <w:t>Chief Financial Officer</w:t>
            </w:r>
          </w:p>
        </w:tc>
        <w:tc>
          <w:tcPr>
            <w:tcW w:w="3680" w:type="dxa"/>
            <w:vAlign w:val="bottom"/>
            <w:gridSpan w:val="2"/>
            <w:vMerge w:val="restart"/>
          </w:tcPr>
          <w:p>
            <w:pPr>
              <w:jc w:val="right"/>
              <w:ind w:right="2190"/>
              <w:spacing w:after="0"/>
              <w:rPr>
                <w:sz w:val="20"/>
                <w:szCs w:val="20"/>
                <w:color w:val="auto"/>
              </w:rPr>
            </w:pPr>
            <w:r>
              <w:rPr>
                <w:rFonts w:ascii="Arial" w:cs="Arial" w:eastAsia="Arial" w:hAnsi="Arial"/>
                <w:sz w:val="18"/>
                <w:szCs w:val="18"/>
                <w:color w:val="auto"/>
              </w:rPr>
              <w:t>August 20, 2020</w:t>
            </w:r>
          </w:p>
        </w:tc>
        <w:tc>
          <w:tcPr>
            <w:tcW w:w="0" w:type="dxa"/>
            <w:vAlign w:val="bottom"/>
          </w:tcPr>
          <w:p>
            <w:pPr>
              <w:spacing w:after="0"/>
              <w:rPr>
                <w:sz w:val="1"/>
                <w:szCs w:val="1"/>
                <w:color w:val="auto"/>
              </w:rPr>
            </w:pPr>
          </w:p>
        </w:tc>
      </w:tr>
      <w:tr>
        <w:trPr>
          <w:trHeight w:val="202"/>
        </w:trPr>
        <w:tc>
          <w:tcPr>
            <w:tcW w:w="3940" w:type="dxa"/>
            <w:vAlign w:val="bottom"/>
          </w:tcPr>
          <w:p>
            <w:pPr>
              <w:spacing w:after="0"/>
              <w:rPr>
                <w:sz w:val="17"/>
                <w:szCs w:val="17"/>
                <w:color w:val="auto"/>
              </w:rPr>
            </w:pPr>
          </w:p>
        </w:tc>
        <w:tc>
          <w:tcPr>
            <w:tcW w:w="3620" w:type="dxa"/>
            <w:vAlign w:val="bottom"/>
            <w:gridSpan w:val="2"/>
            <w:vMerge w:val="continue"/>
          </w:tcPr>
          <w:p>
            <w:pPr>
              <w:spacing w:after="0"/>
              <w:rPr>
                <w:sz w:val="17"/>
                <w:szCs w:val="17"/>
                <w:color w:val="auto"/>
              </w:rPr>
            </w:pPr>
          </w:p>
        </w:tc>
        <w:tc>
          <w:tcPr>
            <w:tcW w:w="3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3940" w:type="dxa"/>
            <w:vAlign w:val="bottom"/>
          </w:tcPr>
          <w:p>
            <w:pPr>
              <w:spacing w:after="0"/>
              <w:rPr>
                <w:sz w:val="24"/>
                <w:szCs w:val="24"/>
                <w:color w:val="auto"/>
              </w:rPr>
            </w:pP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(Principal Financial Officer and Principal</w:t>
            </w: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Hahn</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Accounting Officer)</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Mark W. Hahn</w:t>
            </w:r>
          </w:p>
        </w:tc>
        <w:tc>
          <w:tcPr>
            <w:tcW w:w="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Ebsworth, Ph.D.</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Chairman of the Board</w:t>
            </w:r>
          </w:p>
        </w:tc>
        <w:tc>
          <w:tcPr>
            <w:tcW w:w="3680" w:type="dxa"/>
            <w:vAlign w:val="bottom"/>
            <w:gridSpan w:val="2"/>
          </w:tcPr>
          <w:p>
            <w:pPr>
              <w:jc w:val="right"/>
              <w:ind w:right="2190"/>
              <w:spacing w:after="0"/>
              <w:rPr>
                <w:sz w:val="20"/>
                <w:szCs w:val="20"/>
                <w:color w:val="auto"/>
              </w:rPr>
            </w:pPr>
            <w:r>
              <w:rPr>
                <w:rFonts w:ascii="Arial" w:cs="Arial" w:eastAsia="Arial" w:hAnsi="Arial"/>
                <w:sz w:val="18"/>
                <w:szCs w:val="18"/>
                <w:color w:val="auto"/>
              </w:rPr>
              <w:t>August 20, 2020</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David Ebsworth, Ph.D.</w:t>
            </w:r>
          </w:p>
        </w:tc>
        <w:tc>
          <w:tcPr>
            <w:tcW w:w="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 Cunningham, M.D.</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Member of the Board</w:t>
            </w:r>
          </w:p>
        </w:tc>
        <w:tc>
          <w:tcPr>
            <w:tcW w:w="3680" w:type="dxa"/>
            <w:vAlign w:val="bottom"/>
            <w:gridSpan w:val="2"/>
          </w:tcPr>
          <w:p>
            <w:pPr>
              <w:jc w:val="right"/>
              <w:ind w:right="2190"/>
              <w:spacing w:after="0"/>
              <w:rPr>
                <w:sz w:val="20"/>
                <w:szCs w:val="20"/>
                <w:color w:val="auto"/>
              </w:rPr>
            </w:pPr>
            <w:r>
              <w:rPr>
                <w:rFonts w:ascii="Arial" w:cs="Arial" w:eastAsia="Arial" w:hAnsi="Arial"/>
                <w:sz w:val="18"/>
                <w:szCs w:val="18"/>
                <w:color w:val="auto"/>
              </w:rPr>
              <w:t>August 20, 2020</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Ken Cunningham, M.D.</w:t>
            </w:r>
          </w:p>
        </w:tc>
        <w:tc>
          <w:tcPr>
            <w:tcW w:w="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Edwards, M.D.</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Member of the Board</w:t>
            </w:r>
          </w:p>
        </w:tc>
        <w:tc>
          <w:tcPr>
            <w:tcW w:w="3680" w:type="dxa"/>
            <w:vAlign w:val="bottom"/>
            <w:gridSpan w:val="2"/>
          </w:tcPr>
          <w:p>
            <w:pPr>
              <w:jc w:val="right"/>
              <w:ind w:right="2190"/>
              <w:spacing w:after="0"/>
              <w:rPr>
                <w:sz w:val="20"/>
                <w:szCs w:val="20"/>
                <w:color w:val="auto"/>
              </w:rPr>
            </w:pPr>
            <w:r>
              <w:rPr>
                <w:rFonts w:ascii="Arial" w:cs="Arial" w:eastAsia="Arial" w:hAnsi="Arial"/>
                <w:sz w:val="18"/>
                <w:szCs w:val="18"/>
                <w:color w:val="auto"/>
              </w:rPr>
              <w:t>August 20, 2020</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Martin Edwards, M.D.</w:t>
            </w:r>
          </w:p>
        </w:tc>
        <w:tc>
          <w:tcPr>
            <w:tcW w:w="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Rishi Gupta</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Member of the Board</w:t>
            </w:r>
          </w:p>
        </w:tc>
        <w:tc>
          <w:tcPr>
            <w:tcW w:w="3680" w:type="dxa"/>
            <w:vAlign w:val="bottom"/>
            <w:gridSpan w:val="2"/>
          </w:tcPr>
          <w:p>
            <w:pPr>
              <w:jc w:val="right"/>
              <w:ind w:right="2190"/>
              <w:spacing w:after="0"/>
              <w:rPr>
                <w:sz w:val="20"/>
                <w:szCs w:val="20"/>
                <w:color w:val="auto"/>
              </w:rPr>
            </w:pPr>
            <w:r>
              <w:rPr>
                <w:rFonts w:ascii="Arial" w:cs="Arial" w:eastAsia="Arial" w:hAnsi="Arial"/>
                <w:sz w:val="18"/>
                <w:szCs w:val="18"/>
                <w:color w:val="auto"/>
              </w:rPr>
              <w:t>August 20, 2020</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Rishi Gupta</w:t>
            </w:r>
          </w:p>
        </w:tc>
        <w:tc>
          <w:tcPr>
            <w:tcW w:w="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Mahendra G. Shah, Ph.D.</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Member of the Board</w:t>
            </w:r>
          </w:p>
        </w:tc>
        <w:tc>
          <w:tcPr>
            <w:tcW w:w="3680" w:type="dxa"/>
            <w:vAlign w:val="bottom"/>
            <w:gridSpan w:val="2"/>
          </w:tcPr>
          <w:p>
            <w:pPr>
              <w:jc w:val="right"/>
              <w:ind w:right="2190"/>
              <w:spacing w:after="0"/>
              <w:rPr>
                <w:sz w:val="20"/>
                <w:szCs w:val="20"/>
                <w:color w:val="auto"/>
              </w:rPr>
            </w:pPr>
            <w:r>
              <w:rPr>
                <w:rFonts w:ascii="Arial" w:cs="Arial" w:eastAsia="Arial" w:hAnsi="Arial"/>
                <w:sz w:val="18"/>
                <w:szCs w:val="18"/>
                <w:color w:val="auto"/>
              </w:rPr>
              <w:t>August 20, 2020</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Mahendra G. Shah, Ph.D.</w:t>
            </w:r>
          </w:p>
        </w:tc>
        <w:tc>
          <w:tcPr>
            <w:tcW w:w="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Sinclair, Ph.D.</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Member of the Board</w:t>
            </w:r>
          </w:p>
        </w:tc>
        <w:tc>
          <w:tcPr>
            <w:tcW w:w="3680" w:type="dxa"/>
            <w:vAlign w:val="bottom"/>
            <w:gridSpan w:val="2"/>
          </w:tcPr>
          <w:p>
            <w:pPr>
              <w:jc w:val="right"/>
              <w:ind w:right="2190"/>
              <w:spacing w:after="0"/>
              <w:rPr>
                <w:sz w:val="20"/>
                <w:szCs w:val="20"/>
                <w:color w:val="auto"/>
              </w:rPr>
            </w:pPr>
            <w:r>
              <w:rPr>
                <w:rFonts w:ascii="Arial" w:cs="Arial" w:eastAsia="Arial" w:hAnsi="Arial"/>
                <w:sz w:val="18"/>
                <w:szCs w:val="18"/>
                <w:color w:val="auto"/>
              </w:rPr>
              <w:t>August 20, 2020</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Andrew Sinclair, Ph.D.</w:t>
            </w:r>
          </w:p>
        </w:tc>
        <w:tc>
          <w:tcPr>
            <w:tcW w:w="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Vikas Sinha</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Member of the Board</w:t>
            </w:r>
          </w:p>
        </w:tc>
        <w:tc>
          <w:tcPr>
            <w:tcW w:w="3680" w:type="dxa"/>
            <w:vAlign w:val="bottom"/>
            <w:gridSpan w:val="2"/>
          </w:tcPr>
          <w:p>
            <w:pPr>
              <w:jc w:val="right"/>
              <w:ind w:right="2190"/>
              <w:spacing w:after="0"/>
              <w:rPr>
                <w:sz w:val="20"/>
                <w:szCs w:val="20"/>
                <w:color w:val="auto"/>
              </w:rPr>
            </w:pPr>
            <w:r>
              <w:rPr>
                <w:rFonts w:ascii="Arial" w:cs="Arial" w:eastAsia="Arial" w:hAnsi="Arial"/>
                <w:sz w:val="18"/>
                <w:szCs w:val="18"/>
                <w:color w:val="auto"/>
              </w:rPr>
              <w:t>August 20, 2020</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Vikas Sinha</w:t>
            </w:r>
          </w:p>
        </w:tc>
        <w:tc>
          <w:tcPr>
            <w:tcW w:w="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Anders Ullman, M.D., Ph.D.</w:t>
            </w:r>
          </w:p>
        </w:tc>
        <w:tc>
          <w:tcPr>
            <w:tcW w:w="3620" w:type="dxa"/>
            <w:vAlign w:val="bottom"/>
            <w:gridSpan w:val="2"/>
          </w:tcPr>
          <w:p>
            <w:pPr>
              <w:ind w:left="240"/>
              <w:spacing w:after="0"/>
              <w:rPr>
                <w:sz w:val="20"/>
                <w:szCs w:val="20"/>
                <w:color w:val="auto"/>
              </w:rPr>
            </w:pPr>
            <w:r>
              <w:rPr>
                <w:rFonts w:ascii="Arial" w:cs="Arial" w:eastAsia="Arial" w:hAnsi="Arial"/>
                <w:sz w:val="18"/>
                <w:szCs w:val="18"/>
                <w:color w:val="auto"/>
              </w:rPr>
              <w:t>Member of the Board</w:t>
            </w:r>
          </w:p>
        </w:tc>
        <w:tc>
          <w:tcPr>
            <w:tcW w:w="3680" w:type="dxa"/>
            <w:vAlign w:val="bottom"/>
            <w:gridSpan w:val="2"/>
          </w:tcPr>
          <w:p>
            <w:pPr>
              <w:jc w:val="right"/>
              <w:ind w:right="2190"/>
              <w:spacing w:after="0"/>
              <w:rPr>
                <w:sz w:val="20"/>
                <w:szCs w:val="20"/>
                <w:color w:val="auto"/>
              </w:rPr>
            </w:pPr>
            <w:r>
              <w:rPr>
                <w:rFonts w:ascii="Arial" w:cs="Arial" w:eastAsia="Arial" w:hAnsi="Arial"/>
                <w:sz w:val="18"/>
                <w:szCs w:val="18"/>
                <w:color w:val="auto"/>
              </w:rPr>
              <w:t>August 20, 2020</w:t>
            </w: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Arial" w:cs="Arial" w:eastAsia="Arial" w:hAnsi="Arial"/>
                <w:sz w:val="18"/>
                <w:szCs w:val="18"/>
                <w:color w:val="auto"/>
              </w:rPr>
              <w:t>Anders Ullman, M.D., Ph.D.</w:t>
            </w:r>
          </w:p>
        </w:tc>
        <w:tc>
          <w:tcPr>
            <w:tcW w:w="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undersigned, the duly authorized representative in the United States of Verona Pharma plc, has signed this Registration Statement on Form S-8, in the City of New York, State of New York , on August 20, 2020.</w:t>
      </w:r>
    </w:p>
    <w:p>
      <w:pPr>
        <w:spacing w:after="0" w:line="35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COGENCY GLOBAL INC.</w:t>
      </w: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(Authorized Representative in the United States)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14605</wp:posOffset>
            </wp:positionV>
            <wp:extent cx="345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580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10240"/>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 August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-1861820</wp:posOffset>
            </wp:positionV>
            <wp:extent cx="2040255" cy="36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204025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Central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CF10 1FS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 Verona Pharma plc – Registration Statement on Form S-8 Exhibit 5.1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2880"/>
        <w:spacing w:after="0" w:line="287" w:lineRule="auto"/>
        <w:tabs>
          <w:tab w:leader="none" w:pos="225" w:val="left"/>
        </w:tabs>
        <w:numPr>
          <w:ilvl w:val="0"/>
          <w:numId w:val="3"/>
        </w:numPr>
        <w:rPr>
          <w:rFonts w:ascii="Arial" w:cs="Arial" w:eastAsia="Arial" w:hAnsi="Arial"/>
          <w:sz w:val="16"/>
          <w:szCs w:val="16"/>
          <w:color w:val="auto"/>
        </w:rPr>
      </w:pPr>
      <w:r>
        <w:rPr>
          <w:rFonts w:ascii="Arial" w:cs="Arial" w:eastAsia="Arial" w:hAnsi="Arial"/>
          <w:sz w:val="16"/>
          <w:szCs w:val="16"/>
          <w:color w:val="auto"/>
        </w:rPr>
        <w:t>Bishopsgate London EC2M 3XF United Kingdom</w:t>
      </w:r>
    </w:p>
    <w:p>
      <w:pPr>
        <w:spacing w:after="0" w:line="2" w:lineRule="exact"/>
        <w:rPr>
          <w:rFonts w:ascii="Arial" w:cs="Arial" w:eastAsia="Arial" w:hAnsi="Arial"/>
          <w:sz w:val="16"/>
          <w:szCs w:val="16"/>
          <w:color w:val="auto"/>
        </w:rPr>
      </w:pPr>
    </w:p>
    <w:p>
      <w:pPr>
        <w:ind w:right="620"/>
        <w:spacing w:after="0" w:line="260" w:lineRule="auto"/>
        <w:rPr>
          <w:rFonts w:ascii="Arial" w:cs="Arial" w:eastAsia="Arial" w:hAnsi="Arial"/>
          <w:sz w:val="16"/>
          <w:szCs w:val="16"/>
          <w:color w:val="auto"/>
        </w:rPr>
      </w:pPr>
      <w:r>
        <w:rPr>
          <w:rFonts w:ascii="Arial" w:cs="Arial" w:eastAsia="Arial" w:hAnsi="Arial"/>
          <w:sz w:val="18"/>
          <w:szCs w:val="18"/>
          <w:color w:val="auto"/>
        </w:rPr>
        <w:t>Tel: +44(0)20.7710.1000 Fax: +44(0)20.7374.4460 www.lw.com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FIRM / AFFILIATE OFFICES</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Moscow</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Munich</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New York</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6"/>
          <w:szCs w:val="16"/>
          <w:color w:val="auto"/>
        </w:rPr>
        <w:t>Orange County</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Paris</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Riyadh</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Diego</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San Francisco</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Seoul</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5"/>
          <w:szCs w:val="15"/>
          <w:color w:val="auto"/>
        </w:rPr>
        <w:t>Shanghai</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Silicon Valley</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Singapore</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Madrid</w:t>
      </w:r>
      <w:r>
        <w:rPr>
          <w:sz w:val="20"/>
          <w:szCs w:val="20"/>
          <w:color w:val="auto"/>
        </w:rPr>
        <w:tab/>
      </w:r>
      <w:r>
        <w:rPr>
          <w:rFonts w:ascii="Arial" w:cs="Arial" w:eastAsia="Arial" w:hAnsi="Arial"/>
          <w:sz w:val="18"/>
          <w:szCs w:val="18"/>
          <w:color w:val="auto"/>
        </w:rPr>
        <w:t>Washington, D.C.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Milan</w:t>
      </w:r>
    </w:p>
    <w:p>
      <w:pPr>
        <w:spacing w:after="0" w:line="2993" w:lineRule="exact"/>
        <w:rPr>
          <w:sz w:val="20"/>
          <w:szCs w:val="20"/>
          <w:color w:val="auto"/>
        </w:rPr>
      </w:pPr>
    </w:p>
    <w:p>
      <w:pPr>
        <w:sectPr>
          <w:pgSz w:w="11900" w:h="16838" w:orient="portrait"/>
          <w:cols w:equalWidth="0" w:num="2">
            <w:col w:w="6200" w:space="720"/>
            <w:col w:w="4320"/>
          </w:cols>
          <w:pgMar w:left="320" w:top="355" w:right="339" w:bottom="1440" w:gutter="0" w:footer="0" w:header="0"/>
          <w:type w:val="continuous"/>
        </w:sectPr>
      </w:pPr>
    </w:p>
    <w:p>
      <w:pPr>
        <w:spacing w:after="0" w:line="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have acted as English legal advisers to Verona Pharma plc, a public limited company incorporated in England and Wales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preparation and filing of the registration statement on Form S-8 to which this opinion letter is attached as an exhibit (such registration statement, as amended, including the documents incorporated by reference therein,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pursuant to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set out in the Registration Statement, it is proposed that an additional 65,102,504 ordinary shares of the Company each having a nominal value of £0.05 (the “</w:t>
      </w:r>
      <w:r>
        <w:rPr>
          <w:rFonts w:ascii="Arial" w:cs="Arial" w:eastAsia="Arial" w:hAnsi="Arial"/>
          <w:sz w:val="18"/>
          <w:szCs w:val="18"/>
          <w:b w:val="1"/>
          <w:bCs w:val="1"/>
          <w:color w:val="auto"/>
        </w:rPr>
        <w:t>Shares</w:t>
      </w:r>
      <w:r>
        <w:rPr>
          <w:rFonts w:ascii="Arial" w:cs="Arial" w:eastAsia="Arial" w:hAnsi="Arial"/>
          <w:sz w:val="18"/>
          <w:szCs w:val="18"/>
          <w:color w:val="auto"/>
        </w:rPr>
        <w:t>”) may become issuable under the Verona Pharma plc 2017 Incentive Plan (the “</w:t>
      </w:r>
      <w:r>
        <w:rPr>
          <w:rFonts w:ascii="Arial" w:cs="Arial" w:eastAsia="Arial" w:hAnsi="Arial"/>
          <w:sz w:val="18"/>
          <w:szCs w:val="18"/>
          <w:b w:val="1"/>
          <w:bCs w:val="1"/>
          <w:color w:val="auto"/>
        </w:rPr>
        <w:t>2017 Plan</w:t>
      </w:r>
      <w:r>
        <w:rPr>
          <w:rFonts w:ascii="Arial" w:cs="Arial" w:eastAsia="Arial" w:hAnsi="Arial"/>
          <w:sz w:val="18"/>
          <w:szCs w:val="18"/>
          <w:color w:val="auto"/>
        </w:rPr>
        <w:t>”).</w:t>
      </w:r>
    </w:p>
    <w:p>
      <w:pPr>
        <w:spacing w:after="0" w:line="166"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In connection with the Registration Statement, we have been asked to provide an opinion on certain matters, as set out below. We have taken instructions in this regard solely from the Company.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 and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European lawyers or managers authorised by the SRA. We are affiliated with the firm Latham &amp; Watkins LLP, a limited liability partnership organised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6" w:name="page7"/>
    <w:bookmarkEnd w:id="6"/>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40255" cy="368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040255" cy="368935"/>
                    </a:xfrm>
                    <a:prstGeom prst="rect">
                      <a:avLst/>
                    </a:prstGeom>
                    <a:noFill/>
                  </pic:spPr>
                </pic:pic>
              </a:graphicData>
            </a:graphic>
          </wp:anchor>
        </w:drawing>
      </w: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b w:val="1"/>
          <w:bCs w:val="1"/>
          <w:color w:val="auto"/>
        </w:rPr>
        <w:t>Legal review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purpose of issuing this letter, we have reviewed only the following documents and conducted only the following enquiries and searches:</w:t>
      </w:r>
    </w:p>
    <w:p>
      <w:pPr>
        <w:spacing w:after="0" w:line="248" w:lineRule="exact"/>
        <w:rPr>
          <w:sz w:val="20"/>
          <w:szCs w:val="20"/>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online search at Companies House in respect of information available for inspection about the Company conducted on 20 August 2020 at 10 a.m.;</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online search at the Central Registry of Winding Up Petitions, London on 20 August 2020 at 10:07 a.m. with respect to the Company (paragraphs 1.3(a) and 1.3(b)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copy of the minutes of the annual general meeting of the Company held on 12 April 2017 at which it was resolved, inter alia, to approve the 2017 Plan (the “</w:t>
      </w:r>
      <w:r>
        <w:rPr>
          <w:rFonts w:ascii="Arial" w:cs="Arial" w:eastAsia="Arial" w:hAnsi="Arial"/>
          <w:sz w:val="18"/>
          <w:szCs w:val="18"/>
          <w:b w:val="1"/>
          <w:bCs w:val="1"/>
          <w:color w:val="auto"/>
        </w:rPr>
        <w:t>Annual General Meeting</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copies of the minutes of meetings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held on (i) 22 September 2006, at which it was resolved, inter alia, to adopt the terms of reference for the remuneration committee (“</w:t>
      </w:r>
      <w:r>
        <w:rPr>
          <w:rFonts w:ascii="Arial" w:cs="Arial" w:eastAsia="Arial" w:hAnsi="Arial"/>
          <w:sz w:val="18"/>
          <w:szCs w:val="18"/>
          <w:b w:val="1"/>
          <w:bCs w:val="1"/>
          <w:color w:val="auto"/>
        </w:rPr>
        <w:t>Remuneration Committee</w:t>
      </w:r>
      <w:r>
        <w:rPr>
          <w:rFonts w:ascii="Arial" w:cs="Arial" w:eastAsia="Arial" w:hAnsi="Arial"/>
          <w:sz w:val="18"/>
          <w:szCs w:val="18"/>
          <w:color w:val="auto"/>
        </w:rPr>
        <w:t>”) and (ii) 12 April 2017,</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copy of an extract of the minutes of a meeting of the Board held on 20 August 2020;</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copy of the 2017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dated 24 February 2005;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copy of the certificate of incorporation on change of name of the Company dated 18 September 2006;</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copy of the current articles of association of the Company adopted pursuant to a special resolution of shareholders passed at the general meeting held on 8 February 2017;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draft copy of the Registration Statement as at 19 August 2020 and to be filed with the SEC on 20 August 2020.</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This letter, the opinion given in it, and any non-contractual obligations arising out of or in connection with this letter and/or the opinion given in it, are governed by, and shall be construed in accordance with English law (including European Union law to the extent directly applicable), and relate only to English law (including European Union law to the extent directly applicable), as applied by the English courts as at today’s date. In particular:</w:t>
      </w:r>
    </w:p>
    <w:p>
      <w:pPr>
        <w:spacing w:after="0" w:line="187" w:lineRule="exact"/>
        <w:rPr>
          <w:sz w:val="20"/>
          <w:szCs w:val="20"/>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affects the opinion stated below;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225"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The United Kingdom exited the European Union on 31 January 2020. By virtue of sections 1A and 1B of the European Union (Withdrawal) Act 2018 (as amended by the European Union (Withdrawal Agreement) Act 2020) (the “</w:t>
      </w:r>
      <w:r>
        <w:rPr>
          <w:rFonts w:ascii="Arial" w:cs="Arial" w:eastAsia="Arial" w:hAnsi="Arial"/>
          <w:sz w:val="17"/>
          <w:szCs w:val="17"/>
          <w:b w:val="1"/>
          <w:bCs w:val="1"/>
          <w:color w:val="auto"/>
        </w:rPr>
        <w:t>EUWA</w:t>
      </w:r>
      <w:r>
        <w:rPr>
          <w:rFonts w:ascii="Arial" w:cs="Arial" w:eastAsia="Arial" w:hAnsi="Arial"/>
          <w:sz w:val="17"/>
          <w:szCs w:val="17"/>
          <w:color w:val="auto"/>
        </w:rPr>
        <w:t>”), European Union law will continue to be applicable to the United Kingdom for the duration of the implementation period set out in section 1A(6) of the EUWA. We express no opinion on the effect of European Union law in the United Kingdom after the end of such implementation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40255" cy="368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040255" cy="368935"/>
                    </a:xfrm>
                    <a:prstGeom prst="rect">
                      <a:avLst/>
                    </a:prstGeom>
                    <a:noFill/>
                  </pic:spPr>
                </pic:pic>
              </a:graphicData>
            </a:graphic>
          </wp:anchor>
        </w:drawing>
      </w: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229"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The opinion given in this letter is given on the basis of each of the assumptions set out in Schedule 1 (</w:t>
      </w:r>
      <w:r>
        <w:rPr>
          <w:rFonts w:ascii="Arial" w:cs="Arial" w:eastAsia="Arial" w:hAnsi="Arial"/>
          <w:sz w:val="17"/>
          <w:szCs w:val="17"/>
          <w:i w:val="1"/>
          <w:iCs w:val="1"/>
          <w:color w:val="auto"/>
        </w:rPr>
        <w:t>Assumptions</w:t>
      </w:r>
      <w:r>
        <w:rPr>
          <w:rFonts w:ascii="Arial" w:cs="Arial" w:eastAsia="Arial" w:hAnsi="Arial"/>
          <w:sz w:val="17"/>
          <w:szCs w:val="17"/>
          <w:color w:val="auto"/>
        </w:rPr>
        <w:t>) and is subject to each of the reservations set out in Schedule 2 (</w:t>
      </w:r>
      <w:r>
        <w:rPr>
          <w:rFonts w:ascii="Arial" w:cs="Arial" w:eastAsia="Arial" w:hAnsi="Arial"/>
          <w:sz w:val="17"/>
          <w:szCs w:val="17"/>
          <w:i w:val="1"/>
          <w:iCs w:val="1"/>
          <w:color w:val="auto"/>
        </w:rPr>
        <w:t>Reservations</w:t>
      </w:r>
      <w:r>
        <w:rPr>
          <w:rFonts w:ascii="Arial" w:cs="Arial" w:eastAsia="Arial" w:hAnsi="Arial"/>
          <w:sz w:val="17"/>
          <w:szCs w:val="17"/>
          <w:color w:val="auto"/>
        </w:rPr>
        <w:t>) to this letter. The opinion given in this letter is strictly limited to the matters stated in paragraph 2 (</w:t>
      </w:r>
      <w:r>
        <w:rPr>
          <w:rFonts w:ascii="Arial" w:cs="Arial" w:eastAsia="Arial" w:hAnsi="Arial"/>
          <w:sz w:val="17"/>
          <w:szCs w:val="17"/>
          <w:i w:val="1"/>
          <w:iCs w:val="1"/>
          <w:color w:val="auto"/>
        </w:rPr>
        <w:t>Opinion</w:t>
      </w:r>
      <w:r>
        <w:rPr>
          <w:rFonts w:ascii="Arial" w:cs="Arial" w:eastAsia="Arial" w:hAnsi="Arial"/>
          <w:sz w:val="17"/>
          <w:szCs w:val="17"/>
          <w:color w:val="auto"/>
        </w:rPr>
        <w:t>) below and does not extend, and should not be read as extending, by implication or otherwise, to any other matters.</w:t>
      </w:r>
    </w:p>
    <w:p>
      <w:pPr>
        <w:spacing w:after="0" w:line="161"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Subject to paragraph 1 (</w:t>
      </w:r>
      <w:r>
        <w:rPr>
          <w:rFonts w:ascii="Arial" w:cs="Arial" w:eastAsia="Arial" w:hAnsi="Arial"/>
          <w:sz w:val="17"/>
          <w:szCs w:val="17"/>
          <w:i w:val="1"/>
          <w:iCs w:val="1"/>
          <w:color w:val="auto"/>
        </w:rPr>
        <w:t>Introduction</w:t>
      </w:r>
      <w:r>
        <w:rPr>
          <w:rFonts w:ascii="Arial" w:cs="Arial" w:eastAsia="Arial" w:hAnsi="Arial"/>
          <w:sz w:val="17"/>
          <w:szCs w:val="17"/>
          <w:color w:val="auto"/>
        </w:rPr>
        <w:t>) and the other matters set out in this letter and its Schedules, and subject further to the following:</w:t>
      </w:r>
    </w:p>
    <w:p>
      <w:pPr>
        <w:spacing w:after="0" w:line="236" w:lineRule="exact"/>
        <w:rPr>
          <w:rFonts w:ascii="Arial" w:cs="Arial" w:eastAsia="Arial" w:hAnsi="Arial"/>
          <w:sz w:val="18"/>
          <w:szCs w:val="18"/>
          <w:b w:val="1"/>
          <w:bCs w:val="1"/>
          <w:color w:val="auto"/>
        </w:rPr>
      </w:pPr>
    </w:p>
    <w:p>
      <w:pPr>
        <w:ind w:left="1280" w:hanging="638"/>
        <w:spacing w:after="0"/>
        <w:tabs>
          <w:tab w:leader="none" w:pos="128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Registration Statement, as finally amended, having become effective under the Securities Act and continuing to be so effective;</w:t>
      </w:r>
    </w:p>
    <w:p>
      <w:pPr>
        <w:spacing w:after="0" w:line="236" w:lineRule="exact"/>
        <w:rPr>
          <w:rFonts w:ascii="Arial" w:cs="Arial" w:eastAsia="Arial" w:hAnsi="Arial"/>
          <w:sz w:val="17"/>
          <w:szCs w:val="17"/>
          <w:color w:val="auto"/>
        </w:rPr>
      </w:pPr>
    </w:p>
    <w:p>
      <w:pPr>
        <w:ind w:left="1280" w:hanging="638"/>
        <w:spacing w:after="0"/>
        <w:tabs>
          <w:tab w:leader="none" w:pos="128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shareholders of the Company in a general meeting or within the Company’s articles of association duly and validly having resolved:</w:t>
      </w:r>
    </w:p>
    <w:p>
      <w:pPr>
        <w:spacing w:after="0" w:line="46" w:lineRule="exact"/>
        <w:rPr>
          <w:rFonts w:ascii="Arial" w:cs="Arial" w:eastAsia="Arial" w:hAnsi="Arial"/>
          <w:sz w:val="16"/>
          <w:szCs w:val="16"/>
          <w:color w:val="auto"/>
        </w:rPr>
      </w:pPr>
    </w:p>
    <w:p>
      <w:pPr>
        <w:jc w:val="both"/>
        <w:ind w:left="1280"/>
        <w:spacing w:after="0" w:line="252" w:lineRule="auto"/>
        <w:rPr>
          <w:rFonts w:ascii="Arial" w:cs="Arial" w:eastAsia="Arial" w:hAnsi="Arial"/>
          <w:sz w:val="16"/>
          <w:szCs w:val="16"/>
          <w:color w:val="auto"/>
        </w:rPr>
      </w:pPr>
      <w:r>
        <w:rPr>
          <w:rFonts w:ascii="Arial" w:cs="Arial" w:eastAsia="Arial" w:hAnsi="Arial"/>
          <w:sz w:val="18"/>
          <w:szCs w:val="18"/>
          <w:color w:val="auto"/>
        </w:rPr>
        <w:t>(i) as may be required, as an ordinary resolution, or within the Company’s articles of association, to authorise the board of directors of the Company pursuant to section 551 of the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to allot Shares, or to grant rights to subscribe for Shares, pursuant to the 2017 Plan;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193" w:lineRule="exact"/>
        <w:rPr>
          <w:rFonts w:ascii="Arial" w:cs="Arial" w:eastAsia="Arial" w:hAnsi="Arial"/>
          <w:sz w:val="16"/>
          <w:szCs w:val="16"/>
          <w:color w:val="auto"/>
        </w:rPr>
      </w:pPr>
    </w:p>
    <w:p>
      <w:pPr>
        <w:ind w:left="1280" w:hanging="638"/>
        <w:spacing w:after="0" w:line="277" w:lineRule="auto"/>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delegation of authority to the Remuneration Committee having been validly effected (among other things, in accordance with the Company’s articles of association and the 2017 Plan);</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directors of the Company or the Remuneration Committee and the shareholders of the Company having validly approved the 2017 Plan;</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directors of the Company or the Remuneration Committee having validly granted the awards in respect of the Shares under the 2017 Plan;</w:t>
      </w:r>
    </w:p>
    <w:p>
      <w:pPr>
        <w:spacing w:after="0" w:line="170" w:lineRule="exact"/>
        <w:rPr>
          <w:rFonts w:ascii="Arial" w:cs="Arial" w:eastAsia="Arial" w:hAnsi="Arial"/>
          <w:sz w:val="18"/>
          <w:szCs w:val="18"/>
          <w:color w:val="auto"/>
        </w:rPr>
      </w:pPr>
    </w:p>
    <w:p>
      <w:pPr>
        <w:jc w:val="both"/>
        <w:ind w:left="1280" w:hanging="638"/>
        <w:spacing w:after="0" w:line="259" w:lineRule="auto"/>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directors of the Company or the Remuneration Committee having validly resolved to allot and issue the Shares, or grant rights to subscribe for the Shares, at duly convened and quorate meetings of the board of directors of the Company or the Remuneration Committee or by way of duly passed written resolutions of the board of directors of the Company or the Remuneration Committee and such resolutions being in full force and effect and not having been rescinded or amended;</w:t>
      </w:r>
    </w:p>
    <w:p>
      <w:pPr>
        <w:spacing w:after="0" w:line="186" w:lineRule="exact"/>
        <w:rPr>
          <w:rFonts w:ascii="Arial" w:cs="Arial" w:eastAsia="Arial" w:hAnsi="Arial"/>
          <w:sz w:val="18"/>
          <w:szCs w:val="18"/>
          <w:color w:val="auto"/>
        </w:rPr>
      </w:pPr>
    </w:p>
    <w:p>
      <w:pPr>
        <w:jc w:val="both"/>
        <w:ind w:left="1280" w:hanging="638"/>
        <w:spacing w:after="0" w:line="257" w:lineRule="auto"/>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2017 Plan are duly authorised by all necessary corporate action as described in (e) above and duly granted or awarded and exercised in accordance with the requirements of law, the Company’s articles of association and the 2017 Plan (and the agreements and awards duly adopted thereunder and in accordance therewith);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40255" cy="368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040255" cy="368935"/>
                    </a:xfrm>
                    <a:prstGeom prst="rect">
                      <a:avLst/>
                    </a:prstGeom>
                    <a:noFill/>
                  </pic:spPr>
                </pic:pic>
              </a:graphicData>
            </a:graphic>
          </wp:anchor>
        </w:drawing>
      </w:r>
    </w:p>
    <w:p>
      <w:pPr>
        <w:ind w:left="1280" w:hanging="638"/>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valid entries having been made in relation to the allotment and issue of the Shares in the books and registers of the Company,</w:t>
      </w:r>
    </w:p>
    <w:p>
      <w:pPr>
        <w:spacing w:after="0" w:line="237"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it is our opinion that, as of today’s date, the Shares, if and when allotted and issued, registered in the name of the recipient in the register of members of the Company and delivered in accordance with the terms and conditions referred to above and/or in the 2017 Plan,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pacing w:after="0" w:line="167"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express no opinion as to any agreement, instrument or other document other than as specified in this letter or as to any liability to tax which may arise or be suffered as a result of or in connection with the transactions contemplated by the 2017 Plan.</w:t>
      </w:r>
    </w:p>
    <w:p>
      <w:pPr>
        <w:spacing w:after="0" w:line="170" w:lineRule="exact"/>
        <w:rPr>
          <w:rFonts w:ascii="Arial" w:cs="Arial" w:eastAsia="Arial" w:hAnsi="Arial"/>
          <w:sz w:val="18"/>
          <w:szCs w:val="18"/>
          <w:b w:val="1"/>
          <w:bCs w:val="1"/>
          <w:color w:val="auto"/>
        </w:rPr>
      </w:pPr>
    </w:p>
    <w:p>
      <w:pPr>
        <w:jc w:val="both"/>
        <w:ind w:left="6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44" w:lineRule="exact"/>
        <w:rPr>
          <w:rFonts w:ascii="Arial" w:cs="Arial" w:eastAsia="Arial" w:hAnsi="Arial"/>
          <w:sz w:val="18"/>
          <w:szCs w:val="18"/>
          <w:b w:val="1"/>
          <w:bCs w:val="1"/>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RELIANCE AND DISCLOSURE</w:t>
      </w:r>
    </w:p>
    <w:p>
      <w:pPr>
        <w:spacing w:after="0" w:line="229" w:lineRule="exact"/>
        <w:rPr>
          <w:rFonts w:ascii="Arial" w:cs="Arial" w:eastAsia="Arial" w:hAnsi="Arial"/>
          <w:sz w:val="18"/>
          <w:szCs w:val="18"/>
          <w:b w:val="1"/>
          <w:bCs w:val="1"/>
          <w:color w:val="auto"/>
        </w:rPr>
      </w:pPr>
    </w:p>
    <w:p>
      <w:pPr>
        <w:jc w:val="both"/>
        <w:ind w:left="6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84"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This letter may not be relied upon by you for any other purpose, and, other than as set out in this paragraph 4, may not be furnished to, or assigned to or relied upon by any other person, firm or entity for any purpose (including, without limitation, by any person, firm or other entity that acquires Shares from the Company), without our prior written consent, which may be granted or withheld in our discretion.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LATHAM &amp; WATKINS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has been given on the basis of the following assumptions:</w:t>
      </w:r>
    </w:p>
    <w:p>
      <w:pPr>
        <w:spacing w:after="0" w:line="225" w:lineRule="exact"/>
        <w:rPr>
          <w:sz w:val="20"/>
          <w:szCs w:val="20"/>
          <w:color w:val="auto"/>
        </w:rPr>
      </w:pPr>
    </w:p>
    <w:p>
      <w:pPr>
        <w:ind w:left="130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in the case of a document signed electronically, the person signing it intended to sign and be bound by the document;</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the articles of association of the Company referred to in paragraph 1.3(h) 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2017 Plan remains in full force and effect and no alteration has been made or will be made to the 2017 Plan prior to an Allotment Date;</w:t>
      </w:r>
    </w:p>
    <w:p>
      <w:pPr>
        <w:spacing w:after="0" w:line="170"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148" w:lineRule="exact"/>
        <w:rPr>
          <w:rFonts w:ascii="Arial" w:cs="Arial" w:eastAsia="Arial" w:hAnsi="Arial"/>
          <w:sz w:val="16"/>
          <w:szCs w:val="16"/>
          <w:color w:val="auto"/>
        </w:rPr>
      </w:pPr>
    </w:p>
    <w:p>
      <w:pPr>
        <w:jc w:val="both"/>
        <w:ind w:left="1300" w:hanging="644"/>
        <w:spacing w:after="0" w:line="25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the proceedings and resolutions described in the minutes of the meetings of the board of directors of the Company provided to us in connection with the giving of this opinion or otherwise contemplated in connection with the matters referred to herein were and/or will be duly conducted as so described, and that each of the meetings referred to therein was and/or will be duly constituted, convened and conducted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thereat were and/or will be duly adopted, have not been and will not be revoked or varied and remain in full force and effect and will remain so as at each Allotment Date;</w:t>
      </w:r>
    </w:p>
    <w:p>
      <w:pPr>
        <w:spacing w:after="0" w:line="191" w:lineRule="exact"/>
        <w:rPr>
          <w:rFonts w:ascii="Arial" w:cs="Arial" w:eastAsia="Arial" w:hAnsi="Arial"/>
          <w:sz w:val="18"/>
          <w:szCs w:val="18"/>
          <w:color w:val="auto"/>
        </w:rPr>
      </w:pPr>
    </w:p>
    <w:p>
      <w:pPr>
        <w:jc w:val="both"/>
        <w:ind w:left="1300" w:hanging="644"/>
        <w:spacing w:after="0" w:line="296"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that the resolutions of the shareholders of the Company provided to us in connection with the giving of this opinion and as referred to at paragraph 2(b) of this letter or otherwise contemplated in connection with the matters referred to herein were and/or will be duly passed at a general meeting of the Company, all constitutional, statutory and other formalities were and/or will be observed in relation to such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161" w:lineRule="exact"/>
        <w:rPr>
          <w:rFonts w:ascii="Arial" w:cs="Arial" w:eastAsia="Arial" w:hAnsi="Arial"/>
          <w:sz w:val="16"/>
          <w:szCs w:val="16"/>
          <w:color w:val="auto"/>
        </w:rPr>
      </w:pPr>
    </w:p>
    <w:p>
      <w:pPr>
        <w:jc w:val="both"/>
        <w:ind w:left="1280" w:hanging="638"/>
        <w:spacing w:after="0" w:line="259"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644" w:hanging="644"/>
        <w:spacing w:after="0" w:line="259"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relation to any allotment and issue of any Shares by the Company pursuant to the 2017 Plan, that the recipient will have become entitled to such Shares under the terms of the 2017 Plan such Shares will, where applicable, be fully vested each in accordance with the terms of the 2017 Plan and such recipient has or will have complied with all other requirements of the 2017 Plan in connection with the allotment and issue of such Shares;</w:t>
      </w:r>
    </w:p>
    <w:p>
      <w:pPr>
        <w:spacing w:after="0" w:line="186"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all awards have been made under the terms of the 2017 Plan, that the terms of all awards have not materially deviated from the terms set out in the 2017 Plan and that any Shares will be allotted and issued in accordance with the terms set out in the 2017 Plan and in accordance with the Company’s articles of association;</w:t>
      </w:r>
    </w:p>
    <w:p>
      <w:pPr>
        <w:spacing w:after="0" w:line="183"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the 2017 Plan has been validly adopted and no alteration has been or shall be made to the 2017 Plan since the date of adoption;</w:t>
      </w:r>
    </w:p>
    <w:p>
      <w:pPr>
        <w:spacing w:after="0" w:line="248" w:lineRule="exact"/>
        <w:rPr>
          <w:rFonts w:ascii="Arial" w:cs="Arial" w:eastAsia="Arial" w:hAnsi="Arial"/>
          <w:sz w:val="16"/>
          <w:szCs w:val="16"/>
          <w:color w:val="auto"/>
        </w:rPr>
      </w:pPr>
    </w:p>
    <w:p>
      <w:pPr>
        <w:jc w:val="both"/>
        <w:ind w:left="644" w:hanging="644"/>
        <w:spacing w:after="0" w:line="273" w:lineRule="auto"/>
        <w:tabs>
          <w:tab w:leader="none" w:pos="64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that immediately prior to each Allotment Date, the directors of the Company and/or the Remuneration Committee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and/or the Remuneration Committee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177"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in relation to the allotment and issuance of Shares pursuant to the 2017 Plan or otherwise to an employee benefit trust, that such Shares will be allotted and issued in accordance with the terms of the 2017 Plan, the Company’s articles of association and the requirements of all applicable laws;</w:t>
      </w:r>
    </w:p>
    <w:p>
      <w:pPr>
        <w:spacing w:after="0" w:line="183"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no Shares shall be allotted or issued, or are or shall be committed to be allotted or issued, at a discount to their nominal value (whether in dollars or equivalent in any other currency);</w:t>
      </w:r>
    </w:p>
    <w:p>
      <w:pPr>
        <w:spacing w:after="0" w:line="170"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no Shares or rights to subscribe for Shares have been or shall be offered to the public in the United Kingdom in breach of the Financial Services and Markets Act 2000 (“</w:t>
      </w:r>
      <w:r>
        <w:rPr>
          <w:rFonts w:ascii="Arial" w:cs="Arial" w:eastAsia="Arial" w:hAnsi="Arial"/>
          <w:sz w:val="18"/>
          <w:szCs w:val="18"/>
          <w:b w:val="1"/>
          <w:bCs w:val="1"/>
          <w:color w:val="auto"/>
        </w:rPr>
        <w:t>FSMA</w:t>
      </w:r>
      <w:r>
        <w:rPr>
          <w:rFonts w:ascii="Arial" w:cs="Arial" w:eastAsia="Arial" w:hAnsi="Arial"/>
          <w:sz w:val="18"/>
          <w:szCs w:val="18"/>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18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in issuing and allotting and granting rights to acquire Shares and administering the 2017 Plan, the Company is not carrying on a regulated activity for the purposes of section 19 of FSMA;</w:t>
      </w:r>
    </w:p>
    <w:p>
      <w:pPr>
        <w:spacing w:after="0" w:line="17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the Company has complied and will comply with all applicable anti-terrorism, anti-money laundering, sanctions and human rights laws and regulations and that each allotment and issue of Shares and grant of rights to acquire Shares pursuant to the 2017 Plan will be consistent with all such laws and regulations;</w:t>
      </w:r>
    </w:p>
    <w:p>
      <w:pPr>
        <w:spacing w:after="0" w:line="40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 w:name="page12"/>
    <w:bookmarkEnd w:id="11"/>
    <w:p>
      <w:pPr>
        <w:jc w:val="both"/>
        <w:ind w:left="644" w:hanging="644"/>
        <w:spacing w:after="0" w:line="259"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the 2017 Plan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2017 Plan and the allotment and issue of the Shares will promote the success of the Company for the benefit of its members as a whole; and</w:t>
      </w:r>
    </w:p>
    <w:p>
      <w:pPr>
        <w:spacing w:after="0" w:line="186" w:lineRule="exact"/>
        <w:rPr>
          <w:rFonts w:ascii="Arial" w:cs="Arial" w:eastAsia="Arial" w:hAnsi="Arial"/>
          <w:sz w:val="18"/>
          <w:szCs w:val="18"/>
          <w:color w:val="auto"/>
        </w:rPr>
      </w:pPr>
    </w:p>
    <w:p>
      <w:pPr>
        <w:jc w:val="both"/>
        <w:ind w:left="644" w:hanging="644"/>
        <w:spacing w:after="0" w:line="269" w:lineRule="auto"/>
        <w:tabs>
          <w:tab w:leader="none" w:pos="64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that the Company has not taken any corporate or other action nor have any steps been taken or legal proceedings been started against the Company for the liquidation, administration, winding-up, dissolution, reorganisation or bankruptcy or similar procedures in other relevant jurisdictions, of, or for the commencement of a moratorium in respect of or the appointment of a liquidator, receiver, trustee, administrator, administrative receiver, monitor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will not have been taken as at any Allotment Date.</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is subject to the following reservations:</w:t>
      </w:r>
    </w:p>
    <w:p>
      <w:pPr>
        <w:spacing w:after="0" w:line="225" w:lineRule="exact"/>
        <w:rPr>
          <w:sz w:val="20"/>
          <w:szCs w:val="20"/>
          <w:color w:val="auto"/>
        </w:rPr>
      </w:pPr>
    </w:p>
    <w:p>
      <w:pPr>
        <w:jc w:val="both"/>
        <w:ind w:left="1300" w:hanging="644"/>
        <w:spacing w:after="0" w:line="286"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960" w:right="20" w:hanging="656"/>
        <w:spacing w:after="0" w:line="277" w:lineRule="auto"/>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limitations arising from applicable laws relating to insolvency, bankruptcy, administration, reorganisation, liquidation, moratoria, schemes or analogous circumstances; and</w:t>
      </w:r>
    </w:p>
    <w:p>
      <w:pPr>
        <w:spacing w:after="0" w:line="170" w:lineRule="exact"/>
        <w:rPr>
          <w:rFonts w:ascii="Arial" w:cs="Arial" w:eastAsia="Arial" w:hAnsi="Arial"/>
          <w:sz w:val="18"/>
          <w:szCs w:val="18"/>
          <w:color w:val="auto"/>
        </w:rPr>
      </w:pPr>
    </w:p>
    <w:p>
      <w:pPr>
        <w:jc w:val="both"/>
        <w:ind w:left="1960" w:right="20" w:hanging="656"/>
        <w:spacing w:after="0" w:line="263" w:lineRule="auto"/>
        <w:tabs>
          <w:tab w:leader="none" w:pos="1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 English court exercising its discretion under section 426 of the Insolvency Act 1986 (</w:t>
      </w:r>
      <w:r>
        <w:rPr>
          <w:rFonts w:ascii="Arial" w:cs="Arial" w:eastAsia="Arial" w:hAnsi="Arial"/>
          <w:sz w:val="18"/>
          <w:szCs w:val="18"/>
          <w:i w:val="1"/>
          <w:iCs w:val="1"/>
          <w:color w:val="auto"/>
        </w:rPr>
        <w:t>co-</w:t>
      </w:r>
      <w:r>
        <w:rPr>
          <w:rFonts w:ascii="Arial" w:cs="Arial" w:eastAsia="Arial" w:hAnsi="Arial"/>
          <w:sz w:val="18"/>
          <w:szCs w:val="18"/>
          <w:color w:val="auto"/>
        </w:rPr>
        <w:t xml:space="preserve">operation </w:t>
      </w:r>
      <w:r>
        <w:rPr>
          <w:rFonts w:ascii="Arial" w:cs="Arial" w:eastAsia="Arial" w:hAnsi="Arial"/>
          <w:sz w:val="18"/>
          <w:szCs w:val="18"/>
          <w:i w:val="1"/>
          <w:iCs w:val="1"/>
          <w:color w:val="auto"/>
        </w:rPr>
        <w:t>between courts exercising</w:t>
      </w:r>
      <w:r>
        <w:rPr>
          <w:rFonts w:ascii="Arial" w:cs="Arial" w:eastAsia="Arial" w:hAnsi="Arial"/>
          <w:sz w:val="18"/>
          <w:szCs w:val="18"/>
          <w:color w:val="auto"/>
        </w:rPr>
        <w:t xml:space="preserve"> </w:t>
      </w:r>
      <w:r>
        <w:rPr>
          <w:rFonts w:ascii="Arial" w:cs="Arial" w:eastAsia="Arial" w:hAnsi="Arial"/>
          <w:sz w:val="18"/>
          <w:szCs w:val="18"/>
          <w:i w:val="1"/>
          <w:iCs w:val="1"/>
          <w:color w:val="auto"/>
        </w:rPr>
        <w:t>jurisdiction in relation to insolvency</w:t>
      </w:r>
      <w:r>
        <w:rPr>
          <w:rFonts w:ascii="Arial" w:cs="Arial" w:eastAsia="Arial" w:hAnsi="Arial"/>
          <w:sz w:val="18"/>
          <w:szCs w:val="18"/>
          <w:color w:val="auto"/>
        </w:rPr>
        <w:t>) to assist the courts having the corresponding jurisdiction in any part of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Kingdom or any relevant country or territory;</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express no opinion on the compliance of the 2017 Plan, or the compliance of any award made under the 2017 Plan, with the rules or regulations of the NASDAQ Stock Market LLC, the rules or regulations of, or the AIM Rules for Companies published by, the London Stock Exchange plc or the rules or regulations of any other securities exchange that are applicable to the Company;</w:t>
      </w:r>
    </w:p>
    <w:p>
      <w:pPr>
        <w:spacing w:after="0" w:line="165" w:lineRule="exact"/>
        <w:rPr>
          <w:rFonts w:ascii="Arial" w:cs="Arial" w:eastAsia="Arial" w:hAnsi="Arial"/>
          <w:sz w:val="17"/>
          <w:szCs w:val="17"/>
          <w:color w:val="auto"/>
        </w:rPr>
      </w:pPr>
    </w:p>
    <w:p>
      <w:pPr>
        <w:jc w:val="both"/>
        <w:ind w:left="1300" w:hanging="644"/>
        <w:spacing w:after="0" w:line="293"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express no opinion in relation to the legality, enforceability or validity of the 2017 Plan or any award agreement entered into pursuant to such 2017 Plan. In particular, but without prejudice to the generality of the foregoing, we have assumed that the Shares to be allotted under the 2017 Plan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164" w:lineRule="exact"/>
        <w:rPr>
          <w:rFonts w:ascii="Arial" w:cs="Arial" w:eastAsia="Arial" w:hAnsi="Arial"/>
          <w:sz w:val="16"/>
          <w:szCs w:val="16"/>
          <w:color w:val="auto"/>
        </w:rPr>
      </w:pPr>
    </w:p>
    <w:p>
      <w:pPr>
        <w:jc w:val="both"/>
        <w:ind w:left="1300" w:hanging="644"/>
        <w:spacing w:after="0" w:line="31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any award under the 2017 Plan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 and</w:t>
      </w:r>
    </w:p>
    <w:p>
      <w:pPr>
        <w:spacing w:after="0" w:line="148"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hereby consent to the incorporation by reference in this Registration Statement on Form S-8 of Verona Pharma Plc of our report dated February 27, 2020 relating to the financial statements, which appears in Verona Pharma Plc’s Annual Report on Form 20-F for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99"/>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2"/>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2"/>
    </w:lvl>
    <w:lvl w:ilvl="1">
      <w:lvlJc w:val="left"/>
      <w:lvlText w:val="(%2)"/>
      <w:numFmt w:val="lowerLetter"/>
      <w:start w:val="1"/>
    </w:lvl>
  </w:abstractNum>
  <w:abstractNum w:abstractNumId="9">
    <w:nsid w:val="DED7263"/>
    <w:multiLevelType w:val="hybridMultilevel"/>
    <w:lvl w:ilvl="0">
      <w:lvlJc w:val="left"/>
      <w:lvlText w:val="(%1)"/>
      <w:numFmt w:val="lowerLetter"/>
      <w:start w:val="8"/>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lowerLetter"/>
      <w:start w:val="1"/>
    </w:lvl>
    <w:lvl w:ilvl="1">
      <w:lvlJc w:val="left"/>
      <w:lvlText w:val="(%2)"/>
      <w:numFmt w:val="lowerLetter"/>
      <w:start w:val="1"/>
    </w:lvl>
  </w:abstractNum>
  <w:abstractNum w:abstractNumId="12">
    <w:nsid w:val="41A7C4C9"/>
    <w:multiLevelType w:val="hybridMultilevel"/>
    <w:lvl w:ilvl="0">
      <w:lvlJc w:val="left"/>
      <w:lvlText w:val="(%1)"/>
      <w:numFmt w:val="lowerLetter"/>
      <w:start w:val="9"/>
    </w:lvl>
    <w:lvl w:ilvl="1">
      <w:lvlJc w:val="left"/>
      <w:lvlText w:val="%2"/>
      <w:numFmt w:val="lowerLetter"/>
      <w:start w:val="1"/>
    </w:lvl>
  </w:abstractNum>
  <w:abstractNum w:abstractNumId="13">
    <w:nsid w:val="6B68079A"/>
    <w:multiLevelType w:val="hybridMultilevel"/>
    <w:lvl w:ilvl="0">
      <w:lvlJc w:val="left"/>
      <w:lvlText w:val="(%1)"/>
      <w:numFmt w:val="lowerLetter"/>
      <w:start w:val="10"/>
    </w:lvl>
  </w:abstractNum>
  <w:abstractNum w:abstractNumId="14">
    <w:nsid w:val="4E6AFB66"/>
    <w:multiLevelType w:val="hybridMultilevel"/>
    <w:lvl w:ilvl="0">
      <w:lvlJc w:val="left"/>
      <w:lvlText w:val="(%1)"/>
      <w:numFmt w:val="lowerLetter"/>
      <w:start w:val="19"/>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lvl w:ilvl="1">
      <w:lvlJc w:val="left"/>
      <w:lvlText w:val="(%2)"/>
      <w:numFmt w:val="lowerRoman"/>
      <w:start w:val="1"/>
    </w:lvl>
  </w:abstractNum>
  <w:abstractNum w:abstractNumId="17">
    <w:nsid w:val="431BD7B7"/>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jpeg"/><Relationship Id="rId32" Type="http://schemas.openxmlformats.org/officeDocument/2006/relationships/image" Target="media/image21.png"/><Relationship Id="rId33" Type="http://schemas.openxmlformats.org/officeDocument/2006/relationships/image" Target="media/image22.jpeg"/><Relationship Id="rId34" Type="http://schemas.openxmlformats.org/officeDocument/2006/relationships/image" Target="media/image23.png"/><Relationship Id="rId35" Type="http://schemas.openxmlformats.org/officeDocument/2006/relationships/image" Target="media/image24.jpeg"/><Relationship Id="rId36" Type="http://schemas.openxmlformats.org/officeDocument/2006/relationships/image" Target="media/image25.png"/><Relationship Id="rId37" Type="http://schemas.openxmlformats.org/officeDocument/2006/relationships/image" Target="media/image26.jpe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20" Type="http://schemas.openxmlformats.org/officeDocument/2006/relationships/hyperlink" Target="http://www.sec.gov/Archives/edgar/data/1657312/000110465917027148/a16-21903_12s8.htm" TargetMode="External"/><Relationship Id="rId21" Type="http://schemas.openxmlformats.org/officeDocument/2006/relationships/hyperlink" Target="http://www.sec.gov/Archives/edgar/data/1657312/000110465920054419/tm2018038d1_s8.htm" TargetMode="External"/><Relationship Id="rId22" Type="http://schemas.openxmlformats.org/officeDocument/2006/relationships/hyperlink" Target="http://www.sec.gov/Archives/edgar/data/1657312/000104746917002313/a2231519zex-3_1.htm" TargetMode="External"/><Relationship Id="rId23" Type="http://schemas.openxmlformats.org/officeDocument/2006/relationships/hyperlink" Target="http://www.sec.gov/Archives/edgar/data/1657312/000110465920054419/tm2018038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2020-08-20T15:17:15Z</dcterms:created>
  <dcterms:modified xsi:type="dcterms:W3CDTF">2020-08-20T15:17:15Z</dcterms:modified>
</cp:coreProperties>
</file>