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5205-2_4seq1.xml.htm"/>
      <w:bookmarkStart w:id="1" w:name="kstm231520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Poll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05/03/2023</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2"/>
        <w:gridCol w:w="771"/>
        <w:gridCol w:w="599"/>
        <w:gridCol w:w="350"/>
        <w:gridCol w:w="850"/>
        <w:gridCol w:w="459"/>
        <w:gridCol w:w="621"/>
        <w:gridCol w:w="1326"/>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1,987,391</w:t>
            </w:r>
            <w:r>
              <w:rPr>
                <w:rFonts w:ascii="Times;serif" w:hAnsi="Times;serif"/>
                <w:color w:val="008000"/>
                <w:position w:val="7"/>
                <w:sz w:val="16"/>
                <w:sz w:val="20"/>
                <w:shd w:fill="FFFFFF" w:val="clear"/>
              </w:rPr>
              <w:t>(3)</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(unless otherwise indicated),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represented a contingent right to receive one (1) Ordinary Share of the Issuer (which may be represented by ADSs, each of which represents eight (8) Ordinary Shares of the Issuer) subject to certain time- and performance-based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1,641,672 Ordinary Shares underlying Restricted Share Units (each of which represents a contingent right to receive one (1) Ordinary Share of the Issuer) (which are represented by 205,209 ADSs); (ii) 345,712 Ordinary Shares underlying 43,214 ADSs; and (iii) 7 Ordinary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to report the vesting of certain previously reported Restricted Share Units which was inadvertently omitted in the Form 4 filed on May 3, 2023. The aggregate total in column 5 of Table I hereof reflects the total aggregate holdings after accounting for the sales reported in the Form 4 filed on May 3,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6820"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4021</Characters>
  <CharactersWithSpaces>4689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