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612140</wp:posOffset>
            </wp:positionV>
            <wp:extent cx="72466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5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4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September 2019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4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Number: 001-38067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Verona Pharma plc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(Translation of registrant's name into English)</w:t>
      </w: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2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3 More London Riverside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London SE1 2RE UK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+44 203 283 4200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(Address of principal executive office)</w:t>
      </w: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4640" w:right="999" w:hanging="4628"/>
        <w:spacing w:after="0" w:line="34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Indicate by check mark whether the registrant files or will file annual reports under cover of Form 20-F or Form 40-F. 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342900</wp:posOffset>
            </wp:positionV>
            <wp:extent cx="72466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195" w:right="1440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INFORMATION CONTAINED IN THIS REPORT ON FORM 6-K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right="10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September 6, 2019, Polar Capital LLP notified Verona Pharma plc (the "Company") using a Form TR1 that its voting rights in the Company have crossed the 5% threshold following its acquisition of further shares in the Company.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Form TR1 is furnished herewith as Exhibit 1 to this Report on Form 6-K.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INDEX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Exhibit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No.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740" w:type="dxa"/>
            <w:vAlign w:val="bottom"/>
          </w:tcPr>
          <w:p>
            <w:pPr>
              <w:ind w:left="3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</w:t>
            </w:r>
          </w:p>
        </w:tc>
      </w:tr>
      <w:tr>
        <w:trPr>
          <w:trHeight w:val="376"/>
        </w:trPr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spacing w:after="0"/>
              <w:rPr>
                <w:rFonts w:ascii="Arial" w:cs="Arial" w:eastAsia="Arial" w:hAnsi="Arial"/>
                <w:sz w:val="18"/>
                <w:szCs w:val="18"/>
                <w:color w:val="0000FF"/>
              </w:rPr>
            </w:pPr>
            <w:hyperlink w:anchor="page3">
              <w:r>
                <w:rPr>
                  <w:rFonts w:ascii="Arial" w:cs="Arial" w:eastAsia="Arial" w:hAnsi="Arial"/>
                  <w:sz w:val="18"/>
                  <w:szCs w:val="18"/>
                  <w:color w:val="0000FF"/>
                </w:rPr>
                <w:t>1</w:t>
              </w:r>
            </w:hyperlink>
          </w:p>
        </w:tc>
        <w:tc>
          <w:tcPr>
            <w:tcW w:w="1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5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rFonts w:ascii="Arial" w:cs="Arial" w:eastAsia="Arial" w:hAnsi="Arial"/>
                <w:sz w:val="18"/>
                <w:szCs w:val="18"/>
                <w:color w:val="0000FF"/>
              </w:rPr>
            </w:pPr>
            <w:hyperlink w:anchor="page3">
              <w:r>
                <w:rPr>
                  <w:rFonts w:ascii="Arial" w:cs="Arial" w:eastAsia="Arial" w:hAnsi="Arial"/>
                  <w:sz w:val="18"/>
                  <w:szCs w:val="18"/>
                  <w:color w:val="0000FF"/>
                </w:rPr>
                <w:t>Form TR1</w:t>
              </w:r>
            </w:hyperlink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right="30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VERONA PHARMA PLC</w:t>
      </w:r>
    </w:p>
    <w:p>
      <w:pPr>
        <w:spacing w:after="0" w:line="335" w:lineRule="exact"/>
        <w:rPr>
          <w:sz w:val="20"/>
          <w:szCs w:val="20"/>
          <w:color w:val="auto"/>
        </w:rPr>
      </w:pPr>
    </w:p>
    <w:tbl>
      <w:tblPr>
        <w:tblLayout w:type="fixed"/>
        <w:tblInd w:w="1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September 19, 2019</w:t>
            </w:r>
          </w:p>
        </w:tc>
        <w:tc>
          <w:tcPr>
            <w:tcW w:w="132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Claire Poll</w:t>
            </w:r>
          </w:p>
        </w:tc>
        <w:tc>
          <w:tcPr>
            <w:tcW w:w="3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5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Claire Poll</w:t>
            </w:r>
          </w:p>
        </w:tc>
      </w:tr>
      <w:tr>
        <w:trPr>
          <w:trHeight w:val="270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Legal Counsel</w:t>
            </w: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574" w:right="239" w:bottom="1440" w:gutter="0" w:footer="0" w:header="0"/>
        </w:sectPr>
      </w:pPr>
    </w:p>
    <w:bookmarkStart w:id="2" w:name="page3"/>
    <w:bookmarkEnd w:id="2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565150</wp:posOffset>
            </wp:positionV>
            <wp:extent cx="727202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TR-1: Standard form for notification of major holdings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388620</wp:posOffset>
            </wp:positionV>
            <wp:extent cx="7254875" cy="205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4875" cy="20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 xml:space="preserve">NOTIFICATION OF MAJOR HOLDINGS </w:t>
      </w:r>
      <w:r>
        <w:rPr>
          <w:rFonts w:ascii="Arial" w:cs="Arial" w:eastAsia="Arial" w:hAnsi="Arial"/>
          <w:sz w:val="20"/>
          <w:szCs w:val="20"/>
          <w:color w:val="auto"/>
        </w:rPr>
        <w:t>(to be sent to the relevant issuer</w:t>
      </w: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20"/>
          <w:szCs w:val="20"/>
          <w:u w:val="single" w:color="auto"/>
          <w:color w:val="auto"/>
        </w:rPr>
        <w:t>and</w:t>
      </w: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20"/>
          <w:szCs w:val="20"/>
          <w:color w:val="auto"/>
        </w:rPr>
        <w:t>to the FCA in Microsoft Word format if possible)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i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5"/>
        </w:trPr>
        <w:tc>
          <w:tcPr>
            <w:tcW w:w="58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gridSpan w:val="5"/>
          </w:tcPr>
          <w:p>
            <w:pPr>
              <w:ind w:left="4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1a. Identity of the issuer or the underlying issuer of existing</w:t>
            </w:r>
          </w:p>
        </w:tc>
        <w:tc>
          <w:tcPr>
            <w:tcW w:w="1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  <w:vMerge w:val="restart"/>
          </w:tcPr>
          <w:p>
            <w:pPr>
              <w:jc w:val="right"/>
              <w:ind w:right="18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Verona Pharma Plc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740" w:type="dxa"/>
            <w:vAlign w:val="bottom"/>
            <w:tcBorders>
              <w:left w:val="single" w:sz="8" w:color="auto"/>
              <w:bottom w:val="single" w:sz="8" w:color="auto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shares to which voting rights are attached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ii</w:t>
            </w: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:</w:t>
            </w: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9400" w:type="dxa"/>
            <w:vAlign w:val="bottom"/>
            <w:tcBorders>
              <w:left w:val="single" w:sz="8" w:color="auto"/>
              <w:bottom w:val="single" w:sz="8" w:color="auto"/>
            </w:tcBorders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 xml:space="preserve">1b. Please indicate if the issuer is a non-UK issuer 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(please mark with an “X” if appropriate)</w:t>
            </w: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5"/>
        </w:trPr>
        <w:tc>
          <w:tcPr>
            <w:tcW w:w="2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2.</w:t>
            </w:r>
          </w:p>
        </w:tc>
        <w:tc>
          <w:tcPr>
            <w:tcW w:w="75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 xml:space="preserve">Reason for the notification 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(please mark the appropriate box or boxes with an “X”)</w:t>
            </w: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740" w:type="dxa"/>
            <w:vAlign w:val="bottom"/>
            <w:tcBorders>
              <w:left w:val="single" w:sz="8" w:color="auto"/>
              <w:bottom w:val="single" w:sz="8" w:color="auto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An acquisition or disposal of voting rights</w:t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4740" w:type="dxa"/>
            <w:vAlign w:val="bottom"/>
            <w:tcBorders>
              <w:left w:val="single" w:sz="8" w:color="auto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An acquisition or disposal of financial instruments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4740" w:type="dxa"/>
            <w:vAlign w:val="bottom"/>
            <w:tcBorders>
              <w:left w:val="single" w:sz="8" w:color="auto"/>
              <w:bottom w:val="single" w:sz="8" w:color="auto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4740" w:type="dxa"/>
            <w:vAlign w:val="bottom"/>
            <w:tcBorders>
              <w:left w:val="single" w:sz="8" w:color="auto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An event changing the breakdown of voting rights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3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3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Other (please specify)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iii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:</w:t>
            </w:r>
          </w:p>
        </w:tc>
        <w:tc>
          <w:tcPr>
            <w:tcW w:w="2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3.</w:t>
            </w:r>
          </w:p>
        </w:tc>
        <w:tc>
          <w:tcPr>
            <w:tcW w:w="56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Details of person subject to the notification obligation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iv</w:t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3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</w:t>
            </w:r>
          </w:p>
        </w:tc>
        <w:tc>
          <w:tcPr>
            <w:tcW w:w="2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Polar Capital LLP</w:t>
            </w: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4740" w:type="dxa"/>
            <w:vAlign w:val="bottom"/>
            <w:tcBorders>
              <w:left w:val="single" w:sz="8" w:color="auto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City and country of registered office (if applicable)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4.</w:t>
            </w:r>
          </w:p>
        </w:tc>
        <w:tc>
          <w:tcPr>
            <w:tcW w:w="45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 xml:space="preserve">Full name of shareholder(s) 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(if different from 3.)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v</w:t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3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Name</w:t>
            </w:r>
          </w:p>
        </w:tc>
        <w:tc>
          <w:tcPr>
            <w:tcW w:w="2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740" w:type="dxa"/>
            <w:vAlign w:val="bottom"/>
            <w:tcBorders>
              <w:left w:val="single" w:sz="8" w:color="auto"/>
              <w:bottom w:val="single" w:sz="8" w:color="auto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City and country of registered office (if applicable)</w:t>
            </w: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5.</w:t>
            </w:r>
          </w:p>
        </w:tc>
        <w:tc>
          <w:tcPr>
            <w:tcW w:w="564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Date on which the threshold was crossed or reached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vi</w:t>
            </w: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:</w:t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04/09/2019</w:t>
            </w: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6.</w:t>
            </w:r>
          </w:p>
        </w:tc>
        <w:tc>
          <w:tcPr>
            <w:tcW w:w="45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Date on which issuer notified (DD/MM/YYYY):</w:t>
            </w: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06/09/2019</w:t>
            </w: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7.</w:t>
            </w:r>
          </w:p>
        </w:tc>
        <w:tc>
          <w:tcPr>
            <w:tcW w:w="68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Total positions of person(s) subject to the notification obligation</w:t>
            </w: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% of voting rights attached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ind w:right="41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% of voting rights through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Total of both in % (8.A +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jc w:val="center"/>
              <w:ind w:right="41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financial instruments</w:t>
            </w:r>
          </w:p>
        </w:tc>
        <w:tc>
          <w:tcPr>
            <w:tcW w:w="228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2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Total number of voting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to shares (total of 8. 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8.B)</w:t>
            </w: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(total of 8.B 1 + 8.B 2)</w:t>
            </w: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rights of issuer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vertAlign w:val="superscript"/>
              </w:rPr>
              <w:t>vii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32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Resulting situation on the</w:t>
            </w:r>
          </w:p>
        </w:tc>
        <w:tc>
          <w:tcPr>
            <w:tcW w:w="23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4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 on which threshold</w:t>
            </w:r>
          </w:p>
        </w:tc>
        <w:tc>
          <w:tcPr>
            <w:tcW w:w="23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right"/>
              <w:ind w:right="1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8"/>
              </w:rPr>
              <w:t>5.03%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8"/>
              </w:rPr>
              <w:t>5.03%</w:t>
            </w: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105,326,637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3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was crossed or reached</w:t>
            </w:r>
          </w:p>
        </w:tc>
        <w:tc>
          <w:tcPr>
            <w:tcW w:w="230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32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4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Position of previous</w:t>
            </w:r>
          </w:p>
        </w:tc>
        <w:tc>
          <w:tcPr>
            <w:tcW w:w="23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4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notification (if</w:t>
            </w:r>
          </w:p>
        </w:tc>
        <w:tc>
          <w:tcPr>
            <w:tcW w:w="23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3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applicable)</w:t>
            </w:r>
          </w:p>
        </w:tc>
        <w:tc>
          <w:tcPr>
            <w:tcW w:w="23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40"/>
          </w:cols>
          <w:pgMar w:left="240" w:top="1242" w:right="219" w:bottom="1440" w:gutter="0" w:footer="0" w:header="0"/>
        </w:sectPr>
      </w:pPr>
    </w:p>
    <w:bookmarkStart w:id="3" w:name="page4"/>
    <w:bookmarkEnd w:id="3"/>
    <w:p>
      <w:pPr>
        <w:ind w:left="260" w:hanging="211"/>
        <w:spacing w:after="0"/>
        <w:tabs>
          <w:tab w:leader="none" w:pos="260" w:val="left"/>
        </w:tabs>
        <w:numPr>
          <w:ilvl w:val="0"/>
          <w:numId w:val="1"/>
        </w:numPr>
        <w:rPr>
          <w:rFonts w:ascii="Arial" w:cs="Arial" w:eastAsia="Arial" w:hAnsi="Arial"/>
          <w:sz w:val="20"/>
          <w:szCs w:val="20"/>
          <w:b w:val="1"/>
          <w:bCs w:val="1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328930</wp:posOffset>
            </wp:positionV>
            <wp:extent cx="7254875" cy="1878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4875" cy="1878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Notified details of the resulting situation on the date on which the threshold was crossed or reached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viii</w:t>
      </w:r>
    </w:p>
    <w:p>
      <w:pPr>
        <w:spacing w:after="0" w:line="53" w:lineRule="exact"/>
        <w:rPr>
          <w:rFonts w:ascii="Arial" w:cs="Arial" w:eastAsia="Arial" w:hAnsi="Arial"/>
          <w:sz w:val="20"/>
          <w:szCs w:val="20"/>
          <w:b w:val="1"/>
          <w:bCs w:val="1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20"/>
          <w:szCs w:val="20"/>
          <w:b w:val="1"/>
          <w:bCs w:val="1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A: Voting rights attached to shares</w:t>
      </w:r>
    </w:p>
    <w:p>
      <w:pPr>
        <w:spacing w:after="0" w:line="6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Class/type of</w:t>
            </w:r>
          </w:p>
        </w:tc>
        <w:tc>
          <w:tcPr>
            <w:tcW w:w="22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Number of voting rights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  <w:vertAlign w:val="superscript"/>
              </w:rPr>
              <w:t>ix</w:t>
            </w: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% of voting rights</w:t>
            </w: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Direct</w:t>
            </w:r>
          </w:p>
        </w:tc>
        <w:tc>
          <w:tcPr>
            <w:tcW w:w="1940" w:type="dxa"/>
            <w:vAlign w:val="bottom"/>
            <w:vMerge w:val="restart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6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Direct</w:t>
            </w:r>
          </w:p>
        </w:tc>
        <w:tc>
          <w:tcPr>
            <w:tcW w:w="2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(Art 9 of Directive 2004/109/EC)</w:t>
            </w:r>
          </w:p>
        </w:tc>
        <w:tc>
          <w:tcPr>
            <w:tcW w:w="1940" w:type="dxa"/>
            <w:vAlign w:val="bottom"/>
          </w:tcPr>
          <w:p>
            <w:pPr>
              <w:jc w:val="center"/>
              <w:ind w:left="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(Art 10 of Directive</w:t>
            </w:r>
          </w:p>
        </w:tc>
        <w:tc>
          <w:tcPr>
            <w:tcW w:w="2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(Art 9 of Directive 2004/109/EC)</w:t>
            </w:r>
          </w:p>
        </w:tc>
        <w:tc>
          <w:tcPr>
            <w:tcW w:w="21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(Art 10 of Directive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ISIN code (if possible)</w:t>
            </w:r>
          </w:p>
        </w:tc>
        <w:tc>
          <w:tcPr>
            <w:tcW w:w="2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(DTR5.1)</w:t>
            </w: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2004/109/EC) (DTR5.2.1)</w:t>
            </w:r>
          </w:p>
        </w:tc>
        <w:tc>
          <w:tcPr>
            <w:tcW w:w="2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(DTR5.1)</w:t>
            </w: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2004/109/EC) (DTR5.2.1)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5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GB00BYW2KH80</w:t>
            </w:r>
          </w:p>
        </w:tc>
        <w:tc>
          <w:tcPr>
            <w:tcW w:w="2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5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4,500,000</w:t>
            </w: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4.27%</w:t>
            </w: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3"/>
        </w:trPr>
        <w:tc>
          <w:tcPr>
            <w:tcW w:w="2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3"/>
        </w:trPr>
        <w:tc>
          <w:tcPr>
            <w:tcW w:w="2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1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SUBTOTAL 8. A</w:t>
            </w:r>
          </w:p>
        </w:tc>
        <w:tc>
          <w:tcPr>
            <w:tcW w:w="4160" w:type="dxa"/>
            <w:vAlign w:val="bottom"/>
          </w:tcPr>
          <w:p>
            <w:pPr>
              <w:jc w:val="right"/>
              <w:ind w:right="17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4,500,000</w:t>
            </w:r>
          </w:p>
        </w:tc>
        <w:tc>
          <w:tcPr>
            <w:tcW w:w="2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4.27%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147320</wp:posOffset>
            </wp:positionV>
            <wp:extent cx="7254875" cy="17411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4875" cy="1741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B 1: Financial Instruments according to Art. 13(1)(a) of Directive 2004/109/EC (DTR5.3.1.1 (a))</w:t>
      </w:r>
    </w:p>
    <w:p>
      <w:pPr>
        <w:spacing w:after="0" w:line="4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25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top w:val="single" w:sz="8" w:color="auto"/>
            </w:tcBorders>
          </w:tcPr>
          <w:p>
            <w:pPr>
              <w:ind w:left="48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Number of voting rights that</w:t>
            </w:r>
          </w:p>
        </w:tc>
        <w:tc>
          <w:tcPr>
            <w:tcW w:w="2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Type of financial instrument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48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may be acquired if the</w:t>
            </w:r>
          </w:p>
        </w:tc>
        <w:tc>
          <w:tcPr>
            <w:tcW w:w="22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% of voting rights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0" w:type="dxa"/>
            <w:vAlign w:val="bottom"/>
          </w:tcPr>
          <w:p>
            <w:pPr>
              <w:ind w:left="2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Exercise/</w:t>
            </w:r>
          </w:p>
        </w:tc>
        <w:tc>
          <w:tcPr>
            <w:tcW w:w="3060" w:type="dxa"/>
            <w:vAlign w:val="bottom"/>
          </w:tcPr>
          <w:p>
            <w:pPr>
              <w:ind w:left="48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instrument is</w:t>
            </w: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date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vertAlign w:val="superscript"/>
              </w:rPr>
              <w:t>x</w:t>
            </w: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Conversion Period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vertAlign w:val="superscript"/>
              </w:rPr>
              <w:t>xi</w:t>
            </w:r>
          </w:p>
        </w:tc>
        <w:tc>
          <w:tcPr>
            <w:tcW w:w="3060" w:type="dxa"/>
            <w:vAlign w:val="bottom"/>
            <w:tcBorders>
              <w:bottom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exercised/converted.</w:t>
            </w:r>
          </w:p>
        </w:tc>
        <w:tc>
          <w:tcPr>
            <w:tcW w:w="2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US9250501064</w:t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N/A</w:t>
            </w: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N/A</w:t>
            </w:r>
          </w:p>
        </w:tc>
        <w:tc>
          <w:tcPr>
            <w:tcW w:w="3060" w:type="dxa"/>
            <w:vAlign w:val="bottom"/>
            <w:tcBorders>
              <w:bottom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800,000</w:t>
            </w:r>
          </w:p>
        </w:tc>
        <w:tc>
          <w:tcPr>
            <w:tcW w:w="2280" w:type="dxa"/>
            <w:vAlign w:val="bottom"/>
            <w:tcBorders>
              <w:bottom w:val="single" w:sz="8" w:color="auto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0.76%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0"/>
        </w:trPr>
        <w:tc>
          <w:tcPr>
            <w:tcW w:w="2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0"/>
        </w:trPr>
        <w:tc>
          <w:tcPr>
            <w:tcW w:w="2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39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SUBTOTAL 8. B 1</w:t>
            </w:r>
          </w:p>
        </w:tc>
        <w:tc>
          <w:tcPr>
            <w:tcW w:w="2280" w:type="dxa"/>
            <w:vAlign w:val="bottom"/>
          </w:tcPr>
          <w:p>
            <w:pPr>
              <w:jc w:val="right"/>
              <w:ind w:right="9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800,000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0.76%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146685</wp:posOffset>
            </wp:positionV>
            <wp:extent cx="7254875" cy="17583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4875" cy="175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40" w:right="320"/>
        <w:spacing w:after="0" w:line="2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B 2: Financial Instruments with similar economic effect according to Art. 13(1)(b) of Directive 2004/109/EC (DTR5.3.1.1 (b))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Type of financial</w:t>
            </w:r>
          </w:p>
        </w:tc>
        <w:tc>
          <w:tcPr>
            <w:tcW w:w="18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</w:tcPr>
          <w:p>
            <w:pPr>
              <w:ind w:left="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Exercise/</w:t>
            </w:r>
          </w:p>
        </w:tc>
        <w:tc>
          <w:tcPr>
            <w:tcW w:w="168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Physical or cash</w:t>
            </w:r>
          </w:p>
        </w:tc>
        <w:tc>
          <w:tcPr>
            <w:tcW w:w="1800" w:type="dxa"/>
            <w:vAlign w:val="bottom"/>
            <w:tcBorders>
              <w:top w:val="single" w:sz="8" w:color="auto"/>
            </w:tcBorders>
          </w:tcPr>
          <w:p>
            <w:pPr>
              <w:ind w:left="20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Number of voting</w:t>
            </w:r>
          </w:p>
        </w:tc>
        <w:tc>
          <w:tcPr>
            <w:tcW w:w="2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% of voting rights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instrument</w:t>
            </w: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date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vertAlign w:val="superscript"/>
              </w:rPr>
              <w:t>x</w:t>
            </w: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 xml:space="preserve">Conversion Period 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vertAlign w:val="superscript"/>
              </w:rPr>
              <w:t>xi</w:t>
            </w: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settlement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vertAlign w:val="superscript"/>
              </w:rPr>
              <w:t>xii</w:t>
            </w: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rights</w:t>
            </w: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0"/>
        </w:trPr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0"/>
        </w:trPr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0"/>
        </w:trPr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SUBTOTAL 8.B.2</w:t>
      </w:r>
    </w:p>
    <w:p>
      <w:pPr>
        <w:sectPr>
          <w:pgSz w:w="11900" w:h="16838" w:orient="portrait"/>
          <w:cols w:equalWidth="0" w:num="1">
            <w:col w:w="11440"/>
          </w:cols>
          <w:pgMar w:left="240" w:top="527" w:right="219" w:bottom="1440" w:gutter="0" w:footer="0" w:header="0"/>
        </w:sectPr>
      </w:pPr>
    </w:p>
    <w:bookmarkStart w:id="4" w:name="page5"/>
    <w:bookmarkEnd w:id="4"/>
    <w:p>
      <w:pPr>
        <w:ind w:left="40" w:right="2780" w:firstLine="9"/>
        <w:spacing w:after="0" w:line="264" w:lineRule="auto"/>
        <w:tabs>
          <w:tab w:leader="none" w:pos="260" w:val="left"/>
        </w:tabs>
        <w:numPr>
          <w:ilvl w:val="0"/>
          <w:numId w:val="2"/>
        </w:numPr>
        <w:rPr>
          <w:rFonts w:ascii="Arial" w:cs="Arial" w:eastAsia="Arial" w:hAnsi="Arial"/>
          <w:sz w:val="20"/>
          <w:szCs w:val="20"/>
          <w:b w:val="1"/>
          <w:bCs w:val="1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328930</wp:posOffset>
            </wp:positionV>
            <wp:extent cx="7254875" cy="31045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4875" cy="310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Information in relation to the person subject to the notification obligation </w:t>
      </w:r>
      <w:r>
        <w:rPr>
          <w:rFonts w:ascii="Arial" w:cs="Arial" w:eastAsia="Arial" w:hAnsi="Arial"/>
          <w:sz w:val="20"/>
          <w:szCs w:val="20"/>
          <w:color w:val="auto"/>
        </w:rPr>
        <w:t>(please mark the</w:t>
      </w: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20"/>
          <w:szCs w:val="20"/>
          <w:color w:val="auto"/>
        </w:rPr>
        <w:t>applicable box with an “X”)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5"/>
        </w:trPr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72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Person subject to the notification obligation is not controlled by any natural person or legal entity and does not control any other</w:t>
            </w: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7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undertaking(s) holding directly or indirectly an interest in the (underlying) issuer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xiii</w:t>
            </w: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7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Full chain of controlled undertakings through which the voting rights and/or the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2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7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financial instruments are effectively held starting with the ultimate controlling natural person or legal entity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xiv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 (please add additional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7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rows as necessary)</w:t>
            </w: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40"/>
          </w:cols>
          <w:pgMar w:left="240" w:top="527" w:right="219" w:bottom="1440" w:gutter="0" w:footer="0" w:header="0"/>
        </w:sectPr>
      </w:pPr>
    </w:p>
    <w:p>
      <w:pPr>
        <w:spacing w:after="0" w:line="89" w:lineRule="exact"/>
        <w:rPr>
          <w:sz w:val="20"/>
          <w:szCs w:val="20"/>
          <w:color w:val="auto"/>
        </w:rPr>
      </w:pPr>
    </w:p>
    <w:tbl>
      <w:tblPr>
        <w:tblLayout w:type="fixed"/>
        <w:tblInd w:w="1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jc w:val="center"/>
              <w:ind w:lef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% of voting rights if it equals</w:t>
            </w:r>
          </w:p>
        </w:tc>
      </w:tr>
      <w:tr>
        <w:trPr>
          <w:trHeight w:val="216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jc w:val="center"/>
              <w:ind w:left="50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or is higher than the</w:t>
            </w:r>
          </w:p>
        </w:tc>
      </w:tr>
      <w:tr>
        <w:trPr>
          <w:trHeight w:val="389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Name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xv</w:t>
            </w:r>
          </w:p>
        </w:tc>
        <w:tc>
          <w:tcPr>
            <w:tcW w:w="3300" w:type="dxa"/>
            <w:vAlign w:val="bottom"/>
          </w:tcPr>
          <w:p>
            <w:pPr>
              <w:jc w:val="center"/>
              <w:ind w:lef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notifiable threshold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1891030</wp:posOffset>
            </wp:positionV>
            <wp:extent cx="7254875" cy="7289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4875" cy="72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1"/>
        </w:trPr>
        <w:tc>
          <w:tcPr>
            <w:tcW w:w="2680" w:type="dxa"/>
            <w:vAlign w:val="bottom"/>
          </w:tcPr>
          <w:p>
            <w:pPr>
              <w:jc w:val="center"/>
              <w:ind w:right="21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% of voting rights through</w:t>
            </w:r>
          </w:p>
        </w:tc>
        <w:tc>
          <w:tcPr>
            <w:tcW w:w="2800" w:type="dxa"/>
            <w:vAlign w:val="bottom"/>
            <w:vMerge w:val="restart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Total of both if it equals or 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80" w:type="dxa"/>
            <w:vAlign w:val="bottom"/>
            <w:vMerge w:val="restart"/>
          </w:tcPr>
          <w:p>
            <w:pPr>
              <w:jc w:val="center"/>
              <w:ind w:right="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financial instruments if it</w:t>
            </w:r>
          </w:p>
        </w:tc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vMerge w:val="restart"/>
          </w:tcPr>
          <w:p>
            <w:pPr>
              <w:jc w:val="center"/>
              <w:ind w:left="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higher than the notifiable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80" w:type="dxa"/>
            <w:vAlign w:val="bottom"/>
            <w:vMerge w:val="restart"/>
          </w:tcPr>
          <w:p>
            <w:pPr>
              <w:jc w:val="center"/>
              <w:ind w:right="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equals or is higher than the</w:t>
            </w:r>
          </w:p>
        </w:tc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vMerge w:val="restart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threshold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68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notifiable threshold</w:t>
            </w:r>
          </w:p>
        </w:tc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660" w:space="220"/>
            <w:col w:w="5560"/>
          </w:cols>
          <w:pgMar w:left="240" w:top="527" w:right="219" w:bottom="144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ind w:left="40" w:right="7360" w:firstLine="9"/>
        <w:spacing w:after="0" w:line="297" w:lineRule="auto"/>
        <w:tabs>
          <w:tab w:leader="none" w:pos="370" w:val="left"/>
        </w:tabs>
        <w:numPr>
          <w:ilvl w:val="0"/>
          <w:numId w:val="3"/>
        </w:numPr>
        <w:rPr>
          <w:rFonts w:ascii="Arial" w:cs="Arial" w:eastAsia="Arial" w:hAnsi="Arial"/>
          <w:sz w:val="20"/>
          <w:szCs w:val="20"/>
          <w:b w:val="1"/>
          <w:bCs w:val="1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 xml:space="preserve">In case of proxy voting, please identify: </w:t>
      </w:r>
      <w:r>
        <w:rPr>
          <w:rFonts w:ascii="Arial" w:cs="Arial" w:eastAsia="Arial" w:hAnsi="Arial"/>
          <w:sz w:val="20"/>
          <w:szCs w:val="20"/>
          <w:color w:val="auto"/>
        </w:rPr>
        <w:t>Name of the proxy holder</w:t>
      </w:r>
    </w:p>
    <w:p>
      <w:pPr>
        <w:ind w:left="40"/>
        <w:spacing w:after="0"/>
        <w:rPr>
          <w:rFonts w:ascii="Arial" w:cs="Arial" w:eastAsia="Arial" w:hAnsi="Arial"/>
          <w:sz w:val="20"/>
          <w:szCs w:val="20"/>
          <w:b w:val="1"/>
          <w:bCs w:val="1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The number and % of voting rights held</w:t>
      </w:r>
    </w:p>
    <w:p>
      <w:pPr>
        <w:spacing w:after="0" w:line="53" w:lineRule="exact"/>
        <w:rPr>
          <w:rFonts w:ascii="Arial" w:cs="Arial" w:eastAsia="Arial" w:hAnsi="Arial"/>
          <w:sz w:val="20"/>
          <w:szCs w:val="20"/>
          <w:b w:val="1"/>
          <w:bCs w:val="1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20"/>
          <w:szCs w:val="20"/>
          <w:b w:val="1"/>
          <w:bCs w:val="1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The date until which the voting rights will be held</w:t>
      </w:r>
    </w:p>
    <w:p>
      <w:pPr>
        <w:spacing w:after="0" w:line="200" w:lineRule="exact"/>
        <w:rPr>
          <w:rFonts w:ascii="Arial" w:cs="Arial" w:eastAsia="Arial" w:hAnsi="Arial"/>
          <w:sz w:val="20"/>
          <w:szCs w:val="20"/>
          <w:b w:val="1"/>
          <w:bCs w:val="1"/>
          <w:color w:val="auto"/>
        </w:rPr>
      </w:pPr>
    </w:p>
    <w:p>
      <w:pPr>
        <w:spacing w:after="0" w:line="378" w:lineRule="exact"/>
        <w:rPr>
          <w:rFonts w:ascii="Arial" w:cs="Arial" w:eastAsia="Arial" w:hAnsi="Arial"/>
          <w:sz w:val="20"/>
          <w:szCs w:val="20"/>
          <w:b w:val="1"/>
          <w:bCs w:val="1"/>
          <w:color w:val="auto"/>
        </w:rPr>
      </w:pPr>
    </w:p>
    <w:p>
      <w:pPr>
        <w:ind w:left="360" w:hanging="311"/>
        <w:spacing w:after="0"/>
        <w:tabs>
          <w:tab w:leader="none" w:pos="360" w:val="left"/>
        </w:tabs>
        <w:numPr>
          <w:ilvl w:val="0"/>
          <w:numId w:val="3"/>
        </w:numPr>
        <w:rPr>
          <w:rFonts w:ascii="Arial" w:cs="Arial" w:eastAsia="Arial" w:hAnsi="Arial"/>
          <w:sz w:val="20"/>
          <w:szCs w:val="20"/>
          <w:b w:val="1"/>
          <w:bCs w:val="1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Additional information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xvi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7254875" cy="76327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4875" cy="763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4"/>
        </w:trPr>
        <w:tc>
          <w:tcPr>
            <w:tcW w:w="266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Place of completion</w:t>
            </w:r>
          </w:p>
        </w:tc>
        <w:tc>
          <w:tcPr>
            <w:tcW w:w="878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London, U.K</w:t>
            </w:r>
          </w:p>
        </w:tc>
      </w:tr>
      <w:tr>
        <w:trPr>
          <w:trHeight w:val="264"/>
        </w:trPr>
        <w:tc>
          <w:tcPr>
            <w:tcW w:w="2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Date of completion</w:t>
            </w:r>
          </w:p>
        </w:tc>
        <w:tc>
          <w:tcPr>
            <w:tcW w:w="8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06/09/2019</w:t>
            </w:r>
          </w:p>
        </w:tc>
      </w:tr>
    </w:tbl>
    <w:p>
      <w:pPr>
        <w:sectPr>
          <w:pgSz w:w="11900" w:h="16838" w:orient="portrait"/>
          <w:cols w:equalWidth="0" w:num="1">
            <w:col w:w="11440"/>
          </w:cols>
          <w:pgMar w:left="240" w:top="527" w:right="219" w:bottom="1440" w:gutter="0" w:footer="0" w:header="0"/>
          <w:type w:val="continuous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further information, please contact:</w:t>
      </w:r>
    </w:p>
    <w:p>
      <w:pPr>
        <w:sectPr>
          <w:pgSz w:w="11900" w:h="16838" w:orient="portrait"/>
          <w:cols w:equalWidth="0" w:num="1">
            <w:col w:w="10219"/>
          </w:cols>
          <w:pgMar w:left="240" w:top="360" w:right="1440" w:bottom="1440" w:gutter="0" w:footer="0" w:header="0"/>
        </w:sectPr>
      </w:pP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Verona Pharma plc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Tel: +44 (0)20 3283 4200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560" w:space="720"/>
            <w:col w:w="2939"/>
          </w:cols>
          <w:pgMar w:left="240" w:top="360" w:right="1440" w:bottom="1440" w:gutter="0" w:footer="0" w:header="0"/>
          <w:type w:val="continuous"/>
        </w:sect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Jan-Anders Karlsson, Chief Executive Officer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Victoria Stewart, Director of Communications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info@veronapharma.com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560" w:space="720"/>
            <w:col w:w="2939"/>
          </w:cols>
          <w:pgMar w:left="240" w:top="360" w:right="1440" w:bottom="1440" w:gutter="0" w:footer="0" w:header="0"/>
          <w:type w:val="continuous"/>
        </w:sectPr>
      </w:pP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N+1 Singer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(Nominated Adviser and UK Broker)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Tel: +44 (0)20 3283 4200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560" w:space="720"/>
            <w:col w:w="2939"/>
          </w:cols>
          <w:pgMar w:left="240" w:top="360" w:right="1440" w:bottom="1440" w:gutter="0" w:footer="0" w:header="0"/>
          <w:type w:val="continuous"/>
        </w:sect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Aubrey Powell /Jen Boorer /Iqra Amin (Corporate Finance)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Mia Gardner (Corporate Broking)</w:t>
      </w:r>
    </w:p>
    <w:sectPr>
      <w:pgSz w:w="11900" w:h="16838" w:orient="portrait"/>
      <w:cols w:equalWidth="0" w:num="1">
        <w:col w:w="10219"/>
      </w:cols>
      <w:pgMar w:left="240" w:top="360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8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9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10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2020-01-07T23:34:46Z</dcterms:created>
  <dcterms:modified xsi:type="dcterms:W3CDTF">2020-01-07T23:34:46Z</dcterms:modified>
</cp:coreProperties>
</file>