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Verona Pharma plc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925050106</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John Heard</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Abingworth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Princes House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38 Jermyn Street</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London, England SW1Y 6DN</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+44 20 7534 1500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April 29,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7" w:lineRule="exact"/>
        <w:rPr>
          <w:sz w:val="24"/>
          <w:szCs w:val="24"/>
          <w:color w:val="auto"/>
        </w:rPr>
      </w:pPr>
    </w:p>
    <w:p>
      <w:pPr>
        <w:ind w:left="4" w:right="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186055</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12"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82"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060" w:type="dxa"/>
            <w:vAlign w:val="bottom"/>
            <w:gridSpan w:val="6"/>
          </w:tcPr>
          <w:p>
            <w:pPr>
              <w:jc w:val="center"/>
              <w:ind w:right="290"/>
              <w:spacing w:after="0"/>
              <w:rPr>
                <w:sz w:val="20"/>
                <w:szCs w:val="20"/>
                <w:color w:val="auto"/>
              </w:rPr>
            </w:pPr>
            <w:r>
              <w:rPr>
                <w:rFonts w:ascii="Arial" w:cs="Arial" w:eastAsia="Arial" w:hAnsi="Arial"/>
                <w:sz w:val="18"/>
                <w:szCs w:val="18"/>
                <w:color w:val="auto"/>
                <w:w w:val="91"/>
              </w:rPr>
              <w:t>CUSIP No. 925050106</w:t>
            </w:r>
          </w:p>
        </w:tc>
        <w:tc>
          <w:tcPr>
            <w:tcW w:w="6060" w:type="dxa"/>
            <w:vAlign w:val="bottom"/>
          </w:tcPr>
          <w:p>
            <w:pPr>
              <w:ind w:left="3520"/>
              <w:spacing w:after="0"/>
              <w:rPr>
                <w:sz w:val="20"/>
                <w:szCs w:val="20"/>
                <w:color w:val="auto"/>
              </w:rPr>
            </w:pPr>
            <w:r>
              <w:rPr>
                <w:rFonts w:ascii="Arial" w:cs="Arial" w:eastAsia="Arial" w:hAnsi="Arial"/>
                <w:sz w:val="18"/>
                <w:szCs w:val="18"/>
                <w:color w:val="auto"/>
              </w:rPr>
              <w:t>13D</w:t>
            </w:r>
          </w:p>
        </w:tc>
        <w:tc>
          <w:tcPr>
            <w:tcW w:w="2900" w:type="dxa"/>
            <w:vAlign w:val="bottom"/>
            <w:gridSpan w:val="2"/>
          </w:tcPr>
          <w:p>
            <w:pPr>
              <w:ind w:left="1620"/>
              <w:spacing w:after="0"/>
              <w:rPr>
                <w:sz w:val="20"/>
                <w:szCs w:val="20"/>
                <w:color w:val="auto"/>
              </w:rPr>
            </w:pPr>
            <w:r>
              <w:rPr>
                <w:rFonts w:ascii="Arial" w:cs="Arial" w:eastAsia="Arial" w:hAnsi="Arial"/>
                <w:sz w:val="18"/>
                <w:szCs w:val="18"/>
                <w:color w:val="auto"/>
                <w:w w:val="86"/>
              </w:rPr>
              <w:t>Page 1 of 5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80" w:type="dxa"/>
            <w:vAlign w:val="bottom"/>
            <w:tcBorders>
              <w:bottom w:val="single" w:sz="8" w:color="auto"/>
            </w:tcBorders>
            <w:gridSpan w:val="2"/>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Abingworth LLP</w:t>
            </w: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768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8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060" w:type="dxa"/>
            <w:vAlign w:val="bottom"/>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62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06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0"/>
              </w:rPr>
              <w:t>England and Wales</w:t>
            </w: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0</w:t>
            </w: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60" w:type="dxa"/>
            <w:vAlign w:val="bottom"/>
            <w:tcBorders>
              <w:bottom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1"/>
                <w:szCs w:val="11"/>
                <w:color w:val="auto"/>
              </w:rPr>
            </w:pPr>
          </w:p>
        </w:tc>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8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6060" w:type="dxa"/>
            <w:vAlign w:val="bottom"/>
            <w:vMerge w:val="continue"/>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4"/>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21,313,822</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60" w:type="dxa"/>
            <w:vAlign w:val="bottom"/>
            <w:tcBorders>
              <w:bottom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6"/>
                <w:szCs w:val="6"/>
                <w:color w:val="auto"/>
              </w:rPr>
            </w:pPr>
          </w:p>
        </w:tc>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8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tcBorders>
            <w:gridSpan w:val="3"/>
            <w:vMerge w:val="restart"/>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tcBorders>
            <w:gridSpan w:val="3"/>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28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60"/>
              <w:spacing w:after="0" w:line="157" w:lineRule="exact"/>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21,313,822</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tcPr>
          <w:p>
            <w:pPr>
              <w:jc w:val="right"/>
              <w:spacing w:after="0"/>
              <w:rPr>
                <w:sz w:val="20"/>
                <w:szCs w:val="20"/>
                <w:color w:val="auto"/>
              </w:rPr>
            </w:pPr>
            <w:r>
              <w:rPr>
                <w:rFonts w:ascii="Arial" w:cs="Arial" w:eastAsia="Arial" w:hAnsi="Arial"/>
                <w:sz w:val="15"/>
                <w:szCs w:val="15"/>
                <w:color w:val="auto"/>
                <w:w w:val="73"/>
              </w:rPr>
              <w:t>Amount</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Beneficially Owned by Each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21,313,822</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0"/>
        </w:trPr>
        <w:tc>
          <w:tcPr>
            <w:tcW w:w="2060" w:type="dxa"/>
            <w:vAlign w:val="bottom"/>
            <w:gridSpan w:val="6"/>
          </w:tcPr>
          <w:p>
            <w:pPr>
              <w:jc w:val="center"/>
              <w:ind w:right="290"/>
              <w:spacing w:after="0"/>
              <w:rPr>
                <w:sz w:val="20"/>
                <w:szCs w:val="20"/>
                <w:color w:val="auto"/>
              </w:rPr>
            </w:pPr>
            <w:r>
              <w:rPr>
                <w:rFonts w:ascii="Arial" w:cs="Arial" w:eastAsia="Arial" w:hAnsi="Arial"/>
                <w:sz w:val="18"/>
                <w:szCs w:val="18"/>
                <w:color w:val="auto"/>
                <w:w w:val="91"/>
              </w:rPr>
              <w:t>CUSIP No. 925050106</w:t>
            </w:r>
          </w:p>
        </w:tc>
        <w:tc>
          <w:tcPr>
            <w:tcW w:w="6060" w:type="dxa"/>
            <w:vAlign w:val="bottom"/>
          </w:tcPr>
          <w:p>
            <w:pPr>
              <w:ind w:left="3520"/>
              <w:spacing w:after="0"/>
              <w:rPr>
                <w:sz w:val="20"/>
                <w:szCs w:val="20"/>
                <w:color w:val="auto"/>
              </w:rPr>
            </w:pPr>
            <w:r>
              <w:rPr>
                <w:rFonts w:ascii="Arial" w:cs="Arial" w:eastAsia="Arial" w:hAnsi="Arial"/>
                <w:sz w:val="18"/>
                <w:szCs w:val="18"/>
                <w:color w:val="auto"/>
              </w:rPr>
              <w:t>13D</w:t>
            </w:r>
          </w:p>
        </w:tc>
        <w:tc>
          <w:tcPr>
            <w:tcW w:w="2900" w:type="dxa"/>
            <w:vAlign w:val="bottom"/>
            <w:gridSpan w:val="2"/>
          </w:tcPr>
          <w:p>
            <w:pPr>
              <w:ind w:left="1620"/>
              <w:spacing w:after="0"/>
              <w:rPr>
                <w:sz w:val="20"/>
                <w:szCs w:val="20"/>
                <w:color w:val="auto"/>
              </w:rPr>
            </w:pPr>
            <w:r>
              <w:rPr>
                <w:rFonts w:ascii="Arial" w:cs="Arial" w:eastAsia="Arial" w:hAnsi="Arial"/>
                <w:sz w:val="18"/>
                <w:szCs w:val="18"/>
                <w:color w:val="auto"/>
                <w:w w:val="86"/>
              </w:rPr>
              <w:t>Page 2 of 5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80" w:type="dxa"/>
            <w:vAlign w:val="bottom"/>
            <w:tcBorders>
              <w:bottom w:val="single" w:sz="8" w:color="auto"/>
            </w:tcBorders>
            <w:gridSpan w:val="2"/>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Abingworth Bioventures VI LP</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768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8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060" w:type="dxa"/>
            <w:vAlign w:val="bottom"/>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62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06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0"/>
              </w:rPr>
              <w:t>England and Wales</w:t>
            </w: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0</w:t>
            </w: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60" w:type="dxa"/>
            <w:vAlign w:val="bottom"/>
            <w:tcBorders>
              <w:bottom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1"/>
                <w:szCs w:val="11"/>
                <w:color w:val="auto"/>
              </w:rPr>
            </w:pPr>
          </w:p>
        </w:tc>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8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6060" w:type="dxa"/>
            <w:vAlign w:val="bottom"/>
            <w:vMerge w:val="continue"/>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4"/>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21,313,822</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ind w:right="110"/>
              <w:spacing w:after="0"/>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60" w:type="dxa"/>
            <w:vAlign w:val="bottom"/>
            <w:tcBorders>
              <w:bottom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6"/>
                <w:szCs w:val="6"/>
                <w:color w:val="auto"/>
              </w:rPr>
            </w:pPr>
          </w:p>
        </w:tc>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8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tcBorders>
            <w:gridSpan w:val="3"/>
            <w:vMerge w:val="restart"/>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tcBorders>
            <w:gridSpan w:val="3"/>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28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60"/>
              <w:spacing w:after="0" w:line="157" w:lineRule="exact"/>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21,313,822</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tcPr>
          <w:p>
            <w:pPr>
              <w:jc w:val="right"/>
              <w:spacing w:after="0"/>
              <w:rPr>
                <w:sz w:val="20"/>
                <w:szCs w:val="20"/>
                <w:color w:val="auto"/>
              </w:rPr>
            </w:pPr>
            <w:r>
              <w:rPr>
                <w:rFonts w:ascii="Arial" w:cs="Arial" w:eastAsia="Arial" w:hAnsi="Arial"/>
                <w:sz w:val="15"/>
                <w:szCs w:val="15"/>
                <w:color w:val="auto"/>
                <w:w w:val="73"/>
              </w:rPr>
              <w:t>Amount</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Beneficially Owned by Each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21,313,822</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3 of 5 pages</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This Amendment No. 2 to Schedule 13D (“Amendment No. 2”) amends and supplements the Schedule 13D originally filed with the United States Securities and Exchange Commission on May 8, 2017 (as amended to date, the “Schedule 13D”), relating to the ordinary shares, nominal value £0.05 per share (the “Ordinary Shares”), of Verona Pharma plc, a public limited company organized under the laws of the United Kingdom (the “Issuer”). Capitalized terms used herein without definition shall have the meanings set forth in the Schedule 13D.</w:t>
      </w:r>
    </w:p>
    <w:p>
      <w:pPr>
        <w:spacing w:after="0" w:line="316"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25" w:lineRule="exact"/>
        <w:rPr>
          <w:sz w:val="20"/>
          <w:szCs w:val="20"/>
          <w:color w:val="auto"/>
        </w:rPr>
      </w:pPr>
    </w:p>
    <w:p>
      <w:pPr>
        <w:ind w:left="4" w:right="40" w:hanging="4"/>
        <w:spacing w:after="0" w:line="257"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 (b) The following sets forth, as of the date of this Schedule 13D, the aggregate number of Ordinary Shares and percentage of Ordinary Shares beneficially owned by each of the Reporting Persons, as well as the number of Ordinary Shares as to which each Reporting Person has the sole power to vote or to direct the vote, shared power to vote or to direct the vote, sole power to dispose or to direct the disposition of, or shared power to dispose or to direct the disposition of, as of the date hereof, based on 482,944,390 Ordinary Shares outstanding as of April 29, 2022, as disclosed in the Issuer’s quarterly report on Form 10-Q filed on May 3, 2022.</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Shared</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Sole power</w:t>
            </w:r>
          </w:p>
        </w:tc>
        <w:tc>
          <w:tcPr>
            <w:tcW w:w="920" w:type="dxa"/>
            <w:vAlign w:val="bottom"/>
          </w:tcPr>
          <w:p>
            <w:pPr>
              <w:jc w:val="center"/>
              <w:ind w:right="3"/>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power to</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power to</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to dispose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Percent</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vote or</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vote or to</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or to direct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dispose or to</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Reporting Person</w:t>
            </w:r>
          </w:p>
        </w:tc>
        <w:tc>
          <w:tcPr>
            <w:tcW w:w="4160" w:type="dxa"/>
            <w:vAlign w:val="bottom"/>
            <w:vMerge w:val="restart"/>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beneficially</w:t>
            </w: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to direct</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direct the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the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0" w:type="dxa"/>
            <w:vAlign w:val="bottom"/>
          </w:tcPr>
          <w:p>
            <w:pPr>
              <w:spacing w:after="0"/>
              <w:rPr>
                <w:sz w:val="1"/>
                <w:szCs w:val="1"/>
                <w:color w:val="auto"/>
              </w:rPr>
            </w:pPr>
          </w:p>
        </w:tc>
      </w:tr>
      <w:tr>
        <w:trPr>
          <w:trHeight w:val="163"/>
        </w:trPr>
        <w:tc>
          <w:tcPr>
            <w:tcW w:w="1080" w:type="dxa"/>
            <w:vAlign w:val="bottom"/>
            <w:tcBorders>
              <w:bottom w:val="single" w:sz="8" w:color="auto"/>
            </w:tcBorders>
            <w:vMerge w:val="continue"/>
          </w:tcPr>
          <w:p>
            <w:pPr>
              <w:spacing w:after="0"/>
              <w:rPr>
                <w:sz w:val="13"/>
                <w:szCs w:val="13"/>
                <w:color w:val="auto"/>
              </w:rPr>
            </w:pPr>
          </w:p>
        </w:tc>
        <w:tc>
          <w:tcPr>
            <w:tcW w:w="4160" w:type="dxa"/>
            <w:vAlign w:val="bottom"/>
            <w:vMerge w:val="continue"/>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owned</w:t>
            </w:r>
          </w:p>
        </w:tc>
        <w:tc>
          <w:tcPr>
            <w:tcW w:w="88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4"/>
              </w:rPr>
              <w:t>of class</w:t>
            </w:r>
          </w:p>
        </w:tc>
        <w:tc>
          <w:tcPr>
            <w:tcW w:w="7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the vote</w:t>
            </w: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3"/>
              </w:rPr>
              <w:t>vote</w:t>
            </w:r>
          </w:p>
        </w:tc>
        <w:tc>
          <w:tcPr>
            <w:tcW w:w="9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88"/>
              </w:rPr>
              <w:t>disposition</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Abingworth LLP</w:t>
            </w: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21,313,822</w:t>
            </w:r>
          </w:p>
        </w:tc>
        <w:tc>
          <w:tcPr>
            <w:tcW w:w="2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21,313,822</w:t>
            </w:r>
          </w:p>
        </w:tc>
        <w:tc>
          <w:tcPr>
            <w:tcW w:w="2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vMerge w:val="continue"/>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21,313,822</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Abingworth Bioventures VI LP</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21,313,822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21,313,822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21,313,822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Includes the following securities held of record by held of record by Abingworth Bioventures VI LP: (i) 1 Ordinary Share, (ii) 19,660,000 Ordinary Shares underlying 2,457,500 American Depository Shares, and (iii) 1,404,221 Ordinary Shares underlying warrants convertible within 60 days of the date hereof. Also includes 249,600 Ordinary Shares underlying stock options exercisable within 60 days of the date hereof.</w:t>
      </w:r>
    </w:p>
    <w:p>
      <w:pPr>
        <w:spacing w:after="0" w:line="16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Abingworth Bioventures VI LP has delegated to Abingworth LLP all investment and dispositive power over the securities held of record by Abingworth Bioventures VI LP. Accordingly, each of the foregoing entities may be deemed to share beneficial ownership of the securities held of record by Abingworth Bioventures VI LP, but each disclaims beneficial ownership of such securities.</w:t>
      </w:r>
    </w:p>
    <w:p>
      <w:pPr>
        <w:spacing w:after="0" w:line="89"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past 60 days, the Reporting Persons have not effected any transactions with respect to the Ordinary Shares.</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ectPr>
          <w:pgSz w:w="11900" w:h="16838" w:orient="portrait"/>
          <w:cols w:equalWidth="0" w:num="1">
            <w:col w:w="11024"/>
          </w:cols>
          <w:pgMar w:left="436" w:top="274" w:right="439" w:bottom="1440" w:gutter="0" w:footer="0" w:header="0"/>
        </w:sectPr>
      </w:pPr>
    </w:p>
    <w:bookmarkStart w:id="4" w:name="page5"/>
    <w:bookmarkEnd w:id="4"/>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4 of 5 pages</w:t>
      </w:r>
    </w:p>
    <w:p>
      <w:pPr>
        <w:spacing w:after="0" w:line="158" w:lineRule="exact"/>
        <w:rPr>
          <w:sz w:val="20"/>
          <w:szCs w:val="20"/>
          <w:color w:val="auto"/>
        </w:rPr>
      </w:pPr>
    </w:p>
    <w:p>
      <w:pPr>
        <w:ind w:left="544" w:right="580" w:hanging="544"/>
        <w:spacing w:after="0" w:line="277" w:lineRule="auto"/>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approximately April 29, 2022, the Reporting Persons ceased to be the beneficial owner of more than five percent of the outstanding Ordinary Shares.</w:t>
      </w:r>
    </w:p>
    <w:p>
      <w:pPr>
        <w:sectPr>
          <w:pgSz w:w="11900" w:h="16838" w:orient="portrait"/>
          <w:cols w:equalWidth="0" w:num="1">
            <w:col w:w="11024"/>
          </w:cols>
          <w:pgMar w:left="436" w:top="274" w:right="439" w:bottom="1440" w:gutter="0" w:footer="0" w:header="0"/>
        </w:sectPr>
      </w:pPr>
    </w:p>
    <w:bookmarkStart w:id="5" w:name="page6"/>
    <w:bookmarkEnd w:id="5"/>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5 of 5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August 11,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Abingworth LLP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Heard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John Heard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Abingworth Bioventures VI LP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Heard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John Heard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2022-08-12T04:03:58Z</dcterms:created>
  <dcterms:modified xsi:type="dcterms:W3CDTF">2022-08-12T04:03:58Z</dcterms:modified>
</cp:coreProperties>
</file>