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5, 2025</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001-38067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480" w:firstLine="75"/>
        <w:spacing w:after="0" w:line="454" w:lineRule="auto"/>
        <w:tabs>
          <w:tab w:leader="none" w:pos="7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2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w:t>
            </w:r>
          </w:p>
        </w:tc>
        <w:tc>
          <w:tcPr>
            <w:tcW w:w="2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nominal value £0.05 per share*</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VRNA</w:t>
            </w:r>
          </w:p>
        </w:tc>
        <w:tc>
          <w:tcPr>
            <w:tcW w:w="2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00" w:lineRule="exact"/>
        <w:rPr>
          <w:sz w:val="24"/>
          <w:szCs w:val="24"/>
          <w:color w:val="auto"/>
        </w:rPr>
      </w:pPr>
    </w:p>
    <w:p>
      <w:pPr>
        <w:ind w:firstLine="8"/>
        <w:spacing w:after="0" w:line="284" w:lineRule="auto"/>
        <w:tabs>
          <w:tab w:leader="none" w:pos="157"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9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2025, the Remuneration Committee of the Board of Directors of Verona Pharma plc (the “Company”) approved an amendment (the “Amendment”) to the Verona Pharma plc Employee Change in Control Severance Benefit Plan (as amended and/or restated from time to time, the “Severance Plan”), subject to the occurrence of the Closing (as defined in the Transaction Agreement, dated as of July 8, 2025, by and among Merck Sharp &amp; Dohme LLC, Vol Holdings LLC and the Company (the “Transaction Agreement”)) and effective as of immediately prior to the Closing.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Amendment, (i) the time period following a Change in Control (as defined in the Severance Plan) in which a qualifying termination of employment may occur resulting in severance benefits under the Severance Plan shall be extended from twelve months to twenty-four months; (ii) the definition of a “Qualifying Resignation” shall be revised to generally mean an eligible employee’s resignation after receiving and declining a long-term offer of employment from the Company after completing any reasonable knowledge transfer and administrative support requests; and (iii) the minimum severance period for benefits available under the Severance Plan shall be increased from three months to six months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that the Transaction Agreement is terminated prior to the occurrence of the Closing, the Amendment shall be void.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is filed as Exhibit 10.1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4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1010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Amendment to Verona Pharma plc Employee Change in Control Severance Benefit Plan.</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0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AMENDMENT TO THE</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EMPLOYEE CHANGE IN CONTROL SEVERANCE BENEFIT PLAN</w:t>
      </w:r>
    </w:p>
    <w:p>
      <w:pPr>
        <w:spacing w:after="0" w:line="207"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AMENDMENT TO THE VERONA PHARMA PLC EMPLOYEE CHANGE IN CONTROL SEVERANCE BENEFIT PLAN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was made and adopted on September 5, 2025 by Verona Pharma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Capitalized terms used but not otherwise defined herein shall have the respective meanings ascribed to them in the Verona Pharma plc Employee Change in Control Severance Benefit Plan (as amended and/or restated from time to time in accordance with the terms thereof,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pursuant to the terms of Section 9 of the Plan, the Company desires to amend the terms of the Plan as set forth herein.</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NOW, THEREFORE, BE IT RESOLVED, that, subject to the occurrence of the Closing (as defined in the Transaction Agreement, dated as of July 8, 2025 (the “</w:t>
      </w:r>
      <w:r>
        <w:rPr>
          <w:rFonts w:ascii="Times New Roman" w:cs="Times New Roman" w:eastAsia="Times New Roman" w:hAnsi="Times New Roman"/>
          <w:sz w:val="18"/>
          <w:szCs w:val="18"/>
          <w:b w:val="1"/>
          <w:bCs w:val="1"/>
          <w:i w:val="1"/>
          <w:iCs w:val="1"/>
          <w:color w:val="auto"/>
        </w:rPr>
        <w:t>Transaction Agreement</w:t>
      </w:r>
      <w:r>
        <w:rPr>
          <w:rFonts w:ascii="Times New Roman" w:cs="Times New Roman" w:eastAsia="Times New Roman" w:hAnsi="Times New Roman"/>
          <w:sz w:val="18"/>
          <w:szCs w:val="18"/>
          <w:color w:val="auto"/>
        </w:rPr>
        <w:t>”), by and among Merck Sharp &amp; Dohme LLC, Vol Holdings LLC and the Company), the Plan be and hereby is amended as follows, effective as of immediately prior to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definition of “Change in Control Related Termination” in Section 2 of the Plan shall be amended and restated in its entirety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left="66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Related Termination</w:t>
      </w:r>
      <w:r>
        <w:rPr>
          <w:rFonts w:ascii="Times New Roman" w:cs="Times New Roman" w:eastAsia="Times New Roman" w:hAnsi="Times New Roman"/>
          <w:sz w:val="18"/>
          <w:szCs w:val="18"/>
          <w:color w:val="auto"/>
        </w:rPr>
        <w:t>” with respect to an Eligible Employee means such Eligible Employee’s Qualifying Termination that occurs upon or during the twenty-four (24) month period immediately following a Change in Control.</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definition of “Qualifying Resignation” in Section 2 of the Plan shall be amended and restated in its entirety to read as follows:</w:t>
      </w:r>
    </w:p>
    <w:p>
      <w:pPr>
        <w:spacing w:after="0" w:line="221" w:lineRule="exact"/>
        <w:rPr>
          <w:sz w:val="20"/>
          <w:szCs w:val="20"/>
          <w:color w:val="auto"/>
        </w:rPr>
      </w:pPr>
    </w:p>
    <w:p>
      <w:pPr>
        <w:jc w:val="both"/>
        <w:ind w:left="660"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Resignation</w:t>
      </w:r>
      <w:r>
        <w:rPr>
          <w:rFonts w:ascii="Times New Roman" w:cs="Times New Roman" w:eastAsia="Times New Roman" w:hAnsi="Times New Roman"/>
          <w:sz w:val="18"/>
          <w:szCs w:val="18"/>
          <w:color w:val="auto"/>
        </w:rPr>
        <w:t>” means an Eligible Employee’s resignation after receiving and declining a long-term offer of employment by a Participating Employer (or an affiliate or successor thereof) after completing any reasonable knowledge transfer and administrative support requests (as reasonably requested by the Participating Employer). The Plan Administrator, in its sole discretion, shall determine whether or not a Qualifying Resignation has occurred.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The chart in Section 1(a) of Appendix C to the Plan shall be amended and restated in its entirety to read as follows:</w:t>
      </w:r>
    </w:p>
    <w:p>
      <w:pPr>
        <w:spacing w:after="0" w:line="223"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5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5320" w:type="dxa"/>
            <w:vAlign w:val="bottom"/>
            <w:tcBorders>
              <w:top w:val="single" w:sz="8" w:color="auto"/>
              <w:right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81"/>
        </w:trPr>
        <w:tc>
          <w:tcPr>
            <w:tcW w:w="534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81"/>
        </w:trPr>
        <w:tc>
          <w:tcPr>
            <w:tcW w:w="534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Vice President and above</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81"/>
        </w:trPr>
        <w:tc>
          <w:tcPr>
            <w:tcW w:w="534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Director – Executive, Senior, Associate</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81"/>
        </w:trPr>
        <w:tc>
          <w:tcPr>
            <w:tcW w:w="534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r>
      <w:tr>
        <w:trPr>
          <w:trHeight w:val="237"/>
        </w:trPr>
        <w:tc>
          <w:tcPr>
            <w:tcW w:w="5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Sr. Manager and below</w:t>
            </w:r>
          </w:p>
        </w:tc>
        <w:tc>
          <w:tcPr>
            <w:tcW w:w="5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81"/>
        </w:trPr>
        <w:tc>
          <w:tcPr>
            <w:tcW w:w="5340" w:type="dxa"/>
            <w:vAlign w:val="bottom"/>
            <w:tcBorders>
              <w:left w:val="single" w:sz="8" w:color="auto"/>
              <w:bottom w:val="single" w:sz="8" w:color="auto"/>
              <w:right w:val="single" w:sz="8" w:color="auto"/>
            </w:tcBorders>
          </w:tcPr>
          <w:p>
            <w:pPr>
              <w:spacing w:after="0"/>
              <w:rPr>
                <w:sz w:val="7"/>
                <w:szCs w:val="7"/>
                <w:color w:val="auto"/>
              </w:rPr>
            </w:pPr>
          </w:p>
        </w:tc>
        <w:tc>
          <w:tcPr>
            <w:tcW w:w="5320" w:type="dxa"/>
            <w:vAlign w:val="bottom"/>
            <w:tcBorders>
              <w:bottom w:val="single" w:sz="8" w:color="auto"/>
              <w:right w:val="single" w:sz="8" w:color="auto"/>
            </w:tcBorders>
          </w:tcPr>
          <w:p>
            <w:pPr>
              <w:spacing w:after="0"/>
              <w:rPr>
                <w:sz w:val="7"/>
                <w:szCs w:val="7"/>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       This Amendment shall be and is hereby incorporated in and forms a part of the Plan. Furthermore, in the event that the Transaction Agreement is terminated prior to the occurrence of the Closing, this Amendment shall be </w:t>
      </w:r>
      <w:r>
        <w:rPr>
          <w:rFonts w:ascii="Times New Roman" w:cs="Times New Roman" w:eastAsia="Times New Roman" w:hAnsi="Times New Roman"/>
          <w:sz w:val="18"/>
          <w:szCs w:val="18"/>
          <w:i w:val="1"/>
          <w:iCs w:val="1"/>
          <w:color w:val="auto"/>
        </w:rPr>
        <w:t>void ab initio</w:t>
      </w:r>
      <w:r>
        <w:rPr>
          <w:rFonts w:ascii="Times New Roman" w:cs="Times New Roman" w:eastAsia="Times New Roman" w:hAnsi="Times New Roman"/>
          <w:sz w:val="18"/>
          <w:szCs w:val="18"/>
          <w:color w:val="auto"/>
        </w:rPr>
        <w:t>. Except as set forth herein, the Plan shall remain in full force and effect.</w:t>
      </w:r>
    </w:p>
    <w:p>
      <w:pPr>
        <w:spacing w:after="0" w:line="1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320"/>
          </w:cols>
          <w:pgMar w:left="320" w:top="351" w:right="259" w:bottom="1440" w:gutter="0" w:footer="0" w:header="0"/>
        </w:sectPr>
      </w:pPr>
    </w:p>
    <w:bookmarkStart w:id="4" w:name="page5"/>
    <w:bookmarkEnd w:id="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and as evidence of the adoption of the foregoing, the Company has executed this Amendment and has consented to the adoption of this Amendment in accordance with the terms of the Plan.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Fisher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Plan Amendment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2025-09-09T15:20:23Z</dcterms:created>
  <dcterms:modified xsi:type="dcterms:W3CDTF">2025-09-09T15:20:23Z</dcterms:modified>
</cp:coreProperties>
</file>