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954" w:gutter="0" w:footer="0" w:header="0"/>
        </w:sectPr>
      </w:pPr>
    </w:p>
    <w:p>
      <w:pPr>
        <w:spacing w:after="0" w:line="200" w:lineRule="exact"/>
        <w:rPr>
          <w:sz w:val="24"/>
          <w:szCs w:val="24"/>
          <w:color w:val="auto"/>
        </w:rPr>
      </w:pPr>
    </w:p>
    <w:p>
      <w:pPr>
        <w:spacing w:after="0" w:line="289"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001-39067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760" w:right="339" w:bottom="954"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954"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396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Title of each class</w:t>
            </w:r>
          </w:p>
        </w:tc>
        <w:tc>
          <w:tcPr>
            <w:tcW w:w="382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460" w:type="dxa"/>
            <w:vAlign w:val="bottom"/>
            <w:tcBorders>
              <w:top w:val="single" w:sz="8" w:color="auto"/>
              <w:right w:val="single" w:sz="8" w:color="auto"/>
            </w:tcBorders>
          </w:tcPr>
          <w:p>
            <w:pPr>
              <w:ind w:left="480"/>
              <w:spacing w:after="0" w:line="195" w:lineRule="exact"/>
              <w:rPr>
                <w:sz w:val="20"/>
                <w:szCs w:val="20"/>
                <w:color w:val="auto"/>
              </w:rPr>
            </w:pPr>
            <w:r>
              <w:rPr>
                <w:rFonts w:ascii="Arial" w:cs="Arial" w:eastAsia="Arial" w:hAnsi="Arial"/>
                <w:sz w:val="18"/>
                <w:szCs w:val="18"/>
                <w:color w:val="auto"/>
              </w:rPr>
              <w:t>Name of each exchange on which</w:t>
            </w:r>
          </w:p>
        </w:tc>
      </w:tr>
      <w:tr>
        <w:trPr>
          <w:trHeight w:val="230"/>
        </w:trPr>
        <w:tc>
          <w:tcPr>
            <w:tcW w:w="396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r>
      <w:tr>
        <w:trPr>
          <w:trHeight w:val="195"/>
        </w:trPr>
        <w:tc>
          <w:tcPr>
            <w:tcW w:w="39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Ordinary shares, nominal value £0.05</w:t>
            </w:r>
          </w:p>
        </w:tc>
        <w:tc>
          <w:tcPr>
            <w:tcW w:w="3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VRNA</w:t>
            </w:r>
          </w:p>
        </w:tc>
        <w:tc>
          <w:tcPr>
            <w:tcW w:w="3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Global Market</w:t>
            </w:r>
          </w:p>
        </w:tc>
      </w:tr>
      <w:tr>
        <w:trPr>
          <w:trHeight w:val="23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per share*</w:t>
            </w:r>
          </w:p>
        </w:tc>
        <w:tc>
          <w:tcPr>
            <w:tcW w:w="382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954" w:gutter="0" w:footer="0" w:header="0"/>
          <w:type w:val="continuous"/>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February 24, 2021, the Board of Directors (the “Board”) of Verona Pharma plc (the “Company”) increased the size of the Board from nine to ten directors and appointed Lisa Deschamps as a non-executive director, effective as of March 1, 2021. Ms. Deschamps has been appointed to the Nomination and Corporate Governance Committee of the Board (the “Nomination Committee”), replacing Anders Ullman on the Nomination Committee.</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non-executive director, Ms. Deschamps will receive a £30,000 annual retainer for her service on the Board and a £3,000 annual retainer for her service on the Nomination Committee. On the effective date of her appointment, Ms. Deschamps received an award of 14,500 Restricted Share Units (as defined in the Verona Pharma plc 2017 Incentive Award Plan), represented by American Depositary Shares, each of which represents eight (8) Ordinary Shares of the Company, that will vest in four equal installments on each of May 1, 2021, August 1, 2021, November 1, 2021 and February 1, 2022, subject to continued service on the Board through each such vesting date.</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connection with her appointment, Ms. Deschamps entered into the Company’s standard letter of appointment for non-executive directors and also entered into the Company’s standard director deed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2, 2021</w:t>
            </w:r>
          </w:p>
        </w:tc>
        <w:tc>
          <w:tcPr>
            <w:tcW w:w="2640" w:type="dxa"/>
            <w:vAlign w:val="bottom"/>
          </w:tcPr>
          <w:p>
            <w:pPr>
              <w:ind w:left="21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Zaccardelli, Pharm. D.</w:t>
            </w:r>
          </w:p>
        </w:tc>
      </w:tr>
      <w:tr>
        <w:trPr>
          <w:trHeight w:val="195"/>
        </w:trPr>
        <w:tc>
          <w:tcPr>
            <w:tcW w:w="3620" w:type="dxa"/>
            <w:vAlign w:val="bottom"/>
          </w:tcPr>
          <w:p>
            <w:pPr>
              <w:spacing w:after="0"/>
              <w:rPr>
                <w:sz w:val="16"/>
                <w:szCs w:val="16"/>
                <w:color w:val="auto"/>
              </w:rPr>
            </w:pPr>
          </w:p>
        </w:tc>
        <w:tc>
          <w:tcPr>
            <w:tcW w:w="2640" w:type="dxa"/>
            <w:vAlign w:val="bottom"/>
          </w:tcPr>
          <w:p>
            <w:pPr>
              <w:ind w:left="2120"/>
              <w:spacing w:after="0" w:line="195" w:lineRule="exact"/>
              <w:rPr>
                <w:sz w:val="20"/>
                <w:szCs w:val="20"/>
                <w:color w:val="auto"/>
              </w:rPr>
            </w:pPr>
            <w:r>
              <w:rPr>
                <w:rFonts w:ascii="Arial" w:cs="Arial" w:eastAsia="Arial" w:hAnsi="Arial"/>
                <w:sz w:val="18"/>
                <w:szCs w:val="18"/>
                <w:color w:val="auto"/>
                <w:w w:val="94"/>
              </w:rPr>
              <w:t>Name:</w:t>
            </w:r>
          </w:p>
        </w:tc>
        <w:tc>
          <w:tcPr>
            <w:tcW w:w="4980" w:type="dxa"/>
            <w:vAlign w:val="bottom"/>
          </w:tcPr>
          <w:p>
            <w:pPr>
              <w:ind w:left="40"/>
              <w:spacing w:after="0" w:line="195" w:lineRule="exact"/>
              <w:rPr>
                <w:sz w:val="20"/>
                <w:szCs w:val="20"/>
                <w:color w:val="auto"/>
              </w:rPr>
            </w:pPr>
            <w:r>
              <w:rPr>
                <w:rFonts w:ascii="Arial" w:cs="Arial" w:eastAsia="Arial" w:hAnsi="Arial"/>
                <w:sz w:val="18"/>
                <w:szCs w:val="18"/>
                <w:color w:val="auto"/>
              </w:rPr>
              <w:t>David Zaccardelli, Pharm. D.</w:t>
            </w:r>
          </w:p>
        </w:tc>
      </w:tr>
      <w:tr>
        <w:trPr>
          <w:trHeight w:val="230"/>
        </w:trPr>
        <w:tc>
          <w:tcPr>
            <w:tcW w:w="3620" w:type="dxa"/>
            <w:vAlign w:val="bottom"/>
          </w:tcPr>
          <w:p>
            <w:pPr>
              <w:spacing w:after="0"/>
              <w:rPr>
                <w:sz w:val="20"/>
                <w:szCs w:val="20"/>
                <w:color w:val="auto"/>
              </w:rPr>
            </w:pPr>
          </w:p>
        </w:tc>
        <w:tc>
          <w:tcPr>
            <w:tcW w:w="2640" w:type="dxa"/>
            <w:vAlign w:val="bottom"/>
          </w:tcPr>
          <w:p>
            <w:pPr>
              <w:ind w:left="2120"/>
              <w:spacing w:after="0"/>
              <w:rPr>
                <w:sz w:val="20"/>
                <w:szCs w:val="20"/>
                <w:color w:val="auto"/>
              </w:rPr>
            </w:pPr>
            <w:r>
              <w:rPr>
                <w:rFonts w:ascii="Arial" w:cs="Arial" w:eastAsia="Arial" w:hAnsi="Arial"/>
                <w:sz w:val="18"/>
                <w:szCs w:val="18"/>
                <w:color w:val="auto"/>
              </w:rPr>
              <w:t>Title:</w:t>
            </w:r>
          </w:p>
        </w:tc>
        <w:tc>
          <w:tcPr>
            <w:tcW w:w="49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432"/>
        </w:trPr>
        <w:tc>
          <w:tcPr>
            <w:tcW w:w="36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2021-03-02T08:07:04Z</dcterms:created>
  <dcterms:modified xsi:type="dcterms:W3CDTF">2021-03-02T08:07:04Z</dcterms:modified>
</cp:coreProperties>
</file>