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(Amendment No. 1)*</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925050106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OrbiMed Advisors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OrbiMed Capital GP VI LLC</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601 Lexington Avenue, 54th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739-6400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24,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jc w:val="both"/>
        <w:ind w:right="2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 240.13d-7(b) for other parties to whom copies are to be sent.</w:t>
      </w:r>
    </w:p>
    <w:p>
      <w:pPr>
        <w:spacing w:after="0" w:line="170"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34"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240665</wp:posOffset>
            </wp:positionV>
            <wp:extent cx="7263765" cy="7461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746125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925050106</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OrbiMed Advisors LLC</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1000" w:hanging="584"/>
        <w:spacing w:after="0" w:line="207" w:lineRule="exact"/>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15" w:lineRule="exact"/>
        <w:rPr>
          <w:rFonts w:ascii="Arial" w:cs="Arial" w:eastAsia="Arial" w:hAnsi="Arial"/>
          <w:sz w:val="18"/>
          <w:szCs w:val="18"/>
          <w:color w:val="auto"/>
        </w:rPr>
      </w:pPr>
    </w:p>
    <w:p>
      <w:pPr>
        <w:ind w:left="10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ind w:left="1000"/>
              <w:spacing w:after="0"/>
              <w:rPr>
                <w:sz w:val="20"/>
                <w:szCs w:val="20"/>
                <w:color w:val="auto"/>
              </w:rPr>
            </w:pPr>
            <w:r>
              <w:rPr>
                <w:rFonts w:ascii="Arial" w:cs="Arial" w:eastAsia="Arial" w:hAnsi="Arial"/>
                <w:sz w:val="18"/>
                <w:szCs w:val="18"/>
                <w:color w:val="auto"/>
                <w:w w:val="94"/>
              </w:rPr>
              <w:t>SEC USE ONLY</w:t>
            </w:r>
          </w:p>
        </w:tc>
        <w:tc>
          <w:tcPr>
            <w:tcW w:w="9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20"/>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0140" w:type="dxa"/>
            <w:vAlign w:val="bottom"/>
            <w:tcBorders>
              <w:bottom w:val="single" w:sz="8" w:color="auto"/>
            </w:tcBorders>
            <w:gridSpan w:val="3"/>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0140" w:type="dxa"/>
            <w:vAlign w:val="bottom"/>
            <w:gridSpan w:val="3"/>
          </w:tcPr>
          <w:p>
            <w:pPr>
              <w:ind w:left="1000"/>
              <w:spacing w:after="0"/>
              <w:rPr>
                <w:sz w:val="20"/>
                <w:szCs w:val="20"/>
                <w:color w:val="auto"/>
              </w:rPr>
            </w:pPr>
            <w:r>
              <w:rPr>
                <w:rFonts w:ascii="Arial" w:cs="Arial" w:eastAsia="Arial" w:hAnsi="Arial"/>
                <w:sz w:val="18"/>
                <w:szCs w:val="18"/>
                <w:color w:val="auto"/>
              </w:rPr>
              <w:t>SOURCE OF FUNDS (See Instructions)</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420"/>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000"/>
              <w:spacing w:after="0"/>
              <w:rPr>
                <w:sz w:val="20"/>
                <w:szCs w:val="20"/>
                <w:color w:val="auto"/>
              </w:rPr>
            </w:pPr>
            <w:r>
              <w:rPr>
                <w:rFonts w:ascii="Arial" w:cs="Arial" w:eastAsia="Arial" w:hAnsi="Arial"/>
                <w:sz w:val="18"/>
                <w:szCs w:val="18"/>
                <w:color w:val="auto"/>
              </w:rPr>
              <w:t>AF</w:t>
            </w:r>
          </w:p>
        </w:tc>
        <w:tc>
          <w:tcPr>
            <w:tcW w:w="90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0140" w:type="dxa"/>
            <w:vAlign w:val="bottom"/>
            <w:tcBorders>
              <w:bottom w:val="single" w:sz="8" w:color="auto"/>
            </w:tcBorders>
            <w:gridSpan w:val="3"/>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0140" w:type="dxa"/>
            <w:vAlign w:val="bottom"/>
            <w:gridSpan w:val="3"/>
          </w:tcPr>
          <w:p>
            <w:pPr>
              <w:ind w:left="10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3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300" w:type="dxa"/>
            <w:vAlign w:val="bottom"/>
          </w:tcPr>
          <w:p>
            <w:pPr>
              <w:ind w:left="420"/>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0140" w:type="dxa"/>
            <w:vAlign w:val="bottom"/>
            <w:tcBorders>
              <w:bottom w:val="single" w:sz="8" w:color="auto"/>
            </w:tcBorders>
            <w:gridSpan w:val="3"/>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0140" w:type="dxa"/>
            <w:vAlign w:val="bottom"/>
            <w:gridSpan w:val="3"/>
          </w:tcPr>
          <w:p>
            <w:pPr>
              <w:ind w:left="100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420"/>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000"/>
              <w:spacing w:after="0"/>
              <w:rPr>
                <w:sz w:val="20"/>
                <w:szCs w:val="20"/>
                <w:color w:val="auto"/>
              </w:rPr>
            </w:pPr>
            <w:r>
              <w:rPr>
                <w:rFonts w:ascii="Arial" w:cs="Arial" w:eastAsia="Arial" w:hAnsi="Arial"/>
                <w:sz w:val="18"/>
                <w:szCs w:val="18"/>
                <w:color w:val="auto"/>
              </w:rPr>
              <w:t>Delaware</w:t>
            </w:r>
          </w:p>
        </w:tc>
        <w:tc>
          <w:tcPr>
            <w:tcW w:w="90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2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9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7</w:t>
            </w:r>
          </w:p>
        </w:tc>
        <w:tc>
          <w:tcPr>
            <w:tcW w:w="69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694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694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900" w:type="dxa"/>
            <w:vAlign w:val="bottom"/>
            <w:tcBorders>
              <w:bottom w:val="single" w:sz="8" w:color="auto"/>
              <w:right w:val="single" w:sz="8" w:color="auto"/>
            </w:tcBorders>
          </w:tcPr>
          <w:p>
            <w:pPr>
              <w:spacing w:after="0"/>
              <w:rPr>
                <w:sz w:val="6"/>
                <w:szCs w:val="6"/>
                <w:color w:val="auto"/>
              </w:rPr>
            </w:pPr>
          </w:p>
        </w:tc>
        <w:tc>
          <w:tcPr>
            <w:tcW w:w="69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30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69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8</w:t>
            </w:r>
          </w:p>
        </w:tc>
        <w:tc>
          <w:tcPr>
            <w:tcW w:w="694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3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69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vMerge w:val="continue"/>
          </w:tcPr>
          <w:p>
            <w:pPr>
              <w:spacing w:after="0"/>
              <w:rPr>
                <w:sz w:val="12"/>
                <w:szCs w:val="12"/>
                <w:color w:val="auto"/>
              </w:rPr>
            </w:pPr>
          </w:p>
        </w:tc>
        <w:tc>
          <w:tcPr>
            <w:tcW w:w="6940" w:type="dxa"/>
            <w:vAlign w:val="bottom"/>
            <w:vMerge w:val="restart"/>
          </w:tcPr>
          <w:p>
            <w:pPr>
              <w:ind w:left="60"/>
              <w:spacing w:after="0"/>
              <w:rPr>
                <w:sz w:val="20"/>
                <w:szCs w:val="20"/>
                <w:color w:val="auto"/>
              </w:rPr>
            </w:pPr>
            <w:r>
              <w:rPr>
                <w:rFonts w:ascii="Arial" w:cs="Arial" w:eastAsia="Arial" w:hAnsi="Arial"/>
                <w:sz w:val="18"/>
                <w:szCs w:val="18"/>
                <w:color w:val="auto"/>
              </w:rPr>
              <w:t>11,871,112 (1)</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3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694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900" w:type="dxa"/>
            <w:vAlign w:val="bottom"/>
            <w:tcBorders>
              <w:right w:val="single" w:sz="8" w:color="auto"/>
            </w:tcBorders>
          </w:tcPr>
          <w:p>
            <w:pPr>
              <w:spacing w:after="0"/>
              <w:rPr>
                <w:sz w:val="12"/>
                <w:szCs w:val="12"/>
                <w:color w:val="auto"/>
              </w:rPr>
            </w:pPr>
          </w:p>
        </w:tc>
        <w:tc>
          <w:tcPr>
            <w:tcW w:w="694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300" w:type="dxa"/>
            <w:vAlign w:val="bottom"/>
            <w:tcBorders>
              <w:right w:val="single" w:sz="8" w:color="auto"/>
            </w:tcBorders>
            <w:vMerge w:val="continue"/>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69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3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5"/>
              </w:rPr>
              <w:t>EACH</w:t>
            </w:r>
          </w:p>
        </w:tc>
        <w:tc>
          <w:tcPr>
            <w:tcW w:w="900" w:type="dxa"/>
            <w:vAlign w:val="bottom"/>
            <w:tcBorders>
              <w:right w:val="single" w:sz="8" w:color="auto"/>
            </w:tcBorders>
          </w:tcPr>
          <w:p>
            <w:pPr>
              <w:spacing w:after="0"/>
              <w:rPr>
                <w:sz w:val="16"/>
                <w:szCs w:val="16"/>
                <w:color w:val="auto"/>
              </w:rPr>
            </w:pPr>
          </w:p>
        </w:tc>
        <w:tc>
          <w:tcPr>
            <w:tcW w:w="69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69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0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69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right w:val="single" w:sz="8" w:color="auto"/>
            </w:tcBorders>
            <w:vMerge w:val="continue"/>
          </w:tcPr>
          <w:p>
            <w:pPr>
              <w:spacing w:after="0"/>
              <w:rPr>
                <w:sz w:val="8"/>
                <w:szCs w:val="8"/>
                <w:color w:val="auto"/>
              </w:rPr>
            </w:pPr>
          </w:p>
        </w:tc>
        <w:tc>
          <w:tcPr>
            <w:tcW w:w="694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0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9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300" w:type="dxa"/>
            <w:vAlign w:val="bottom"/>
            <w:tcBorders>
              <w:right w:val="single" w:sz="8" w:color="auto"/>
            </w:tcBorders>
            <w:vMerge w:val="restart"/>
          </w:tcPr>
          <w:p>
            <w:pPr>
              <w:jc w:val="center"/>
              <w:spacing w:after="0" w:line="170" w:lineRule="exact"/>
              <w:rPr>
                <w:sz w:val="20"/>
                <w:szCs w:val="20"/>
                <w:color w:val="auto"/>
              </w:rPr>
            </w:pPr>
            <w:r>
              <w:rPr>
                <w:rFonts w:ascii="Arial" w:cs="Arial" w:eastAsia="Arial" w:hAnsi="Arial"/>
                <w:sz w:val="18"/>
                <w:szCs w:val="18"/>
                <w:color w:val="auto"/>
              </w:rPr>
              <w:t>WITH</w:t>
            </w:r>
          </w:p>
        </w:tc>
        <w:tc>
          <w:tcPr>
            <w:tcW w:w="900" w:type="dxa"/>
            <w:vAlign w:val="bottom"/>
            <w:tcBorders>
              <w:right w:val="single" w:sz="8" w:color="auto"/>
            </w:tcBorders>
          </w:tcPr>
          <w:p>
            <w:pPr>
              <w:spacing w:after="0"/>
              <w:rPr>
                <w:sz w:val="8"/>
                <w:szCs w:val="8"/>
                <w:color w:val="auto"/>
              </w:rPr>
            </w:pPr>
          </w:p>
        </w:tc>
        <w:tc>
          <w:tcPr>
            <w:tcW w:w="69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300" w:type="dxa"/>
            <w:vAlign w:val="bottom"/>
            <w:tcBorders>
              <w:right w:val="single" w:sz="8" w:color="auto"/>
            </w:tcBorders>
            <w:vMerge w:val="continue"/>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69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69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6940" w:type="dxa"/>
            <w:vAlign w:val="bottom"/>
            <w:vMerge w:val="restart"/>
          </w:tcPr>
          <w:p>
            <w:pPr>
              <w:ind w:left="60"/>
              <w:spacing w:after="0"/>
              <w:rPr>
                <w:sz w:val="20"/>
                <w:szCs w:val="20"/>
                <w:color w:val="auto"/>
              </w:rPr>
            </w:pPr>
            <w:r>
              <w:rPr>
                <w:rFonts w:ascii="Arial" w:cs="Arial" w:eastAsia="Arial" w:hAnsi="Arial"/>
                <w:sz w:val="18"/>
                <w:szCs w:val="18"/>
                <w:color w:val="auto"/>
              </w:rPr>
              <w:t>11,871,112 (1)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694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30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69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11,871,112 (1)</w:t>
      </w:r>
    </w:p>
    <w:p>
      <w:pPr>
        <w:spacing w:after="0" w:line="124" w:lineRule="exact"/>
        <w:rPr>
          <w:sz w:val="20"/>
          <w:szCs w:val="20"/>
          <w:color w:val="auto"/>
        </w:rPr>
      </w:pPr>
    </w:p>
    <w:p>
      <w:pPr>
        <w:ind w:left="1000"/>
        <w:spacing w:after="0" w:line="207" w:lineRule="exact"/>
        <w:tabs>
          <w:tab w:leader="none" w:pos="10800" w:val="left"/>
        </w:tabs>
        <w:rPr>
          <w:sz w:val="20"/>
          <w:szCs w:val="20"/>
          <w:color w:val="auto"/>
        </w:rPr>
      </w:pPr>
      <w:r>
        <w:rPr>
          <w:rFonts w:ascii="Arial" w:cs="Arial" w:eastAsia="Arial" w:hAnsi="Arial"/>
          <w:sz w:val="18"/>
          <w:szCs w:val="18"/>
          <w:color w:val="auto"/>
        </w:rPr>
        <w:t>CHECK BOX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12</w:t>
      </w:r>
    </w:p>
    <w:p>
      <w:pPr>
        <w:spacing w:after="0" w:line="3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PERCENT OF CLASS REPRESENTED BY AMOUNT IN ROW (11)</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13</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11.12% (2)</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14</w:t>
      </w:r>
    </w:p>
    <w:p>
      <w:pPr>
        <w:spacing w:after="0" w:line="9" w:lineRule="exact"/>
        <w:rPr>
          <w:sz w:val="20"/>
          <w:szCs w:val="20"/>
          <w:color w:val="auto"/>
        </w:rPr>
      </w:pPr>
    </w:p>
    <w:p>
      <w:pPr>
        <w:jc w:val="center"/>
        <w:ind w:right="8340"/>
        <w:spacing w:after="0"/>
        <w:rPr>
          <w:sz w:val="20"/>
          <w:szCs w:val="20"/>
          <w:color w:val="auto"/>
        </w:rPr>
      </w:pPr>
      <w:r>
        <w:rPr>
          <w:rFonts w:ascii="Arial" w:cs="Arial" w:eastAsia="Arial" w:hAnsi="Arial"/>
          <w:sz w:val="18"/>
          <w:szCs w:val="18"/>
          <w:color w:val="auto"/>
        </w:rPr>
        <w:t>IA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jc w:val="both"/>
        <w:ind w:left="880" w:right="20" w:hanging="426"/>
        <w:spacing w:after="0" w:line="255"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Evidenced by (i) 6 ordinary shares (“</w:t>
      </w:r>
      <w:r>
        <w:rPr>
          <w:rFonts w:ascii="Arial" w:cs="Arial" w:eastAsia="Arial" w:hAnsi="Arial"/>
          <w:sz w:val="18"/>
          <w:szCs w:val="18"/>
          <w:u w:val="single" w:color="auto"/>
          <w:color w:val="auto"/>
        </w:rPr>
        <w:t>Ordinary Shares</w:t>
      </w:r>
      <w:r>
        <w:rPr>
          <w:rFonts w:ascii="Arial" w:cs="Arial" w:eastAsia="Arial" w:hAnsi="Arial"/>
          <w:sz w:val="18"/>
          <w:szCs w:val="18"/>
          <w:color w:val="auto"/>
        </w:rPr>
        <w:t>”) of Verona Pharma plc, a public limited company organized under the laws of England and Wales (the “</w:t>
      </w:r>
      <w:r>
        <w:rPr>
          <w:rFonts w:ascii="Arial" w:cs="Arial" w:eastAsia="Arial" w:hAnsi="Arial"/>
          <w:sz w:val="18"/>
          <w:szCs w:val="18"/>
          <w:u w:val="single" w:color="auto"/>
          <w:color w:val="auto"/>
        </w:rPr>
        <w:t>Issuer</w:t>
      </w:r>
      <w:r>
        <w:rPr>
          <w:rFonts w:ascii="Arial" w:cs="Arial" w:eastAsia="Arial" w:hAnsi="Arial"/>
          <w:sz w:val="18"/>
          <w:szCs w:val="18"/>
          <w:color w:val="auto"/>
        </w:rPr>
        <w:t>”); (ii) 1,867,938 Ordinary Shares issuable upon the exercise of warrants to purchase shares (the “</w:t>
      </w:r>
      <w:r>
        <w:rPr>
          <w:rFonts w:ascii="Arial" w:cs="Arial" w:eastAsia="Arial" w:hAnsi="Arial"/>
          <w:sz w:val="18"/>
          <w:szCs w:val="18"/>
          <w:u w:val="single" w:color="auto"/>
          <w:color w:val="auto"/>
        </w:rPr>
        <w:t>Warrants</w:t>
      </w:r>
      <w:r>
        <w:rPr>
          <w:rFonts w:ascii="Arial" w:cs="Arial" w:eastAsia="Arial" w:hAnsi="Arial"/>
          <w:sz w:val="18"/>
          <w:szCs w:val="18"/>
          <w:color w:val="auto"/>
        </w:rPr>
        <w:t>”); and (iii) 1,250,396 American Depositary Shares (“ADSs”).</w:t>
      </w:r>
    </w:p>
    <w:p>
      <w:pPr>
        <w:spacing w:after="0" w:line="190" w:lineRule="exact"/>
        <w:rPr>
          <w:rFonts w:ascii="Arial" w:cs="Arial" w:eastAsia="Arial" w:hAnsi="Arial"/>
          <w:sz w:val="18"/>
          <w:szCs w:val="18"/>
          <w:color w:val="auto"/>
        </w:rPr>
      </w:pPr>
    </w:p>
    <w:p>
      <w:pPr>
        <w:jc w:val="both"/>
        <w:ind w:left="880" w:right="20" w:hanging="426"/>
        <w:spacing w:after="0" w:line="286" w:lineRule="auto"/>
        <w:tabs>
          <w:tab w:leader="none" w:pos="88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This percentage is calculated based upon 104,884,068 outstanding Ordinary Shares (including any such Ordinary Shares represented by </w:t>
      </w:r>
      <w:r>
        <w:rPr>
          <w:rFonts w:ascii="Arial" w:cs="Arial" w:eastAsia="Arial" w:hAnsi="Arial"/>
          <w:sz w:val="17"/>
          <w:szCs w:val="17"/>
          <w:u w:val="single" w:color="auto"/>
          <w:color w:val="auto"/>
        </w:rPr>
        <w:t>ADSs</w:t>
      </w:r>
      <w:r>
        <w:rPr>
          <w:rFonts w:ascii="Arial" w:cs="Arial" w:eastAsia="Arial" w:hAnsi="Arial"/>
          <w:sz w:val="17"/>
          <w:szCs w:val="17"/>
          <w:color w:val="auto"/>
        </w:rPr>
        <w:t>) of the Issuer, as set forth in the Issuer’s Form 6-K, filed with the Securities and Exchange Commission on May 26, 2017, and includes 1,867,938 Ordinary Shares issuable upon the exercise of Warrants beneficially owned by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240665</wp:posOffset>
            </wp:positionV>
            <wp:extent cx="7263765" cy="74612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746125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925050106</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OrbiMed Capital GP VI LLC</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1000" w:hanging="584"/>
        <w:spacing w:after="0" w:line="207" w:lineRule="exact"/>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15" w:lineRule="exact"/>
        <w:rPr>
          <w:rFonts w:ascii="Arial" w:cs="Arial" w:eastAsia="Arial" w:hAnsi="Arial"/>
          <w:sz w:val="18"/>
          <w:szCs w:val="18"/>
          <w:color w:val="auto"/>
        </w:rPr>
      </w:pPr>
    </w:p>
    <w:p>
      <w:pPr>
        <w:ind w:left="10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ind w:left="1000"/>
              <w:spacing w:after="0"/>
              <w:rPr>
                <w:sz w:val="20"/>
                <w:szCs w:val="20"/>
                <w:color w:val="auto"/>
              </w:rPr>
            </w:pPr>
            <w:r>
              <w:rPr>
                <w:rFonts w:ascii="Arial" w:cs="Arial" w:eastAsia="Arial" w:hAnsi="Arial"/>
                <w:sz w:val="18"/>
                <w:szCs w:val="18"/>
                <w:color w:val="auto"/>
                <w:w w:val="94"/>
              </w:rPr>
              <w:t>SEC USE ONLY</w:t>
            </w:r>
          </w:p>
        </w:tc>
        <w:tc>
          <w:tcPr>
            <w:tcW w:w="90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20"/>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0240" w:type="dxa"/>
            <w:vAlign w:val="bottom"/>
            <w:tcBorders>
              <w:bottom w:val="single" w:sz="8" w:color="auto"/>
            </w:tcBorders>
            <w:gridSpan w:val="3"/>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0240" w:type="dxa"/>
            <w:vAlign w:val="bottom"/>
            <w:gridSpan w:val="3"/>
          </w:tcPr>
          <w:p>
            <w:pPr>
              <w:ind w:left="1000"/>
              <w:spacing w:after="0"/>
              <w:rPr>
                <w:sz w:val="20"/>
                <w:szCs w:val="20"/>
                <w:color w:val="auto"/>
              </w:rPr>
            </w:pPr>
            <w:r>
              <w:rPr>
                <w:rFonts w:ascii="Arial" w:cs="Arial" w:eastAsia="Arial" w:hAnsi="Arial"/>
                <w:sz w:val="18"/>
                <w:szCs w:val="18"/>
                <w:color w:val="auto"/>
              </w:rPr>
              <w:t>SOURCE OF FUNDS (See Instructions)</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420"/>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000"/>
              <w:spacing w:after="0"/>
              <w:rPr>
                <w:sz w:val="20"/>
                <w:szCs w:val="20"/>
                <w:color w:val="auto"/>
              </w:rPr>
            </w:pPr>
            <w:r>
              <w:rPr>
                <w:rFonts w:ascii="Arial" w:cs="Arial" w:eastAsia="Arial" w:hAnsi="Arial"/>
                <w:sz w:val="18"/>
                <w:szCs w:val="18"/>
                <w:color w:val="auto"/>
              </w:rPr>
              <w:t>AF</w:t>
            </w:r>
          </w:p>
        </w:tc>
        <w:tc>
          <w:tcPr>
            <w:tcW w:w="90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0240" w:type="dxa"/>
            <w:vAlign w:val="bottom"/>
            <w:tcBorders>
              <w:bottom w:val="single" w:sz="8" w:color="auto"/>
            </w:tcBorders>
            <w:gridSpan w:val="3"/>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0240" w:type="dxa"/>
            <w:vAlign w:val="bottom"/>
            <w:gridSpan w:val="3"/>
          </w:tcPr>
          <w:p>
            <w:pPr>
              <w:ind w:left="10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20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300" w:type="dxa"/>
            <w:vAlign w:val="bottom"/>
          </w:tcPr>
          <w:p>
            <w:pPr>
              <w:ind w:left="420"/>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0240" w:type="dxa"/>
            <w:vAlign w:val="bottom"/>
            <w:tcBorders>
              <w:bottom w:val="single" w:sz="8" w:color="auto"/>
            </w:tcBorders>
            <w:gridSpan w:val="3"/>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0240" w:type="dxa"/>
            <w:vAlign w:val="bottom"/>
            <w:gridSpan w:val="3"/>
          </w:tcPr>
          <w:p>
            <w:pPr>
              <w:ind w:left="1000"/>
              <w:spacing w:after="0"/>
              <w:rPr>
                <w:sz w:val="20"/>
                <w:szCs w:val="20"/>
                <w:color w:val="auto"/>
              </w:rPr>
            </w:pPr>
            <w:r>
              <w:rPr>
                <w:rFonts w:ascii="Arial" w:cs="Arial" w:eastAsia="Arial" w:hAnsi="Arial"/>
                <w:sz w:val="18"/>
                <w:szCs w:val="18"/>
                <w:color w:val="auto"/>
              </w:rPr>
              <w:t>CITIZENSHIP OR PLACE OF ORGANIZATION</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420"/>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000"/>
              <w:spacing w:after="0"/>
              <w:rPr>
                <w:sz w:val="20"/>
                <w:szCs w:val="20"/>
                <w:color w:val="auto"/>
              </w:rPr>
            </w:pPr>
            <w:r>
              <w:rPr>
                <w:rFonts w:ascii="Arial" w:cs="Arial" w:eastAsia="Arial" w:hAnsi="Arial"/>
                <w:sz w:val="18"/>
                <w:szCs w:val="18"/>
                <w:color w:val="auto"/>
              </w:rPr>
              <w:t>Delaware</w:t>
            </w:r>
          </w:p>
        </w:tc>
        <w:tc>
          <w:tcPr>
            <w:tcW w:w="90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2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70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7</w:t>
            </w:r>
          </w:p>
        </w:tc>
        <w:tc>
          <w:tcPr>
            <w:tcW w:w="70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704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04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900" w:type="dxa"/>
            <w:vAlign w:val="bottom"/>
            <w:tcBorders>
              <w:bottom w:val="single" w:sz="8" w:color="auto"/>
              <w:right w:val="single" w:sz="8" w:color="auto"/>
            </w:tcBorders>
          </w:tcPr>
          <w:p>
            <w:pPr>
              <w:spacing w:after="0"/>
              <w:rPr>
                <w:sz w:val="6"/>
                <w:szCs w:val="6"/>
                <w:color w:val="auto"/>
              </w:rPr>
            </w:pPr>
          </w:p>
        </w:tc>
        <w:tc>
          <w:tcPr>
            <w:tcW w:w="70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30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0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8</w:t>
            </w:r>
          </w:p>
        </w:tc>
        <w:tc>
          <w:tcPr>
            <w:tcW w:w="704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3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7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vMerge w:val="continue"/>
          </w:tcPr>
          <w:p>
            <w:pPr>
              <w:spacing w:after="0"/>
              <w:rPr>
                <w:sz w:val="12"/>
                <w:szCs w:val="12"/>
                <w:color w:val="auto"/>
              </w:rPr>
            </w:pPr>
          </w:p>
        </w:tc>
        <w:tc>
          <w:tcPr>
            <w:tcW w:w="7040" w:type="dxa"/>
            <w:vAlign w:val="bottom"/>
            <w:vMerge w:val="restart"/>
          </w:tcPr>
          <w:p>
            <w:pPr>
              <w:ind w:left="60"/>
              <w:spacing w:after="0"/>
              <w:rPr>
                <w:sz w:val="20"/>
                <w:szCs w:val="20"/>
                <w:color w:val="auto"/>
              </w:rPr>
            </w:pPr>
            <w:r>
              <w:rPr>
                <w:rFonts w:ascii="Arial" w:cs="Arial" w:eastAsia="Arial" w:hAnsi="Arial"/>
                <w:sz w:val="18"/>
                <w:szCs w:val="18"/>
                <w:color w:val="auto"/>
              </w:rPr>
              <w:t>11,871,112 (1)</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3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704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900" w:type="dxa"/>
            <w:vAlign w:val="bottom"/>
            <w:tcBorders>
              <w:right w:val="single" w:sz="8" w:color="auto"/>
            </w:tcBorders>
          </w:tcPr>
          <w:p>
            <w:pPr>
              <w:spacing w:after="0"/>
              <w:rPr>
                <w:sz w:val="12"/>
                <w:szCs w:val="12"/>
                <w:color w:val="auto"/>
              </w:rPr>
            </w:pPr>
          </w:p>
        </w:tc>
        <w:tc>
          <w:tcPr>
            <w:tcW w:w="704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300" w:type="dxa"/>
            <w:vAlign w:val="bottom"/>
            <w:tcBorders>
              <w:right w:val="single" w:sz="8" w:color="auto"/>
            </w:tcBorders>
            <w:vMerge w:val="continue"/>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70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3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5"/>
              </w:rPr>
              <w:t>EACH</w:t>
            </w:r>
          </w:p>
        </w:tc>
        <w:tc>
          <w:tcPr>
            <w:tcW w:w="900" w:type="dxa"/>
            <w:vAlign w:val="bottom"/>
            <w:tcBorders>
              <w:right w:val="single" w:sz="8" w:color="auto"/>
            </w:tcBorders>
          </w:tcPr>
          <w:p>
            <w:pPr>
              <w:spacing w:after="0"/>
              <w:rPr>
                <w:sz w:val="16"/>
                <w:szCs w:val="16"/>
                <w:color w:val="auto"/>
              </w:rPr>
            </w:pPr>
          </w:p>
        </w:tc>
        <w:tc>
          <w:tcPr>
            <w:tcW w:w="70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70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0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7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right w:val="single" w:sz="8" w:color="auto"/>
            </w:tcBorders>
            <w:vMerge w:val="continue"/>
          </w:tcPr>
          <w:p>
            <w:pPr>
              <w:spacing w:after="0"/>
              <w:rPr>
                <w:sz w:val="8"/>
                <w:szCs w:val="8"/>
                <w:color w:val="auto"/>
              </w:rPr>
            </w:pPr>
          </w:p>
        </w:tc>
        <w:tc>
          <w:tcPr>
            <w:tcW w:w="704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0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704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300" w:type="dxa"/>
            <w:vAlign w:val="bottom"/>
            <w:tcBorders>
              <w:right w:val="single" w:sz="8" w:color="auto"/>
            </w:tcBorders>
            <w:vMerge w:val="restart"/>
          </w:tcPr>
          <w:p>
            <w:pPr>
              <w:jc w:val="center"/>
              <w:spacing w:after="0" w:line="170" w:lineRule="exact"/>
              <w:rPr>
                <w:sz w:val="20"/>
                <w:szCs w:val="20"/>
                <w:color w:val="auto"/>
              </w:rPr>
            </w:pPr>
            <w:r>
              <w:rPr>
                <w:rFonts w:ascii="Arial" w:cs="Arial" w:eastAsia="Arial" w:hAnsi="Arial"/>
                <w:sz w:val="18"/>
                <w:szCs w:val="18"/>
                <w:color w:val="auto"/>
              </w:rPr>
              <w:t>WITH</w:t>
            </w:r>
          </w:p>
        </w:tc>
        <w:tc>
          <w:tcPr>
            <w:tcW w:w="900" w:type="dxa"/>
            <w:vAlign w:val="bottom"/>
            <w:tcBorders>
              <w:right w:val="single" w:sz="8" w:color="auto"/>
            </w:tcBorders>
          </w:tcPr>
          <w:p>
            <w:pPr>
              <w:spacing w:after="0"/>
              <w:rPr>
                <w:sz w:val="8"/>
                <w:szCs w:val="8"/>
                <w:color w:val="auto"/>
              </w:rPr>
            </w:pPr>
          </w:p>
        </w:tc>
        <w:tc>
          <w:tcPr>
            <w:tcW w:w="70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300" w:type="dxa"/>
            <w:vAlign w:val="bottom"/>
            <w:tcBorders>
              <w:right w:val="single" w:sz="8" w:color="auto"/>
            </w:tcBorders>
            <w:vMerge w:val="continue"/>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70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70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7040" w:type="dxa"/>
            <w:vAlign w:val="bottom"/>
            <w:vMerge w:val="restart"/>
          </w:tcPr>
          <w:p>
            <w:pPr>
              <w:ind w:left="60"/>
              <w:spacing w:after="0"/>
              <w:rPr>
                <w:sz w:val="20"/>
                <w:szCs w:val="20"/>
                <w:color w:val="auto"/>
              </w:rPr>
            </w:pPr>
            <w:r>
              <w:rPr>
                <w:rFonts w:ascii="Arial" w:cs="Arial" w:eastAsia="Arial" w:hAnsi="Arial"/>
                <w:sz w:val="18"/>
                <w:szCs w:val="18"/>
                <w:color w:val="auto"/>
              </w:rPr>
              <w:t>11,871,112 (1)</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04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30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70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11,871,112 (1)</w:t>
      </w:r>
    </w:p>
    <w:p>
      <w:pPr>
        <w:spacing w:after="0" w:line="124" w:lineRule="exact"/>
        <w:rPr>
          <w:sz w:val="20"/>
          <w:szCs w:val="20"/>
          <w:color w:val="auto"/>
        </w:rPr>
      </w:pPr>
    </w:p>
    <w:p>
      <w:pPr>
        <w:ind w:left="1000"/>
        <w:spacing w:after="0" w:line="207" w:lineRule="exact"/>
        <w:tabs>
          <w:tab w:leader="none" w:pos="10980" w:val="left"/>
        </w:tabs>
        <w:rPr>
          <w:sz w:val="20"/>
          <w:szCs w:val="20"/>
          <w:color w:val="auto"/>
        </w:rPr>
      </w:pPr>
      <w:r>
        <w:rPr>
          <w:rFonts w:ascii="Arial" w:cs="Arial" w:eastAsia="Arial" w:hAnsi="Arial"/>
          <w:sz w:val="18"/>
          <w:szCs w:val="18"/>
          <w:color w:val="auto"/>
        </w:rPr>
        <w:t>CHECK BOX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12</w:t>
      </w:r>
    </w:p>
    <w:p>
      <w:pPr>
        <w:spacing w:after="0" w:line="3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PERCENT OF CLASS REPRESENTED BY AMOUNT IN ROW (11)</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13</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11.12% (2)</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14</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OO</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880" w:right="40" w:hanging="426"/>
        <w:spacing w:after="0" w:line="281" w:lineRule="auto"/>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Evidenced by (i) 6 ordinary shares (“</w:t>
      </w:r>
      <w:r>
        <w:rPr>
          <w:rFonts w:ascii="Arial" w:cs="Arial" w:eastAsia="Arial" w:hAnsi="Arial"/>
          <w:sz w:val="16"/>
          <w:szCs w:val="16"/>
          <w:u w:val="single" w:color="auto"/>
          <w:color w:val="auto"/>
        </w:rPr>
        <w:t>Ordinary Shares</w:t>
      </w:r>
      <w:r>
        <w:rPr>
          <w:rFonts w:ascii="Arial" w:cs="Arial" w:eastAsia="Arial" w:hAnsi="Arial"/>
          <w:sz w:val="16"/>
          <w:szCs w:val="16"/>
          <w:color w:val="auto"/>
        </w:rPr>
        <w:t>”) of Verona Pharma plc, a public limited company organized under the laws of England and Wales (the “</w:t>
      </w:r>
      <w:r>
        <w:rPr>
          <w:rFonts w:ascii="Arial" w:cs="Arial" w:eastAsia="Arial" w:hAnsi="Arial"/>
          <w:sz w:val="16"/>
          <w:szCs w:val="16"/>
          <w:u w:val="single" w:color="auto"/>
          <w:color w:val="auto"/>
        </w:rPr>
        <w:t>Issuer</w:t>
      </w:r>
      <w:r>
        <w:rPr>
          <w:rFonts w:ascii="Arial" w:cs="Arial" w:eastAsia="Arial" w:hAnsi="Arial"/>
          <w:sz w:val="16"/>
          <w:szCs w:val="16"/>
          <w:color w:val="auto"/>
        </w:rPr>
        <w:t>”); (ii) 1,867,938 Ordinary Shares issuable upon the exercise of warrants to purchase shares (the “</w:t>
      </w:r>
      <w:r>
        <w:rPr>
          <w:rFonts w:ascii="Arial" w:cs="Arial" w:eastAsia="Arial" w:hAnsi="Arial"/>
          <w:sz w:val="16"/>
          <w:szCs w:val="16"/>
          <w:u w:val="single" w:color="auto"/>
          <w:color w:val="auto"/>
        </w:rPr>
        <w:t>Warrants</w:t>
      </w:r>
      <w:r>
        <w:rPr>
          <w:rFonts w:ascii="Arial" w:cs="Arial" w:eastAsia="Arial" w:hAnsi="Arial"/>
          <w:sz w:val="16"/>
          <w:szCs w:val="16"/>
          <w:color w:val="auto"/>
        </w:rPr>
        <w:t>”); and (iii)</w:t>
      </w:r>
    </w:p>
    <w:p>
      <w:pPr>
        <w:spacing w:after="0" w:line="1"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1,250,396 American Depositary Shares (“</w:t>
      </w:r>
      <w:r>
        <w:rPr>
          <w:rFonts w:ascii="Arial" w:cs="Arial" w:eastAsia="Arial" w:hAnsi="Arial"/>
          <w:sz w:val="18"/>
          <w:szCs w:val="18"/>
          <w:u w:val="single" w:color="auto"/>
          <w:color w:val="auto"/>
        </w:rPr>
        <w:t>ADSs</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left="880" w:right="20" w:hanging="426"/>
        <w:spacing w:after="0" w:line="286" w:lineRule="auto"/>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This percentage is calculated based upon 104,884,068 outstanding Ordinary Shares (including any such Ordinary Shares represented by </w:t>
      </w:r>
      <w:r>
        <w:rPr>
          <w:rFonts w:ascii="Arial" w:cs="Arial" w:eastAsia="Arial" w:hAnsi="Arial"/>
          <w:sz w:val="17"/>
          <w:szCs w:val="17"/>
          <w:u w:val="single" w:color="auto"/>
          <w:color w:val="auto"/>
        </w:rPr>
        <w:t>ADSs</w:t>
      </w:r>
      <w:r>
        <w:rPr>
          <w:rFonts w:ascii="Arial" w:cs="Arial" w:eastAsia="Arial" w:hAnsi="Arial"/>
          <w:sz w:val="17"/>
          <w:szCs w:val="17"/>
          <w:color w:val="auto"/>
        </w:rPr>
        <w:t>) of the Issuer, as set forth in the Issuer’s Form 6-K, filed with the Securities and Exchange Commission on May 26, 2017, and includes 1,867,938 Ordinary Shares issuable upon the exercise of Warrants beneficially owned by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Amendment No. 1 (“</w:t>
      </w:r>
      <w:r>
        <w:rPr>
          <w:rFonts w:ascii="Arial" w:cs="Arial" w:eastAsia="Arial" w:hAnsi="Arial"/>
          <w:sz w:val="18"/>
          <w:szCs w:val="18"/>
          <w:u w:val="single" w:color="auto"/>
          <w:color w:val="auto"/>
        </w:rPr>
        <w:t>Amendment No. 1</w:t>
      </w:r>
      <w:r>
        <w:rPr>
          <w:rFonts w:ascii="Arial" w:cs="Arial" w:eastAsia="Arial" w:hAnsi="Arial"/>
          <w:sz w:val="18"/>
          <w:szCs w:val="18"/>
          <w:color w:val="auto"/>
        </w:rPr>
        <w:t>”) to Schedule 13D supplements and amends the Statement on Schedule 13D originally filed by OrbiMed Advisors LLC, OrbiMed Capital GP VI LLC and Samuel D. Isaly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May 8, 2017 (the “</w:t>
      </w:r>
      <w:r>
        <w:rPr>
          <w:rFonts w:ascii="Arial" w:cs="Arial" w:eastAsia="Arial" w:hAnsi="Arial"/>
          <w:sz w:val="18"/>
          <w:szCs w:val="18"/>
          <w:u w:val="single" w:color="auto"/>
          <w:color w:val="auto"/>
        </w:rPr>
        <w:t>Statement</w:t>
      </w:r>
      <w:r>
        <w:rPr>
          <w:rFonts w:ascii="Arial" w:cs="Arial" w:eastAsia="Arial" w:hAnsi="Arial"/>
          <w:sz w:val="18"/>
          <w:szCs w:val="18"/>
          <w:color w:val="auto"/>
        </w:rPr>
        <w:t>”). This Statement relates to the ordinary shares (the “</w:t>
      </w:r>
      <w:r>
        <w:rPr>
          <w:rFonts w:ascii="Arial" w:cs="Arial" w:eastAsia="Arial" w:hAnsi="Arial"/>
          <w:sz w:val="18"/>
          <w:szCs w:val="18"/>
          <w:u w:val="single" w:color="auto"/>
          <w:color w:val="auto"/>
        </w:rPr>
        <w:t>Ordinary Shares</w:t>
      </w:r>
      <w:r>
        <w:rPr>
          <w:rFonts w:ascii="Arial" w:cs="Arial" w:eastAsia="Arial" w:hAnsi="Arial"/>
          <w:sz w:val="18"/>
          <w:szCs w:val="18"/>
          <w:color w:val="auto"/>
        </w:rPr>
        <w:t>”) of Verona Pharma plc, a public limited company organized under the laws of England and Wales (the “</w:t>
      </w:r>
      <w:r>
        <w:rPr>
          <w:rFonts w:ascii="Arial" w:cs="Arial" w:eastAsia="Arial" w:hAnsi="Arial"/>
          <w:sz w:val="18"/>
          <w:szCs w:val="18"/>
          <w:u w:val="single" w:color="auto"/>
          <w:color w:val="auto"/>
        </w:rPr>
        <w:t>Issuer</w:t>
      </w:r>
      <w:r>
        <w:rPr>
          <w:rFonts w:ascii="Arial" w:cs="Arial" w:eastAsia="Arial" w:hAnsi="Arial"/>
          <w:sz w:val="18"/>
          <w:szCs w:val="18"/>
          <w:color w:val="auto"/>
        </w:rPr>
        <w:t>”), with its principal offices are located at 3 More London Riverside, London SE1 2RE, United Kingdom. Certain Ordinary Shares are represented by American Depositary Shares (“</w:t>
      </w:r>
      <w:r>
        <w:rPr>
          <w:rFonts w:ascii="Arial" w:cs="Arial" w:eastAsia="Arial" w:hAnsi="Arial"/>
          <w:sz w:val="18"/>
          <w:szCs w:val="18"/>
          <w:u w:val="single" w:color="auto"/>
          <w:color w:val="auto"/>
        </w:rPr>
        <w:t>ADSs</w:t>
      </w:r>
      <w:r>
        <w:rPr>
          <w:rFonts w:ascii="Arial" w:cs="Arial" w:eastAsia="Arial" w:hAnsi="Arial"/>
          <w:sz w:val="18"/>
          <w:szCs w:val="18"/>
          <w:color w:val="auto"/>
        </w:rPr>
        <w:t>”), with each ADS representing eight Ordinary Shares. The ADSs are listed on the NASDAQ Global Select Market under the ticker symbol “VRNA”. Information given in response to each item shall be deemed incorporated by reference in all other items, as applicable.</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Amendment No. 1 is being filed to report that Samuel D. Isaly, who was previously identified as a reporting person, has ceased to be the beneficial owner of more than five percent of the outstanding Ordinary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Item 2 of the Statement is amended to read in full as set forth below.</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ind w:firstLine="656"/>
        <w:spacing w:after="0" w:line="308" w:lineRule="auto"/>
        <w:tabs>
          <w:tab w:leader="none" w:pos="136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Statement is being filed by OrbiMed Advisors LLC (“</w:t>
      </w:r>
      <w:r>
        <w:rPr>
          <w:rFonts w:ascii="Arial" w:cs="Arial" w:eastAsia="Arial" w:hAnsi="Arial"/>
          <w:sz w:val="17"/>
          <w:szCs w:val="17"/>
          <w:u w:val="single" w:color="auto"/>
          <w:color w:val="auto"/>
        </w:rPr>
        <w:t>Advisors</w:t>
      </w:r>
      <w:r>
        <w:rPr>
          <w:rFonts w:ascii="Arial" w:cs="Arial" w:eastAsia="Arial" w:hAnsi="Arial"/>
          <w:sz w:val="17"/>
          <w:szCs w:val="17"/>
          <w:color w:val="auto"/>
        </w:rPr>
        <w:t>”), a limited liability company organized under the laws of Delaware, and OrbiMed Capital GP VI LLC (“</w:t>
      </w:r>
      <w:r>
        <w:rPr>
          <w:rFonts w:ascii="Arial" w:cs="Arial" w:eastAsia="Arial" w:hAnsi="Arial"/>
          <w:sz w:val="17"/>
          <w:szCs w:val="17"/>
          <w:u w:val="single" w:color="auto"/>
          <w:color w:val="auto"/>
        </w:rPr>
        <w:t>GP VI</w:t>
      </w:r>
      <w:r>
        <w:rPr>
          <w:rFonts w:ascii="Arial" w:cs="Arial" w:eastAsia="Arial" w:hAnsi="Arial"/>
          <w:sz w:val="17"/>
          <w:szCs w:val="17"/>
          <w:color w:val="auto"/>
        </w:rPr>
        <w:t>”), a limited liability company organized under the laws of Delaware (collectively, the “</w:t>
      </w:r>
      <w:r>
        <w:rPr>
          <w:rFonts w:ascii="Arial" w:cs="Arial" w:eastAsia="Arial" w:hAnsi="Arial"/>
          <w:sz w:val="17"/>
          <w:szCs w:val="17"/>
          <w:u w:val="single" w:color="auto"/>
          <w:color w:val="auto"/>
        </w:rPr>
        <w:t>Reporting Persons</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firstLine="656"/>
        <w:spacing w:after="0" w:line="286" w:lineRule="auto"/>
        <w:tabs>
          <w:tab w:leader="none" w:pos="908" w:val="left"/>
        </w:tabs>
        <w:numPr>
          <w:ilvl w:val="0"/>
          <w:numId w:val="5"/>
        </w:numPr>
        <w:rPr>
          <w:rFonts w:ascii="Arial" w:cs="Arial" w:eastAsia="Arial" w:hAnsi="Arial"/>
          <w:sz w:val="17"/>
          <w:szCs w:val="17"/>
          <w:color w:val="auto"/>
        </w:rPr>
      </w:pPr>
      <w:r>
        <w:rPr>
          <w:rFonts w:ascii="Arial" w:cs="Arial" w:eastAsia="Arial" w:hAnsi="Arial"/>
          <w:sz w:val="17"/>
          <w:szCs w:val="17"/>
          <w:color w:val="auto"/>
        </w:rPr>
        <w:t>– (c), (f) Advisors, a registered investment adviser under the Investment Advisers Act of 1940, as amended, is the sole managing member of GP VI, which is the sole general partner of OrbiMed Private Investments VI, LP (“</w:t>
      </w:r>
      <w:r>
        <w:rPr>
          <w:rFonts w:ascii="Arial" w:cs="Arial" w:eastAsia="Arial" w:hAnsi="Arial"/>
          <w:sz w:val="17"/>
          <w:szCs w:val="17"/>
          <w:u w:val="single" w:color="auto"/>
          <w:color w:val="auto"/>
        </w:rPr>
        <w:t>OPI VI</w:t>
      </w:r>
      <w:r>
        <w:rPr>
          <w:rFonts w:ascii="Arial" w:cs="Arial" w:eastAsia="Arial" w:hAnsi="Arial"/>
          <w:sz w:val="17"/>
          <w:szCs w:val="17"/>
          <w:color w:val="auto"/>
        </w:rPr>
        <w:t>”), which holds Ordinary Shares, including certain Ordinary Shares represented by ADSs, as described herein. Advisors has its principal offices at 601 Lexington Avenue, 54th Floor, New York, New York 10022.</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GP VI has its principal offices at 601 Lexington Avenue, 54th Floor, New York, New York 10022.</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directors and executive officers of Advisors and GP VI are set forth on Schedules I and II, attached hereto. Schedules I and II set forth the following information with respect to each such person:</w:t>
      </w:r>
    </w:p>
    <w:p>
      <w:pPr>
        <w:spacing w:after="0" w:line="170" w:lineRule="exact"/>
        <w:rPr>
          <w:sz w:val="20"/>
          <w:szCs w:val="20"/>
          <w:color w:val="auto"/>
        </w:rPr>
      </w:pPr>
    </w:p>
    <w:p>
      <w:pPr>
        <w:ind w:left="1280" w:hanging="624"/>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address;</w:t>
      </w:r>
    </w:p>
    <w:p>
      <w:pPr>
        <w:spacing w:after="0" w:line="225" w:lineRule="exact"/>
        <w:rPr>
          <w:rFonts w:ascii="Arial" w:cs="Arial" w:eastAsia="Arial" w:hAnsi="Arial"/>
          <w:sz w:val="18"/>
          <w:szCs w:val="18"/>
          <w:color w:val="auto"/>
        </w:rPr>
      </w:pPr>
    </w:p>
    <w:p>
      <w:pPr>
        <w:ind w:right="20" w:firstLine="656"/>
        <w:spacing w:after="0" w:line="277" w:lineRule="auto"/>
        <w:tabs>
          <w:tab w:leader="none" w:pos="1292"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present principal occupation or employment and the name, principal business and address of any corporation or other organization in which such employment is conducted; and</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sz w:val="20"/>
          <w:szCs w:val="20"/>
          <w:color w:val="auto"/>
        </w:rPr>
      </w:pPr>
    </w:p>
    <w:p>
      <w:pPr>
        <w:jc w:val="both"/>
        <w:ind w:firstLine="656"/>
        <w:spacing w:after="0" w:line="259" w:lineRule="auto"/>
        <w:tabs>
          <w:tab w:leader="none" w:pos="918" w:val="left"/>
        </w:tabs>
        <w:numPr>
          <w:ilvl w:val="0"/>
          <w:numId w:val="7"/>
        </w:numPr>
        <w:rPr>
          <w:rFonts w:ascii="Arial" w:cs="Arial" w:eastAsia="Arial" w:hAnsi="Arial"/>
          <w:sz w:val="18"/>
          <w:szCs w:val="18"/>
          <w:color w:val="auto"/>
        </w:rPr>
      </w:pPr>
      <w:r>
        <w:rPr>
          <w:rFonts w:ascii="Arial" w:cs="Arial" w:eastAsia="Arial" w:hAnsi="Arial"/>
          <w:sz w:val="18"/>
          <w:szCs w:val="18"/>
          <w:color w:val="auto"/>
        </w:rPr>
        <w:t>– (e) During the last five years, neither the Reporting Persons nor any person named in Schedule I or II have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Item 5 of the Statement is amended to read in full as set forth below.</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(a)-(b) The following disclosure is based upon 104,884,068 outstanding Ordinary Shares (which includes Ordinary Shares represented by ADSs) of the Issuer, as set forth in the Issuer’s Form 6-K, filed with the Securities and Exchange Commission on May 26, 2017.</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the date of this filing, OPI VI, a limited partnership organized under the laws of Delaware, holds 10,003,174 Ordinary Shares (including 10,003,168 Ordinary Shares represented by ADSs) and Warrants to purchase 1,867,938 Ordinary Shares; such outstanding Ordinary Shares and Ordinary Shares subject to Warrants constitute approximately 11.12% of the issued and outstanding Ordinary Shares (including any Ordinary Shares represented by ADSs) plus the Ordinary Shares subject to Warrants held by OPI VI. Advisors, pursuant to its authority as the sole managing member of GP VI, the sole general partner of OPI VI, may be deemed to indirectly beneficially own the Ordinary Shares held by OPI VI. GP VI, pursuant to its authority as the general partner of OPI VI, may be deemed to indirectly beneficially own the Ordinary Shares held by OPI VI. As a result, Advisors and GP VI share the power to direct the vote and to direct the disposition of the Ordinary Shares held by OPI VI. Advisors exercises this investment and voting power through a management committee comprised of Carl L. Gordon, Sven H. Borho and Jonathan T. Silverstein, each of whom disclaims beneficial ownership of the Ordinary Shares held by OPI VI.</w:t>
      </w:r>
    </w:p>
    <w:p>
      <w:pPr>
        <w:spacing w:after="0" w:line="197"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Reporting Persons have not effected any transactions in the Ordinary Shares or ADSs during the past sixty (60) days.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firstLine="656"/>
        <w:spacing w:after="0" w:line="277" w:lineRule="auto"/>
        <w:tabs>
          <w:tab w:leader="none" w:pos="1298"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January 24, 2018, Samuel D. Isaly, who was previously identified as a reporting person, has ceased to be the beneficial owner of more than five percent of the outstanding Ordinary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first paragraph of Item 6 of the Statement is amended to read in full as follows.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 with Respect to Securities of the Issuer</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relationships between the Reporting Persons described in Items 2 and 5 above, GP VI is the sole general partner of OPI VI, pursuant to the terms of the limited partnership agreement of OPI VI. Advisors is the sole managing member of GP VI, pursuant to the terms of the limited liability company agreement of GP VI. Pursuant to these agreements and relationships, Advisors and GP VI have discretionary investment management authority with respect to the assets of OPI VI. Such authority includes the power of GP VI to vote and otherwise dispose of securities purchased by OPI VI. The number of Ordinary Shares attributable to OPI VI is 11,871,112 (of which 10,003,168 are represented by 1,250,396 ADSs and 1,867,938 are subject to Warrants). Advisors and GP VI may each be considered to hold indirectly 11,871,112 Ordinary Shares.</w:t>
      </w:r>
    </w:p>
    <w:p>
      <w:pPr>
        <w:spacing w:after="0" w:line="3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Materials to Be Filed as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327" w:lineRule="exact"/>
        <w:rPr>
          <w:sz w:val="20"/>
          <w:szCs w:val="20"/>
          <w:color w:val="auto"/>
        </w:rPr>
      </w:pPr>
    </w:p>
    <w:p>
      <w:pPr>
        <w:ind w:left="100"/>
        <w:spacing w:after="0"/>
        <w:tabs>
          <w:tab w:leader="none" w:pos="15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jc w:val="right"/>
              <w:ind w:right="550"/>
              <w:spacing w:after="0"/>
              <w:rPr>
                <w:sz w:val="20"/>
                <w:szCs w:val="20"/>
                <w:color w:val="auto"/>
              </w:rPr>
            </w:pPr>
            <w:r>
              <w:rPr>
                <w:rFonts w:ascii="Arial" w:cs="Arial" w:eastAsia="Arial" w:hAnsi="Arial"/>
                <w:sz w:val="18"/>
                <w:szCs w:val="18"/>
                <w:color w:val="auto"/>
              </w:rPr>
              <w:t>1.</w:t>
            </w:r>
          </w:p>
        </w:tc>
        <w:tc>
          <w:tcPr>
            <w:tcW w:w="10540" w:type="dxa"/>
            <w:vAlign w:val="bottom"/>
          </w:tcPr>
          <w:p>
            <w:pPr>
              <w:ind w:left="660"/>
              <w:spacing w:after="0"/>
              <w:rPr>
                <w:sz w:val="20"/>
                <w:szCs w:val="20"/>
                <w:color w:val="auto"/>
              </w:rPr>
            </w:pPr>
            <w:r>
              <w:rPr>
                <w:rFonts w:ascii="Arial" w:cs="Arial" w:eastAsia="Arial" w:hAnsi="Arial"/>
                <w:sz w:val="18"/>
                <w:szCs w:val="18"/>
                <w:color w:val="auto"/>
              </w:rPr>
              <w:t>Joint Filing Agreement among OrbiMed Advisors LLC, and OrbiMed Capital GP VI LLC.</w:t>
            </w:r>
          </w:p>
        </w:tc>
      </w:tr>
      <w:tr>
        <w:trPr>
          <w:trHeight w:val="709"/>
        </w:trPr>
        <w:tc>
          <w:tcPr>
            <w:tcW w:w="8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each of the undersigned’s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26, 2018</w:t>
      </w:r>
    </w:p>
    <w:p>
      <w:pPr>
        <w:spacing w:after="0" w:line="25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OrbiMed Advisors LLC</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Name:Jonathan T. Silverstein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Name:Sven H. Borho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Name:Carl L. Gordon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OrbiMed Capital GP VI LLC</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OrbiMed Advisors LLC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managing member</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Name:Jonathan T. Silverstein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Name:Sven H. Borho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Name:Carl L. Gordon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1026160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Schedule I</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name and present principal occupation of each of the executive officers and directors of OrbiMed Advisors LLC are set forth below. Unless otherwise noted, each of these persons are United States citizens and have as their business address 601 Lexington Avenue, 54th Floor, New York, NY 10022.</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4020" w:type="dxa"/>
            <w:vAlign w:val="bottom"/>
            <w:tcBorders>
              <w:top w:val="single" w:sz="8" w:color="auto"/>
              <w:left w:val="single" w:sz="8" w:color="auto"/>
              <w:right w:val="single" w:sz="8" w:color="auto"/>
            </w:tcBorders>
          </w:tcPr>
          <w:p>
            <w:pPr>
              <w:spacing w:after="0"/>
              <w:rPr>
                <w:sz w:val="24"/>
                <w:szCs w:val="24"/>
                <w:color w:val="auto"/>
              </w:rPr>
            </w:pPr>
          </w:p>
        </w:tc>
        <w:tc>
          <w:tcPr>
            <w:tcW w:w="342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Position with Reporting</w:t>
            </w:r>
          </w:p>
        </w:tc>
        <w:tc>
          <w:tcPr>
            <w:tcW w:w="3980" w:type="dxa"/>
            <w:vAlign w:val="bottom"/>
            <w:tcBorders>
              <w:top w:val="single" w:sz="8" w:color="auto"/>
              <w:right w:val="single" w:sz="8" w:color="auto"/>
            </w:tcBorders>
          </w:tcPr>
          <w:p>
            <w:pPr>
              <w:spacing w:after="0"/>
              <w:rPr>
                <w:sz w:val="24"/>
                <w:szCs w:val="24"/>
                <w:color w:val="auto"/>
              </w:rPr>
            </w:pPr>
          </w:p>
        </w:tc>
      </w:tr>
      <w:tr>
        <w:trPr>
          <w:trHeight w:val="230"/>
        </w:trPr>
        <w:tc>
          <w:tcPr>
            <w:tcW w:w="4020" w:type="dxa"/>
            <w:vAlign w:val="bottom"/>
            <w:tcBorders>
              <w:left w:val="single" w:sz="8" w:color="auto"/>
              <w:right w:val="single" w:sz="8" w:color="auto"/>
            </w:tcBorders>
          </w:tcPr>
          <w:p>
            <w:pPr>
              <w:ind w:left="1800"/>
              <w:spacing w:after="0"/>
              <w:rPr>
                <w:sz w:val="20"/>
                <w:szCs w:val="20"/>
                <w:color w:val="auto"/>
              </w:rPr>
            </w:pPr>
            <w:r>
              <w:rPr>
                <w:rFonts w:ascii="Arial" w:cs="Arial" w:eastAsia="Arial" w:hAnsi="Arial"/>
                <w:sz w:val="18"/>
                <w:szCs w:val="18"/>
                <w:color w:val="auto"/>
              </w:rPr>
              <w:t>Name</w:t>
            </w:r>
          </w:p>
        </w:tc>
        <w:tc>
          <w:tcPr>
            <w:tcW w:w="342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Person</w:t>
            </w:r>
          </w:p>
        </w:tc>
        <w:tc>
          <w:tcPr>
            <w:tcW w:w="39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Principal Occupation</w:t>
            </w:r>
          </w:p>
        </w:tc>
      </w:tr>
      <w:tr>
        <w:trPr>
          <w:trHeight w:val="75"/>
        </w:trPr>
        <w:tc>
          <w:tcPr>
            <w:tcW w:w="4020" w:type="dxa"/>
            <w:vAlign w:val="bottom"/>
            <w:tcBorders>
              <w:left w:val="single" w:sz="8" w:color="auto"/>
              <w:bottom w:val="single" w:sz="8" w:color="auto"/>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3980" w:type="dxa"/>
            <w:vAlign w:val="bottom"/>
            <w:tcBorders>
              <w:bottom w:val="single" w:sz="8" w:color="auto"/>
              <w:right w:val="single" w:sz="8" w:color="auto"/>
            </w:tcBorders>
          </w:tcPr>
          <w:p>
            <w:pPr>
              <w:spacing w:after="0"/>
              <w:rPr>
                <w:sz w:val="6"/>
                <w:szCs w:val="6"/>
                <w:color w:val="auto"/>
              </w:rPr>
            </w:pPr>
          </w:p>
        </w:tc>
      </w:tr>
      <w:tr>
        <w:trPr>
          <w:trHeight w:val="269"/>
        </w:trPr>
        <w:tc>
          <w:tcPr>
            <w:tcW w:w="40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Samuel D. Isaly</w:t>
            </w:r>
          </w:p>
        </w:tc>
        <w:tc>
          <w:tcPr>
            <w:tcW w:w="3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Managing Member</w:t>
            </w:r>
          </w:p>
        </w:tc>
        <w:tc>
          <w:tcPr>
            <w:tcW w:w="3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Managing Member</w:t>
            </w:r>
          </w:p>
        </w:tc>
      </w:tr>
      <w:tr>
        <w:trPr>
          <w:trHeight w:val="230"/>
        </w:trPr>
        <w:tc>
          <w:tcPr>
            <w:tcW w:w="402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OrbiMed Advisors LLC</w:t>
            </w:r>
          </w:p>
        </w:tc>
      </w:tr>
      <w:tr>
        <w:trPr>
          <w:trHeight w:val="75"/>
        </w:trPr>
        <w:tc>
          <w:tcPr>
            <w:tcW w:w="4020" w:type="dxa"/>
            <w:vAlign w:val="bottom"/>
            <w:tcBorders>
              <w:left w:val="single" w:sz="8" w:color="auto"/>
              <w:bottom w:val="single" w:sz="8" w:color="auto"/>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3980" w:type="dxa"/>
            <w:vAlign w:val="bottom"/>
            <w:tcBorders>
              <w:bottom w:val="single" w:sz="8" w:color="auto"/>
              <w:right w:val="single" w:sz="8" w:color="auto"/>
            </w:tcBorders>
          </w:tcPr>
          <w:p>
            <w:pPr>
              <w:spacing w:after="0"/>
              <w:rPr>
                <w:sz w:val="6"/>
                <w:szCs w:val="6"/>
                <w:color w:val="auto"/>
              </w:rPr>
            </w:pPr>
          </w:p>
        </w:tc>
      </w:tr>
      <w:tr>
        <w:trPr>
          <w:trHeight w:val="269"/>
        </w:trPr>
        <w:tc>
          <w:tcPr>
            <w:tcW w:w="40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Carl L. Gordon</w:t>
            </w:r>
          </w:p>
        </w:tc>
        <w:tc>
          <w:tcPr>
            <w:tcW w:w="3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c>
          <w:tcPr>
            <w:tcW w:w="3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r>
      <w:tr>
        <w:trPr>
          <w:trHeight w:val="230"/>
        </w:trPr>
        <w:tc>
          <w:tcPr>
            <w:tcW w:w="402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OrbiMed Advisors LLC</w:t>
            </w:r>
          </w:p>
        </w:tc>
      </w:tr>
      <w:tr>
        <w:trPr>
          <w:trHeight w:val="75"/>
        </w:trPr>
        <w:tc>
          <w:tcPr>
            <w:tcW w:w="4020" w:type="dxa"/>
            <w:vAlign w:val="bottom"/>
            <w:tcBorders>
              <w:left w:val="single" w:sz="8" w:color="auto"/>
              <w:bottom w:val="single" w:sz="8" w:color="auto"/>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3980" w:type="dxa"/>
            <w:vAlign w:val="bottom"/>
            <w:tcBorders>
              <w:bottom w:val="single" w:sz="8" w:color="auto"/>
              <w:right w:val="single" w:sz="8" w:color="auto"/>
            </w:tcBorders>
          </w:tcPr>
          <w:p>
            <w:pPr>
              <w:spacing w:after="0"/>
              <w:rPr>
                <w:sz w:val="6"/>
                <w:szCs w:val="6"/>
                <w:color w:val="auto"/>
              </w:rPr>
            </w:pPr>
          </w:p>
        </w:tc>
      </w:tr>
      <w:tr>
        <w:trPr>
          <w:trHeight w:val="269"/>
        </w:trPr>
        <w:tc>
          <w:tcPr>
            <w:tcW w:w="40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Sven H. Borho</w:t>
            </w:r>
          </w:p>
        </w:tc>
        <w:tc>
          <w:tcPr>
            <w:tcW w:w="3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c>
          <w:tcPr>
            <w:tcW w:w="3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r>
      <w:tr>
        <w:trPr>
          <w:trHeight w:val="230"/>
        </w:trPr>
        <w:tc>
          <w:tcPr>
            <w:tcW w:w="40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 and Swedish Citizen</w:t>
            </w:r>
          </w:p>
        </w:tc>
        <w:tc>
          <w:tcPr>
            <w:tcW w:w="3420" w:type="dxa"/>
            <w:vAlign w:val="bottom"/>
            <w:tcBorders>
              <w:right w:val="single" w:sz="8" w:color="auto"/>
            </w:tcBorders>
          </w:tcPr>
          <w:p>
            <w:pPr>
              <w:spacing w:after="0"/>
              <w:rPr>
                <w:sz w:val="20"/>
                <w:szCs w:val="20"/>
                <w:color w:val="auto"/>
              </w:rPr>
            </w:pPr>
          </w:p>
        </w:tc>
        <w:tc>
          <w:tcPr>
            <w:tcW w:w="3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OrbiMed Advisors LLC</w:t>
            </w:r>
          </w:p>
        </w:tc>
      </w:tr>
      <w:tr>
        <w:trPr>
          <w:trHeight w:val="75"/>
        </w:trPr>
        <w:tc>
          <w:tcPr>
            <w:tcW w:w="4020" w:type="dxa"/>
            <w:vAlign w:val="bottom"/>
            <w:tcBorders>
              <w:left w:val="single" w:sz="8" w:color="auto"/>
              <w:bottom w:val="single" w:sz="8" w:color="auto"/>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3980" w:type="dxa"/>
            <w:vAlign w:val="bottom"/>
            <w:tcBorders>
              <w:bottom w:val="single" w:sz="8" w:color="auto"/>
              <w:right w:val="single" w:sz="8" w:color="auto"/>
            </w:tcBorders>
          </w:tcPr>
          <w:p>
            <w:pPr>
              <w:spacing w:after="0"/>
              <w:rPr>
                <w:sz w:val="6"/>
                <w:szCs w:val="6"/>
                <w:color w:val="auto"/>
              </w:rPr>
            </w:pPr>
          </w:p>
        </w:tc>
      </w:tr>
      <w:tr>
        <w:trPr>
          <w:trHeight w:val="269"/>
        </w:trPr>
        <w:tc>
          <w:tcPr>
            <w:tcW w:w="40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Jonathan T. Silverstein</w:t>
            </w:r>
          </w:p>
        </w:tc>
        <w:tc>
          <w:tcPr>
            <w:tcW w:w="3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c>
          <w:tcPr>
            <w:tcW w:w="3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r>
      <w:tr>
        <w:trPr>
          <w:trHeight w:val="230"/>
        </w:trPr>
        <w:tc>
          <w:tcPr>
            <w:tcW w:w="402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OrbiMed Advisors LLC</w:t>
            </w:r>
          </w:p>
        </w:tc>
      </w:tr>
      <w:tr>
        <w:trPr>
          <w:trHeight w:val="75"/>
        </w:trPr>
        <w:tc>
          <w:tcPr>
            <w:tcW w:w="4020" w:type="dxa"/>
            <w:vAlign w:val="bottom"/>
            <w:tcBorders>
              <w:left w:val="single" w:sz="8" w:color="auto"/>
              <w:bottom w:val="single" w:sz="8" w:color="auto"/>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3980" w:type="dxa"/>
            <w:vAlign w:val="bottom"/>
            <w:tcBorders>
              <w:bottom w:val="single" w:sz="8" w:color="auto"/>
              <w:right w:val="single" w:sz="8" w:color="auto"/>
            </w:tcBorders>
          </w:tcPr>
          <w:p>
            <w:pPr>
              <w:spacing w:after="0"/>
              <w:rPr>
                <w:sz w:val="6"/>
                <w:szCs w:val="6"/>
                <w:color w:val="auto"/>
              </w:rPr>
            </w:pPr>
          </w:p>
        </w:tc>
      </w:tr>
      <w:tr>
        <w:trPr>
          <w:trHeight w:val="269"/>
        </w:trPr>
        <w:tc>
          <w:tcPr>
            <w:tcW w:w="40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 Carter Neild</w:t>
            </w:r>
          </w:p>
        </w:tc>
        <w:tc>
          <w:tcPr>
            <w:tcW w:w="3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c>
          <w:tcPr>
            <w:tcW w:w="3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r>
      <w:tr>
        <w:trPr>
          <w:trHeight w:val="230"/>
        </w:trPr>
        <w:tc>
          <w:tcPr>
            <w:tcW w:w="402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OrbiMed Advisors LLC</w:t>
            </w:r>
          </w:p>
        </w:tc>
      </w:tr>
      <w:tr>
        <w:trPr>
          <w:trHeight w:val="75"/>
        </w:trPr>
        <w:tc>
          <w:tcPr>
            <w:tcW w:w="4020" w:type="dxa"/>
            <w:vAlign w:val="bottom"/>
            <w:tcBorders>
              <w:left w:val="single" w:sz="8" w:color="auto"/>
              <w:bottom w:val="single" w:sz="8" w:color="auto"/>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3980" w:type="dxa"/>
            <w:vAlign w:val="bottom"/>
            <w:tcBorders>
              <w:bottom w:val="single" w:sz="8" w:color="auto"/>
              <w:right w:val="single" w:sz="8" w:color="auto"/>
            </w:tcBorders>
          </w:tcPr>
          <w:p>
            <w:pPr>
              <w:spacing w:after="0"/>
              <w:rPr>
                <w:sz w:val="6"/>
                <w:szCs w:val="6"/>
                <w:color w:val="auto"/>
              </w:rPr>
            </w:pPr>
          </w:p>
        </w:tc>
      </w:tr>
      <w:tr>
        <w:trPr>
          <w:trHeight w:val="269"/>
        </w:trPr>
        <w:tc>
          <w:tcPr>
            <w:tcW w:w="40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Geoffrey C. Hsu</w:t>
            </w:r>
          </w:p>
        </w:tc>
        <w:tc>
          <w:tcPr>
            <w:tcW w:w="3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c>
          <w:tcPr>
            <w:tcW w:w="3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r>
      <w:tr>
        <w:trPr>
          <w:trHeight w:val="230"/>
        </w:trPr>
        <w:tc>
          <w:tcPr>
            <w:tcW w:w="402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OrbiMed Advisors LLC</w:t>
            </w:r>
          </w:p>
        </w:tc>
      </w:tr>
      <w:tr>
        <w:trPr>
          <w:trHeight w:val="75"/>
        </w:trPr>
        <w:tc>
          <w:tcPr>
            <w:tcW w:w="4020" w:type="dxa"/>
            <w:vAlign w:val="bottom"/>
            <w:tcBorders>
              <w:left w:val="single" w:sz="8" w:color="auto"/>
              <w:bottom w:val="single" w:sz="8" w:color="auto"/>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3980" w:type="dxa"/>
            <w:vAlign w:val="bottom"/>
            <w:tcBorders>
              <w:bottom w:val="single" w:sz="8" w:color="auto"/>
              <w:right w:val="single" w:sz="8" w:color="auto"/>
            </w:tcBorders>
          </w:tcPr>
          <w:p>
            <w:pPr>
              <w:spacing w:after="0"/>
              <w:rPr>
                <w:sz w:val="6"/>
                <w:szCs w:val="6"/>
                <w:color w:val="auto"/>
              </w:rPr>
            </w:pPr>
          </w:p>
        </w:tc>
      </w:tr>
      <w:tr>
        <w:trPr>
          <w:trHeight w:val="269"/>
        </w:trPr>
        <w:tc>
          <w:tcPr>
            <w:tcW w:w="40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Evan D. Sotiriou</w:t>
            </w:r>
          </w:p>
        </w:tc>
        <w:tc>
          <w:tcPr>
            <w:tcW w:w="3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Chief Financial Officer</w:t>
            </w:r>
          </w:p>
        </w:tc>
        <w:tc>
          <w:tcPr>
            <w:tcW w:w="3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Chief Financial Officer</w:t>
            </w:r>
          </w:p>
        </w:tc>
      </w:tr>
      <w:tr>
        <w:trPr>
          <w:trHeight w:val="230"/>
        </w:trPr>
        <w:tc>
          <w:tcPr>
            <w:tcW w:w="402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OrbiMed Advisors LLC</w:t>
            </w:r>
          </w:p>
        </w:tc>
      </w:tr>
      <w:tr>
        <w:trPr>
          <w:trHeight w:val="75"/>
        </w:trPr>
        <w:tc>
          <w:tcPr>
            <w:tcW w:w="4020" w:type="dxa"/>
            <w:vAlign w:val="bottom"/>
            <w:tcBorders>
              <w:left w:val="single" w:sz="8" w:color="auto"/>
              <w:bottom w:val="single" w:sz="8" w:color="auto"/>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3980" w:type="dxa"/>
            <w:vAlign w:val="bottom"/>
            <w:tcBorders>
              <w:bottom w:val="single" w:sz="8" w:color="auto"/>
              <w:right w:val="single" w:sz="8" w:color="auto"/>
            </w:tcBorders>
          </w:tcPr>
          <w:p>
            <w:pPr>
              <w:spacing w:after="0"/>
              <w:rPr>
                <w:sz w:val="6"/>
                <w:szCs w:val="6"/>
                <w:color w:val="auto"/>
              </w:rPr>
            </w:pPr>
          </w:p>
        </w:tc>
      </w:tr>
      <w:tr>
        <w:trPr>
          <w:trHeight w:val="2100"/>
        </w:trPr>
        <w:tc>
          <w:tcPr>
            <w:tcW w:w="40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07"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Schedule II</w:t>
      </w:r>
    </w:p>
    <w:p>
      <w:pPr>
        <w:spacing w:after="0" w:line="200" w:lineRule="exact"/>
        <w:rPr>
          <w:sz w:val="20"/>
          <w:szCs w:val="20"/>
          <w:color w:val="auto"/>
        </w:rPr>
      </w:pPr>
    </w:p>
    <w:p>
      <w:pPr>
        <w:spacing w:after="0" w:line="27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business and operations of OrbiMed Capital GP VI LLC are managed by the executive officers and directors of its managing member, OrbiMed Advisors LLC, set forth on Schedule I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1635125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7246620" cy="497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0"/>
        <w:spacing w:after="0"/>
        <w:tabs>
          <w:tab w:leader="none" w:pos="15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jc w:val="right"/>
              <w:ind w:right="550"/>
              <w:spacing w:after="0"/>
              <w:rPr>
                <w:sz w:val="20"/>
                <w:szCs w:val="20"/>
                <w:color w:val="auto"/>
              </w:rPr>
            </w:pPr>
            <w:r>
              <w:rPr>
                <w:rFonts w:ascii="Arial" w:cs="Arial" w:eastAsia="Arial" w:hAnsi="Arial"/>
                <w:sz w:val="18"/>
                <w:szCs w:val="18"/>
                <w:color w:val="auto"/>
              </w:rPr>
              <w:t>1.</w:t>
            </w:r>
          </w:p>
        </w:tc>
        <w:tc>
          <w:tcPr>
            <w:tcW w:w="10540" w:type="dxa"/>
            <w:vAlign w:val="bottom"/>
          </w:tcPr>
          <w:p>
            <w:pPr>
              <w:ind w:left="660"/>
              <w:spacing w:after="0"/>
              <w:rPr>
                <w:sz w:val="20"/>
                <w:szCs w:val="20"/>
                <w:color w:val="auto"/>
              </w:rPr>
            </w:pPr>
            <w:r>
              <w:rPr>
                <w:rFonts w:ascii="Arial" w:cs="Arial" w:eastAsia="Arial" w:hAnsi="Arial"/>
                <w:sz w:val="18"/>
                <w:szCs w:val="18"/>
                <w:color w:val="auto"/>
              </w:rPr>
              <w:t>Joint Filing Agreement among OrbiMed Advisors LLC, and OrbiMed Capital GP VI LLC.</w:t>
            </w:r>
          </w:p>
        </w:tc>
      </w:tr>
      <w:tr>
        <w:trPr>
          <w:trHeight w:val="2884"/>
        </w:trPr>
        <w:tc>
          <w:tcPr>
            <w:tcW w:w="8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07"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undersigned hereby agree that the Statement on this Schedule 13D, dated January 26, 2018 (the “</w:t>
      </w:r>
      <w:r>
        <w:rPr>
          <w:rFonts w:ascii="Arial" w:cs="Arial" w:eastAsia="Arial" w:hAnsi="Arial"/>
          <w:sz w:val="18"/>
          <w:szCs w:val="18"/>
          <w:u w:val="single" w:color="auto"/>
          <w:color w:val="auto"/>
        </w:rPr>
        <w:t>Schedule 13D</w:t>
      </w:r>
      <w:r>
        <w:rPr>
          <w:rFonts w:ascii="Arial" w:cs="Arial" w:eastAsia="Arial" w:hAnsi="Arial"/>
          <w:sz w:val="18"/>
          <w:szCs w:val="18"/>
          <w:color w:val="auto"/>
        </w:rPr>
        <w:t>”), with respect to the Ordinary Shares of Verona Pharma plc is filed, and all amendments thereto will be filed, on behalf of each of us pursuant to and in accordance with the provisions of Rule 13d-1(k) under the Securities and Exchange Act of 1934, as amended, and that this Agreement shall be included as an Exhibit to this Schedule 13D. Each of the undersigned agrees to be responsible for the timely filing of the Schedule 13D, and for the completeness and accuracy of the information concerning itself contained therein. This Agreement may be executed in any number of counterparts, all of which taken together shall constitute one and the same instrument.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Agreement as of the 26</w:t>
      </w:r>
      <w:r>
        <w:rPr>
          <w:rFonts w:ascii="Arial" w:cs="Arial" w:eastAsia="Arial" w:hAnsi="Arial"/>
          <w:sz w:val="14"/>
          <w:szCs w:val="14"/>
          <w:color w:val="auto"/>
        </w:rPr>
        <w:t>th</w:t>
      </w:r>
      <w:r>
        <w:rPr>
          <w:rFonts w:ascii="Arial" w:cs="Arial" w:eastAsia="Arial" w:hAnsi="Arial"/>
          <w:sz w:val="18"/>
          <w:szCs w:val="18"/>
          <w:color w:val="auto"/>
        </w:rPr>
        <w:t xml:space="preserve"> day of January, 2018.</w:t>
      </w:r>
    </w:p>
    <w:p>
      <w:pPr>
        <w:spacing w:after="0" w:line="200" w:lineRule="exact"/>
        <w:rPr>
          <w:sz w:val="20"/>
          <w:szCs w:val="20"/>
          <w:color w:val="auto"/>
        </w:rPr>
      </w:pPr>
    </w:p>
    <w:p>
      <w:pPr>
        <w:spacing w:after="0" w:line="29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OrbiMed Advisors LLC</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Name:Jonathan T. Silverstein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Name:Sven H. Borho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Name:Carl L. Gordon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OrbiMed Capital GP VI LLC</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OrbiMed Advisors LLC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managing member</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Name:Jonathan T. Silverstein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Name:Sven H. Borho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Name:Carl L. Gordon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2019-12-16T11:26:59Z</dcterms:created>
  <dcterms:modified xsi:type="dcterms:W3CDTF">2019-12-16T11:26:59Z</dcterms:modified>
</cp:coreProperties>
</file>