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11/01/2024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48,888</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4.3761</w:t>
            </w:r>
            <w:r>
              <w:rPr>
                <w:rFonts w:ascii="Times New Roman" w:cs="Times New Roman" w:eastAsia="Times New Roman" w:hAnsi="Times New Roman"/>
                <w:sz w:val="22"/>
                <w:szCs w:val="22"/>
                <w:color w:val="008000"/>
                <w:vertAlign w:val="superscript"/>
              </w:rPr>
              <w:t>(3)</w:t>
            </w:r>
          </w:p>
        </w:tc>
        <w:tc>
          <w:tcPr>
            <w:tcW w:w="122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14,374,520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jc w:val="right"/>
              <w:ind w:right="159"/>
              <w:spacing w:after="0"/>
              <w:rPr>
                <w:sz w:val="20"/>
                <w:szCs w:val="20"/>
                <w:color w:val="auto"/>
              </w:rPr>
            </w:pPr>
            <w:r>
              <w:rPr>
                <w:rFonts w:ascii="Times New Roman" w:cs="Times New Roman" w:eastAsia="Times New Roman" w:hAnsi="Times New Roman"/>
                <w:sz w:val="17"/>
                <w:szCs w:val="17"/>
                <w:color w:val="0000FF"/>
              </w:rPr>
              <w:t>11/04/2024</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80" w:type="dxa"/>
            <w:vAlign w:val="bottom"/>
            <w:tcBorders>
              <w:bottom w:val="single" w:sz="8" w:color="2C2C2C"/>
            </w:tcBorders>
          </w:tcPr>
          <w:p>
            <w:pPr>
              <w:jc w:val="right"/>
              <w:ind w:right="132"/>
              <w:spacing w:after="0"/>
              <w:rPr>
                <w:sz w:val="20"/>
                <w:szCs w:val="20"/>
                <w:color w:val="auto"/>
              </w:rPr>
            </w:pPr>
            <w:r>
              <w:rPr>
                <w:rFonts w:ascii="Times New Roman" w:cs="Times New Roman" w:eastAsia="Times New Roman" w:hAnsi="Times New Roman"/>
                <w:sz w:val="17"/>
                <w:szCs w:val="17"/>
                <w:color w:val="0000FF"/>
              </w:rPr>
              <w:t>80,784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4.3876</w:t>
            </w:r>
            <w:r>
              <w:rPr>
                <w:rFonts w:ascii="Times New Roman" w:cs="Times New Roman" w:eastAsia="Times New Roman" w:hAnsi="Times New Roman"/>
                <w:sz w:val="22"/>
                <w:szCs w:val="22"/>
                <w:color w:val="008000"/>
                <w:vertAlign w:val="superscript"/>
              </w:rPr>
              <w:t>(4)</w:t>
            </w:r>
          </w:p>
        </w:tc>
        <w:tc>
          <w:tcPr>
            <w:tcW w:w="122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14,293,736</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19"/>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6,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$4.3825 per Ordinary Share, inclusive (or $35.00 to $35.06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$4.4225 per Ordinary Share, inclusive (or $35.00 to $35.38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3,000,000 Ordinary Shares underlying Restricted Share Units, each of which represents a contingent right to receive one (1) Ordinary Share of the Issuer (which are represented by 375,000 ADSs); and (ii) 11,293,736 Ordinary Shares underlying 1,411,717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11/05/2024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2024-11-05T16:45:18Z</dcterms:created>
  <dcterms:modified xsi:type="dcterms:W3CDTF">2024-11-05T16:45:18Z</dcterms:modified>
</cp:coreProperties>
</file>