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60" w:after="60"/>
        <w:ind w:left="0" w:right="0" w:hanging="0"/>
        <w:rPr>
          <w:bdr w:val="single" w:sz="16" w:space="1" w:color="000000"/>
        </w:rPr>
      </w:pPr>
      <w:bookmarkStart w:id="0" w:name="tm2314238d1_8k.htm"/>
      <w:bookmarkStart w:id="1" w:name="kstm2314238d1_8k"/>
      <w:bookmarkEnd w:id="0"/>
      <w:bookmarkEnd w:id="1"/>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30427__20"/>
      <w:bookmarkEnd w:id="2"/>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April 27, 2023</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3"/>
      <w:bookmarkEnd w:id="4"/>
      <w:r>
        <w:rPr>
          <w:rFonts w:ascii="Times New Roman;Times;Serif" w:hAnsi="Times New Roman;Times;Serif"/>
          <w:b/>
          <w:i w:val="false"/>
          <w:caps w:val="false"/>
          <w:smallCaps w:val="false"/>
          <w:sz w:val="36"/>
        </w:rPr>
        <w:t>Verona Pharma plc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tbl>
      <w:tblPr>
        <w:tblW w:w="5100" w:type="dxa"/>
        <w:jc w:val="left"/>
        <w:tblInd w:w="0" w:type="dxa"/>
        <w:tblCellMar>
          <w:top w:w="0" w:type="dxa"/>
          <w:left w:w="0" w:type="dxa"/>
          <w:bottom w:w="0" w:type="dxa"/>
          <w:right w:w="0" w:type="dxa"/>
        </w:tblCellMar>
      </w:tblPr>
      <w:tblGrid>
        <w:gridCol w:w="2270"/>
        <w:gridCol w:w="60"/>
        <w:gridCol w:w="1145"/>
        <w:gridCol w:w="60"/>
        <w:gridCol w:w="1565"/>
      </w:tblGrid>
      <w:tr>
        <w:trPr/>
        <w:tc>
          <w:tcPr>
            <w:tcW w:w="2270" w:type="dxa"/>
            <w:tcBorders/>
            <w:shd w:fill="auto" w:val="clear"/>
            <w:vAlign w:val="center"/>
          </w:tcPr>
          <w:p>
            <w:pPr>
              <w:pStyle w:val="TableContents"/>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United Kingdom</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rFonts w:ascii="Times New Roman;Times;Serif" w:hAnsi="Times New Roman;Times;Serif"/>
                <w:b/>
                <w:sz w:val="20"/>
              </w:rPr>
            </w:pPr>
            <w:bookmarkStart w:id="6" w:name="xdx_90E_edei--EntityFileNumber_c20230427"/>
            <w:bookmarkEnd w:id="6"/>
            <w:r>
              <w:rPr>
                <w:rFonts w:ascii="Times New Roman;Times;Serif" w:hAnsi="Times New Roman;Times;Serif"/>
                <w:b/>
                <w:sz w:val="20"/>
              </w:rPr>
              <w:t>001-38067</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98-1489389</w:t>
            </w:r>
          </w:p>
        </w:tc>
      </w:tr>
      <w:tr>
        <w:trPr/>
        <w:tc>
          <w:tcPr>
            <w:tcW w:w="227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3 More London Riverside</w:t>
      </w:r>
    </w:p>
    <w:p>
      <w:pPr>
        <w:pStyle w:val="TextBody"/>
        <w:spacing w:before="0" w:after="0"/>
        <w:ind w:left="0" w:right="0" w:hanging="0"/>
        <w:jc w:val="center"/>
        <w:rPr>
          <w:rFonts w:ascii="Times New Roman;Times;Serif" w:hAnsi="Times New Roman;Times;Serif"/>
          <w:b w:val="false"/>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London </w:t>
      </w:r>
      <w:bookmarkStart w:id="10" w:name="xdx_90B_edei--EntityAddressPostalZipCode"/>
      <w:bookmarkEnd w:id="10"/>
      <w:r>
        <w:rPr>
          <w:rFonts w:ascii="Times New Roman;Times;Serif" w:hAnsi="Times New Roman;Times;Serif"/>
          <w:b/>
          <w:i w:val="false"/>
          <w:caps w:val="false"/>
          <w:smallCaps w:val="false"/>
          <w:sz w:val="20"/>
        </w:rPr>
        <w:t>SE1 2RE</w:t>
      </w:r>
    </w:p>
    <w:p>
      <w:pPr>
        <w:pStyle w:val="TextBody"/>
        <w:spacing w:before="0" w:after="0"/>
        <w:ind w:left="0" w:right="0" w:hanging="0"/>
        <w:jc w:val="center"/>
        <w:rPr>
          <w:rFonts w:ascii="Times New Roman;Times;Serif" w:hAnsi="Times New Roman;Times;Serif"/>
          <w:b/>
          <w:i w:val="false"/>
          <w:caps w:val="false"/>
          <w:smallCaps w:val="false"/>
          <w:sz w:val="20"/>
        </w:rPr>
      </w:pPr>
      <w:bookmarkStart w:id="11" w:name="xdx_90E_edei--EntityAddressCountry_dxL_c"/>
      <w:bookmarkEnd w:id="11"/>
      <w:r>
        <w:rPr>
          <w:rFonts w:ascii="Times New Roman;Times;Serif" w:hAnsi="Times New Roman;Times;Serif"/>
          <w:b/>
          <w:i w:val="false"/>
          <w:caps w:val="false"/>
          <w:smallCaps w:val="false"/>
          <w:sz w:val="20"/>
        </w:rPr>
        <w:t>United Kingdom</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C_edei--CountryRegion_c20230427__2"/>
      <w:bookmarkEnd w:id="12"/>
      <w:r>
        <w:rPr>
          <w:rFonts w:ascii="Times New Roman;Times;Serif" w:hAnsi="Times New Roman;Times;Serif"/>
          <w:b/>
          <w:i w:val="false"/>
          <w:caps w:val="false"/>
          <w:smallCaps w:val="false"/>
          <w:sz w:val="20"/>
        </w:rPr>
        <w:t xml:space="preserve">44 </w:t>
      </w:r>
      <w:bookmarkStart w:id="13" w:name="xdx_90E_edei--CityAreaCode_c20230427__20"/>
      <w:bookmarkEnd w:id="13"/>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bookmarkStart w:id="14" w:name="xdx_903_edei--LocalPhoneNumber_c20230427"/>
      <w:bookmarkEnd w:id="14"/>
      <w:r>
        <w:rPr>
          <w:rFonts w:ascii="Times New Roman;Times;Serif" w:hAnsi="Times New Roman;Times;Serif"/>
          <w:b/>
          <w:i w:val="false"/>
          <w:caps w:val="false"/>
          <w:smallCaps w:val="false"/>
          <w:sz w:val="20"/>
        </w:rPr>
        <w:t>283 4200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645" w:type="dxa"/>
        <w:jc w:val="left"/>
        <w:tblInd w:w="0" w:type="dxa"/>
        <w:tblCellMar>
          <w:top w:w="0" w:type="dxa"/>
          <w:left w:w="0" w:type="dxa"/>
          <w:bottom w:w="0" w:type="dxa"/>
          <w:right w:w="0" w:type="dxa"/>
        </w:tblCellMar>
      </w:tblPr>
      <w:tblGrid>
        <w:gridCol w:w="75"/>
        <w:gridCol w:w="230"/>
        <w:gridCol w:w="734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5" w:name="xdx_904_edei--WrittenCommunications_c202"/>
            <w:bookmarkEnd w:id="15"/>
            <w:r>
              <w:rPr/>
              <w:t>☐</w:t>
            </w:r>
          </w:p>
        </w:tc>
        <w:tc>
          <w:tcPr>
            <w:tcW w:w="7340" w:type="dxa"/>
            <w:tcBorders/>
            <w:shd w:fill="auto" w:val="clear"/>
            <w:vAlign w:val="center"/>
          </w:tcPr>
          <w:p>
            <w:pPr>
              <w:pStyle w:val="TableContents"/>
              <w:spacing w:before="0" w:after="283"/>
              <w:rPr>
                <w:sz w:val="20"/>
              </w:rPr>
            </w:pPr>
            <w:r>
              <w:rPr>
                <w:sz w:val="20"/>
              </w:rPr>
              <w:t xml:space="preserve">Written communications pursuant to Rule 425 under the Securities Act (17 CFR 230.425) </w:t>
            </w:r>
          </w:p>
        </w:tc>
      </w:tr>
    </w:tbl>
    <w:p>
      <w:pPr>
        <w:pStyle w:val="TextBody"/>
        <w:spacing w:before="0" w:after="0"/>
        <w:ind w:left="0" w:right="0" w:hanging="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6" w:name="xdx_905_edei--SolicitingMaterial_c202304"/>
            <w:bookmarkEnd w:id="16"/>
            <w:r>
              <w:rPr/>
              <w:t>☐</w:t>
            </w:r>
          </w:p>
        </w:tc>
        <w:tc>
          <w:tcPr>
            <w:tcW w:w="7325" w:type="dxa"/>
            <w:tcBorders/>
            <w:shd w:fill="auto" w:val="clear"/>
            <w:vAlign w:val="center"/>
          </w:tcPr>
          <w:p>
            <w:pPr>
              <w:pStyle w:val="TableContents"/>
              <w:spacing w:before="0" w:after="283"/>
              <w:rPr>
                <w:sz w:val="20"/>
              </w:rPr>
            </w:pPr>
            <w:r>
              <w:rPr>
                <w:sz w:val="20"/>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7" w:name="xdx_90E_edei--PreCommencementTenderOffer"/>
            <w:bookmarkEnd w:id="17"/>
            <w:r>
              <w:rPr/>
              <w:t>☐</w:t>
            </w:r>
          </w:p>
        </w:tc>
        <w:tc>
          <w:tcPr>
            <w:tcW w:w="9065" w:type="dxa"/>
            <w:tcBorders/>
            <w:shd w:fill="auto" w:val="clear"/>
            <w:vAlign w:val="center"/>
          </w:tcPr>
          <w:p>
            <w:pPr>
              <w:pStyle w:val="TableContents"/>
              <w:spacing w:before="0" w:after="283"/>
              <w:rPr>
                <w:sz w:val="20"/>
              </w:rPr>
            </w:pPr>
            <w:r>
              <w:rPr>
                <w:sz w:val="20"/>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8" w:name="xdx_90D_edei--PreCommencementIssuerTende"/>
            <w:bookmarkEnd w:id="18"/>
            <w:r>
              <w:rPr/>
              <w:t>☐</w:t>
            </w:r>
          </w:p>
        </w:tc>
        <w:tc>
          <w:tcPr>
            <w:tcW w:w="9005" w:type="dxa"/>
            <w:tcBorders/>
            <w:shd w:fill="auto" w:val="clear"/>
            <w:vAlign w:val="center"/>
          </w:tcPr>
          <w:p>
            <w:pPr>
              <w:pStyle w:val="TableContents"/>
              <w:spacing w:before="0" w:after="283"/>
              <w:rPr>
                <w:sz w:val="20"/>
              </w:rPr>
            </w:pPr>
            <w:r>
              <w:rPr>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tbl>
      <w:tblPr>
        <w:tblW w:w="8340" w:type="dxa"/>
        <w:jc w:val="left"/>
        <w:tblInd w:w="0" w:type="dxa"/>
        <w:tblCellMar>
          <w:top w:w="28" w:type="dxa"/>
          <w:left w:w="108" w:type="dxa"/>
          <w:bottom w:w="28" w:type="dxa"/>
          <w:right w:w="108" w:type="dxa"/>
        </w:tblCellMar>
      </w:tblPr>
      <w:tblGrid>
        <w:gridCol w:w="3935"/>
        <w:gridCol w:w="1535"/>
        <w:gridCol w:w="2870"/>
      </w:tblGrid>
      <w:tr>
        <w:trPr/>
        <w:tc>
          <w:tcPr>
            <w:tcW w:w="393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sz w:val="20"/>
              </w:rPr>
            </w:pPr>
            <w:r>
              <w:rPr>
                <w:sz w:val="20"/>
              </w:rPr>
              <w:t>Trading Symbol(s)</w:t>
            </w:r>
          </w:p>
        </w:tc>
        <w:tc>
          <w:tcPr>
            <w:tcW w:w="287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sz w:val="20"/>
              </w:rPr>
            </w:pPr>
            <w:r>
              <w:rPr>
                <w:sz w:val="20"/>
              </w:rPr>
              <w:t>Name of each exchange on</w:t>
              <w:br/>
              <w:t xml:space="preserve">which </w:t>
              <w:br/>
              <w:t>registered</w:t>
            </w:r>
          </w:p>
        </w:tc>
      </w:tr>
      <w:tr>
        <w:trPr/>
        <w:tc>
          <w:tcPr>
            <w:tcW w:w="393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19" w:name="xdx_904_edei--Security12bTitle_c20230427"/>
            <w:bookmarkEnd w:id="19"/>
            <w:r>
              <w:rPr>
                <w:sz w:val="20"/>
              </w:rPr>
              <w:t>Ordinary shares, nominal value £0.05 per share*</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20" w:name="xdx_90C_edei--TradingSymbol_c20230427__2"/>
            <w:bookmarkEnd w:id="20"/>
            <w:r>
              <w:rPr>
                <w:sz w:val="20"/>
              </w:rPr>
              <w:t>VRNA</w:t>
            </w:r>
          </w:p>
        </w:tc>
        <w:tc>
          <w:tcPr>
            <w:tcW w:w="287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1" w:name="xdx_90F_edei--SecurityExchangeName_c2023"/>
            <w:bookmarkEnd w:id="21"/>
            <w:r>
              <w:rPr>
                <w:sz w:val="20"/>
              </w:rPr>
              <w:t>The Nasdaq Stock Market</w:t>
            </w:r>
            <w:r>
              <w:rPr/>
              <w:t xml:space="preserve"> </w:t>
              <w:br/>
              <w:t>LLC (Nasdaq Global Market)</w:t>
            </w:r>
          </w:p>
        </w:tc>
      </w:tr>
    </w:tbl>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The ordinary shares are represented by American Depositary Shares (each representing 8 ordinary shares), which are exempt from the operation of Section 12(a) of the Securities Exchange Act of 1934, as amended, pursuant to Rule 12a-8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2023, Verona Pharma plc (the “Company”) held its 2023 Annual General Meeting of Shareholders (the “AGM”), at which the Company’s shareholders approved the Verona Pharma plc Second Amended and Restated 2017 Incentive Award Plan (the “Second A&amp;R Plan”), to, among other things, increase the number of ordinary shares reserved for issuance under the Company’s existing 2017 Incentive Award Plan, as it has been amended and/or restated (the “Existing Plan”), by 24,000,000 shares to a total of 140,605,742 shares and increase the number of shares that may become issuable under the annual “evergreen” feature of the Existing Plan to 4% (increased from 1.5%) of the number of shares in issue on the final day of the immediately preceding calendar year, which had been previously approved by the Company’s Board of Directors subject to shareholder approval. The Second A&amp;R Plan amends and restates the Existing Plan in its entirety.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conditions of the Second A&amp;R Plan are described under “Proposal 10—To approve the adoption of the Verona Pharma plc Second Amended and Restated 2017 Incentive Award Plan,” included in the Company’s definitive proxy statement on Schedule 14A filed with the Securities and Exchange Commission on March 21, 2023 (the “Proxy Statement”), which description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and the incorporated description of the Second A&amp;R Plan are qualified in their entirety by reference to the Second A&amp;R Plan, a copy of which is filed as Exhibit 10.1 hereto and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AGM, all resolutions were passed as proposed. Of the ordinary shares entitled to vote, there were 602,681,430 ordinary shares represented in person or by proxy at the AGM. The matters voted upon at the AGM, all of which were described in the Proxy Statement, and the final results of such voting are set forth below. Proxy forms which gave a person designated by the Company discretion have been included in the “For” total. In accordance with the terms of the deposit agreement by and among the Company, Citibank, N.A., as depositary, and holders and beneficial owners of American Depositary Shares (“ADSs”) issued thereunder, dated as of May 2, 2017, holders of ADSs as the ADS record date who did not provide the depositary bank with voting instructions on or before the voting cut-off time for ADS holders were deemed to have instructed the depositary bank to give a discretionary proxy to a person designated by the Company to vote the underlying ordinary shares at the AGM and the voting results below reflect that. A “vote withheld” is not a vote in law and votes withheld had no effect on the proposals. Votes withheld were counted as present and entitled to vote for purposes of determining a quorum.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1. To re-elect David Ebsworth, Ph.D. as a Director of the Company. </w:t>
      </w:r>
    </w:p>
    <w:p>
      <w:pPr>
        <w:pStyle w:val="TextBody"/>
        <w:spacing w:before="0" w:after="0"/>
        <w:ind w:left="0" w:right="0" w:hanging="0"/>
        <w:rPr>
          <w:caps w:val="false"/>
          <w:smallCaps w:val="false"/>
        </w:rPr>
      </w:pPr>
      <w:r>
        <w:rPr>
          <w:caps w:val="false"/>
          <w:smallCaps w:val="false"/>
        </w:rPr>
        <w:t> </w:t>
      </w:r>
    </w:p>
    <w:tbl>
      <w:tblPr>
        <w:tblW w:w="5270" w:type="dxa"/>
        <w:jc w:val="left"/>
        <w:tblInd w:w="0" w:type="dxa"/>
        <w:tblCellMar>
          <w:top w:w="0" w:type="dxa"/>
          <w:left w:w="0" w:type="dxa"/>
          <w:bottom w:w="28" w:type="dxa"/>
          <w:right w:w="0" w:type="dxa"/>
        </w:tblCellMar>
      </w:tblPr>
      <w:tblGrid>
        <w:gridCol w:w="1070"/>
        <w:gridCol w:w="60"/>
        <w:gridCol w:w="950"/>
        <w:gridCol w:w="60"/>
        <w:gridCol w:w="1070"/>
        <w:gridCol w:w="60"/>
        <w:gridCol w:w="2000"/>
      </w:tblGrid>
      <w:tr>
        <w:trPr/>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561,136,862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40,727,448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817,120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0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2. To re-elect Mahendra Shah as a Director of the Company. </w:t>
      </w:r>
    </w:p>
    <w:tbl>
      <w:tblPr>
        <w:tblW w:w="5270" w:type="dxa"/>
        <w:jc w:val="left"/>
        <w:tblInd w:w="0" w:type="dxa"/>
        <w:tblCellMar>
          <w:top w:w="0" w:type="dxa"/>
          <w:left w:w="0" w:type="dxa"/>
          <w:bottom w:w="0" w:type="dxa"/>
          <w:right w:w="0" w:type="dxa"/>
        </w:tblCellMar>
      </w:tblPr>
      <w:tblGrid>
        <w:gridCol w:w="1070"/>
        <w:gridCol w:w="60"/>
        <w:gridCol w:w="95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565,176,814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37,372,136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132,480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3. To re-elect David Zaccardelli, Pharm.D. as a Director of the Company. </w:t>
      </w:r>
    </w:p>
    <w:tbl>
      <w:tblPr>
        <w:tblW w:w="5270" w:type="dxa"/>
        <w:jc w:val="left"/>
        <w:tblInd w:w="0" w:type="dxa"/>
        <w:tblCellMar>
          <w:top w:w="0" w:type="dxa"/>
          <w:left w:w="0" w:type="dxa"/>
          <w:bottom w:w="0" w:type="dxa"/>
          <w:right w:w="0" w:type="dxa"/>
        </w:tblCellMar>
      </w:tblPr>
      <w:tblGrid>
        <w:gridCol w:w="1070"/>
        <w:gridCol w:w="60"/>
        <w:gridCol w:w="95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570,424,190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32,108,760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148,480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4. To receive and adopt the U.K. statutory annual accounts and Directors’ report for the year ended December 31, 2022 and the report of the auditors thereon. </w:t>
      </w:r>
    </w:p>
    <w:tbl>
      <w:tblPr>
        <w:tblW w:w="5210" w:type="dxa"/>
        <w:jc w:val="left"/>
        <w:tblInd w:w="0" w:type="dxa"/>
        <w:tblCellMar>
          <w:top w:w="0" w:type="dxa"/>
          <w:left w:w="0" w:type="dxa"/>
          <w:bottom w:w="0" w:type="dxa"/>
          <w:right w:w="0" w:type="dxa"/>
        </w:tblCellMar>
      </w:tblPr>
      <w:tblGrid>
        <w:gridCol w:w="1070"/>
        <w:gridCol w:w="60"/>
        <w:gridCol w:w="89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601,771,502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9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49,792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860,136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5. To receive and approve, as a non-binding advisory resolution, the U.K. statutory Directors’ Remuneration Report for the year ended December 31, 2022. </w:t>
      </w:r>
    </w:p>
    <w:tbl>
      <w:tblPr>
        <w:tblW w:w="5270" w:type="dxa"/>
        <w:jc w:val="left"/>
        <w:tblInd w:w="0" w:type="dxa"/>
        <w:tblCellMar>
          <w:top w:w="0" w:type="dxa"/>
          <w:left w:w="0" w:type="dxa"/>
          <w:bottom w:w="0" w:type="dxa"/>
          <w:right w:w="0" w:type="dxa"/>
        </w:tblCellMar>
      </w:tblPr>
      <w:tblGrid>
        <w:gridCol w:w="1070"/>
        <w:gridCol w:w="60"/>
        <w:gridCol w:w="95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581,723,878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20,054,712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902,840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6. To re-appoint PricewaterhouseCoopers LLP as the Company’s auditors, to hold office until the conclusion of the next annual general meeting of shareholders. </w:t>
      </w:r>
    </w:p>
    <w:tbl>
      <w:tblPr>
        <w:tblW w:w="5210" w:type="dxa"/>
        <w:jc w:val="left"/>
        <w:tblInd w:w="0" w:type="dxa"/>
        <w:tblCellMar>
          <w:top w:w="0" w:type="dxa"/>
          <w:left w:w="0" w:type="dxa"/>
          <w:bottom w:w="0" w:type="dxa"/>
          <w:right w:w="0" w:type="dxa"/>
        </w:tblCellMar>
      </w:tblPr>
      <w:tblGrid>
        <w:gridCol w:w="1070"/>
        <w:gridCol w:w="60"/>
        <w:gridCol w:w="89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602,270,318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9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380,808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7. To authorize the Audit and Risk Committee to determine the auditors’ remuneration for the year ending December 31, 2023. </w:t>
      </w:r>
    </w:p>
    <w:tbl>
      <w:tblPr>
        <w:tblW w:w="5210" w:type="dxa"/>
        <w:jc w:val="left"/>
        <w:tblInd w:w="0" w:type="dxa"/>
        <w:tblCellMar>
          <w:top w:w="0" w:type="dxa"/>
          <w:left w:w="0" w:type="dxa"/>
          <w:bottom w:w="0" w:type="dxa"/>
          <w:right w:w="0" w:type="dxa"/>
        </w:tblCellMar>
      </w:tblPr>
      <w:tblGrid>
        <w:gridCol w:w="1070"/>
        <w:gridCol w:w="60"/>
        <w:gridCol w:w="89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602,379,774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9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274,848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26,808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8. To approve, on an advisory (non-binding) basis, the compensation of the Company’s named executive officers.</w:t>
      </w:r>
    </w:p>
    <w:tbl>
      <w:tblPr>
        <w:tblW w:w="5270" w:type="dxa"/>
        <w:jc w:val="left"/>
        <w:tblInd w:w="0" w:type="dxa"/>
        <w:tblCellMar>
          <w:top w:w="0" w:type="dxa"/>
          <w:left w:w="0" w:type="dxa"/>
          <w:bottom w:w="0" w:type="dxa"/>
          <w:right w:w="0" w:type="dxa"/>
        </w:tblCellMar>
      </w:tblPr>
      <w:tblGrid>
        <w:gridCol w:w="1070"/>
        <w:gridCol w:w="60"/>
        <w:gridCol w:w="95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581,496,502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20,169,472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1,015,456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9. To approve, on an advisory (non-binding) basis, the frequency of future advisory votes on the compensation of the Company’s named executive officers.</w:t>
      </w:r>
    </w:p>
    <w:tbl>
      <w:tblPr>
        <w:tblW w:w="5980" w:type="dxa"/>
        <w:jc w:val="left"/>
        <w:tblInd w:w="0" w:type="dxa"/>
        <w:tblCellMar>
          <w:top w:w="0" w:type="dxa"/>
          <w:left w:w="0" w:type="dxa"/>
          <w:bottom w:w="0" w:type="dxa"/>
          <w:right w:w="0" w:type="dxa"/>
        </w:tblCellMar>
      </w:tblPr>
      <w:tblGrid>
        <w:gridCol w:w="1070"/>
        <w:gridCol w:w="60"/>
        <w:gridCol w:w="800"/>
        <w:gridCol w:w="60"/>
        <w:gridCol w:w="80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YEAR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YEARS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YEARS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491,912,718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99,832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843,072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82,928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10. To approve the adoption of the Verona Pharma plc Second Amended and Restated 2017 Incentive Award Plan.</w:t>
      </w:r>
    </w:p>
    <w:tbl>
      <w:tblPr>
        <w:tblW w:w="5270" w:type="dxa"/>
        <w:jc w:val="left"/>
        <w:tblInd w:w="0" w:type="dxa"/>
        <w:tblCellMar>
          <w:top w:w="0" w:type="dxa"/>
          <w:left w:w="0" w:type="dxa"/>
          <w:bottom w:w="0" w:type="dxa"/>
          <w:right w:w="0" w:type="dxa"/>
        </w:tblCellMar>
      </w:tblPr>
      <w:tblGrid>
        <w:gridCol w:w="1070"/>
        <w:gridCol w:w="60"/>
        <w:gridCol w:w="95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471,262,470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96,353,776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35,065,184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11. To authorize the Board of Directors to exercise all the powers of the Company to allot shares in the Company or grant rights to subscribe for or to convert any security into shares in the Company up to an aggregate nominal amount of £8,145,745.</w:t>
      </w:r>
    </w:p>
    <w:tbl>
      <w:tblPr>
        <w:tblW w:w="5210" w:type="dxa"/>
        <w:jc w:val="left"/>
        <w:tblInd w:w="0" w:type="dxa"/>
        <w:tblCellMar>
          <w:top w:w="0" w:type="dxa"/>
          <w:left w:w="0" w:type="dxa"/>
          <w:bottom w:w="0" w:type="dxa"/>
          <w:right w:w="0" w:type="dxa"/>
        </w:tblCellMar>
      </w:tblPr>
      <w:tblGrid>
        <w:gridCol w:w="1070"/>
        <w:gridCol w:w="60"/>
        <w:gridCol w:w="89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601,203,782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9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491,600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986,048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Proposal 12. To authorize the Board of Directors to allot equity securities for cash and/or to sell ordinary shares held by the Company as treasury shares for cash as if section 561(1) of the U.K. Companies Act 2006 does not apply to any such allotment. </w:t>
      </w:r>
    </w:p>
    <w:tbl>
      <w:tblPr>
        <w:tblW w:w="5210" w:type="dxa"/>
        <w:jc w:val="left"/>
        <w:tblInd w:w="0" w:type="dxa"/>
        <w:tblCellMar>
          <w:top w:w="0" w:type="dxa"/>
          <w:left w:w="0" w:type="dxa"/>
          <w:bottom w:w="0" w:type="dxa"/>
          <w:right w:w="0" w:type="dxa"/>
        </w:tblCellMar>
      </w:tblPr>
      <w:tblGrid>
        <w:gridCol w:w="1070"/>
        <w:gridCol w:w="60"/>
        <w:gridCol w:w="890"/>
        <w:gridCol w:w="60"/>
        <w:gridCol w:w="1070"/>
        <w:gridCol w:w="60"/>
        <w:gridCol w:w="2000"/>
      </w:tblGrid>
      <w:tr>
        <w:trPr/>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WITHHELD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0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NON-VOTES </w:t>
            </w:r>
          </w:p>
        </w:tc>
      </w:tr>
      <w:tr>
        <w:trPr/>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600,633,510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9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1,092,424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7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955,496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00" w:type="dxa"/>
            <w:tcBorders/>
            <w:shd w:fill="CCEEFF" w:val="clear"/>
            <w:vAlign w:val="center"/>
          </w:tcPr>
          <w:p>
            <w:pPr>
              <w:pStyle w:val="TableContents"/>
              <w:spacing w:before="0" w:after="283"/>
              <w:jc w:val="center"/>
              <w:rPr>
                <w:caps w:val="false"/>
                <w:smallCaps w:val="false"/>
              </w:rPr>
            </w:pPr>
            <w:r>
              <w:rPr>
                <w:caps w:val="false"/>
                <w:smallCaps w:val="false"/>
              </w:rPr>
              <w:t xml:space="preserve">—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votes, the shareholders re-elected each of David Ebsworth, Ph.D., Mahendra Shah and David Zaccardelli, Pharm.D. as directors, and approved Proposals 4, 5, 6, 7, 8, 9, 10, 11 and 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4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725" w:type="dxa"/>
            <w:tcBorders/>
            <w:shd w:fill="auto" w:val="clear"/>
            <w:tcMar>
              <w:bottom w:w="0" w:type="dxa"/>
            </w:tcMar>
            <w:vAlign w:val="center"/>
          </w:tcPr>
          <w:p>
            <w:pPr>
              <w:pStyle w:val="TableContents"/>
              <w:spacing w:before="0" w:after="283"/>
              <w:rPr/>
            </w:pPr>
            <w:hyperlink w:anchor="tm2314238d1_ex10-1.htm">
              <w:r>
                <w:rPr>
                  <w:rStyle w:val="InternetLink"/>
                  <w:rFonts w:ascii="Times New Roman;Times;Serif" w:hAnsi="Times New Roman;Times;Serif"/>
                  <w:b w:val="false"/>
                  <w:i w:val="false"/>
                  <w:caps w:val="false"/>
                  <w:smallCaps w:val="false"/>
                  <w:sz w:val="20"/>
                </w:rPr>
                <w:t>10.1</w:t>
              </w:r>
            </w:hyperlink>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rPr/>
            </w:pPr>
            <w:hyperlink w:anchor="tm2314238d1_ex10-1.htm">
              <w:r>
                <w:rPr>
                  <w:rStyle w:val="InternetLink"/>
                  <w:rFonts w:ascii="Times New Roman;Times;Serif" w:hAnsi="Times New Roman;Times;Serif"/>
                  <w:b w:val="false"/>
                  <w:i w:val="false"/>
                  <w:caps w:val="false"/>
                  <w:smallCaps w:val="false"/>
                  <w:color w:val="0000FF"/>
                  <w:sz w:val="20"/>
                  <w:u w:val="single"/>
                </w:rPr>
                <w:t>Verona Pharma plc Second Amended and Restated 2017 Incentive Award Plan</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XBRL tags are embedded within the Inline Instance XBRL document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235" w:type="dxa"/>
        <w:jc w:val="left"/>
        <w:tblInd w:w="0" w:type="dxa"/>
        <w:tblCellMar>
          <w:top w:w="0" w:type="dxa"/>
          <w:left w:w="0" w:type="dxa"/>
          <w:bottom w:w="0" w:type="dxa"/>
          <w:right w:w="0" w:type="dxa"/>
        </w:tblCellMar>
      </w:tblPr>
      <w:tblGrid>
        <w:gridCol w:w="1550"/>
        <w:gridCol w:w="590"/>
        <w:gridCol w:w="3095"/>
      </w:tblGrid>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3685"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VERONA PHARMA PLC</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5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Zaccardelli, Pharm. D.</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Zaccardelli, Pharm. D.</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rPr/>
      </w:pPr>
      <w:bookmarkStart w:id="23" w:name="tm2314238d1_ex10-1.htm"/>
      <w:bookmarkStart w:id="24" w:name="kstm2314238d1_ex101"/>
      <w:bookmarkEnd w:id="23"/>
      <w:bookmarkEnd w:id="24"/>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spacing w:before="0" w:after="0"/>
        <w:ind w:left="0" w:right="0" w:hanging="0"/>
        <w:rPr>
          <w:caps w:val="false"/>
          <w:smallCaps w:val="false"/>
        </w:rPr>
      </w:pPr>
      <w:r>
        <w:rPr>
          <w:caps w:val="false"/>
          <w:smallCaps w:val="false"/>
        </w:rPr>
        <w:t>  </w:t>
      </w:r>
    </w:p>
    <w:tbl>
      <w:tblPr>
        <w:tblW w:w="4700" w:type="dxa"/>
        <w:jc w:val="left"/>
        <w:tblInd w:w="0" w:type="dxa"/>
        <w:tblCellMar>
          <w:top w:w="200" w:type="dxa"/>
          <w:left w:w="28" w:type="dxa"/>
          <w:bottom w:w="28" w:type="dxa"/>
          <w:right w:w="0" w:type="dxa"/>
        </w:tblCellMar>
      </w:tblPr>
      <w:tblGrid>
        <w:gridCol w:w="75"/>
        <w:gridCol w:w="60"/>
        <w:gridCol w:w="4370"/>
        <w:gridCol w:w="60"/>
        <w:gridCol w:w="60"/>
        <w:gridCol w:w="75"/>
      </w:tblGrid>
      <w:tr>
        <w:trPr/>
        <w:tc>
          <w:tcPr>
            <w:tcW w:w="75" w:type="dxa"/>
            <w:tcBorders>
              <w:top w:val="single" w:sz="8" w:space="0" w:color="000000"/>
              <w:left w:val="single" w:sz="8" w:space="0" w:color="000000"/>
              <w:bottom w:val="single" w:sz="8" w:space="0" w:color="000000"/>
            </w:tcBorders>
            <w:shd w:fill="auto" w:val="clear"/>
            <w:vAlign w:val="center"/>
          </w:tcPr>
          <w:p>
            <w:pPr>
              <w:pStyle w:val="TableContents"/>
              <w:spacing w:before="0" w:after="283"/>
              <w:jc w:val="center"/>
              <w:rPr/>
            </w:pPr>
            <w:r>
              <w:rPr/>
              <w:t> </w:t>
            </w:r>
          </w:p>
        </w:tc>
        <w:tc>
          <w:tcPr>
            <w:tcW w:w="60" w:type="dxa"/>
            <w:tcBorders>
              <w:top w:val="single" w:sz="8" w:space="0" w:color="000000"/>
              <w:bottom w:val="single" w:sz="8" w:space="0" w:color="000000"/>
            </w:tcBorders>
            <w:shd w:fill="auto" w:val="clear"/>
            <w:tcMar>
              <w:left w:w="0" w:type="dxa"/>
            </w:tcMar>
            <w:vAlign w:val="center"/>
          </w:tcPr>
          <w:p>
            <w:pPr>
              <w:pStyle w:val="TableContents"/>
              <w:spacing w:before="0" w:after="283"/>
              <w:jc w:val="center"/>
              <w:rPr/>
            </w:pPr>
            <w:r>
              <w:rPr/>
              <w:t> </w:t>
            </w:r>
          </w:p>
        </w:tc>
        <w:tc>
          <w:tcPr>
            <w:tcW w:w="4370" w:type="dxa"/>
            <w:tcBorders>
              <w:top w:val="single" w:sz="8" w:space="0" w:color="000000"/>
              <w:bottom w:val="single" w:sz="8" w:space="0" w:color="000000"/>
            </w:tcBorders>
            <w:shd w:fill="auto" w:val="clear"/>
            <w:tcMar>
              <w:top w:w="83" w:type="dxa"/>
              <w:left w:w="0" w:type="dxa"/>
              <w:bottom w:w="80"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VERONA PHARMA PLC</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br/>
              <w:t>2017 INCENTIVE AWARD PLAN</w:t>
              <w:br/>
              <w:t>(As amended and restated effective March 14, 2023)</w:t>
            </w:r>
          </w:p>
        </w:tc>
        <w:tc>
          <w:tcPr>
            <w:tcW w:w="60" w:type="dxa"/>
            <w:tcBorders>
              <w:top w:val="single" w:sz="8" w:space="0" w:color="000000"/>
              <w:bottom w:val="single" w:sz="8" w:space="0" w:color="000000"/>
            </w:tcBorders>
            <w:shd w:fill="auto" w:val="clear"/>
            <w:tcMar>
              <w:left w:w="0" w:type="dxa"/>
            </w:tcMar>
            <w:vAlign w:val="center"/>
          </w:tcPr>
          <w:p>
            <w:pPr>
              <w:pStyle w:val="TableContents"/>
              <w:spacing w:before="0" w:after="283"/>
              <w:jc w:val="center"/>
              <w:rPr/>
            </w:pPr>
            <w:r>
              <w:rPr/>
              <w:t> </w:t>
            </w:r>
          </w:p>
        </w:tc>
        <w:tc>
          <w:tcPr>
            <w:tcW w:w="60" w:type="dxa"/>
            <w:tcBorders>
              <w:top w:val="single" w:sz="8" w:space="0" w:color="000000"/>
              <w:bottom w:val="single" w:sz="8" w:space="0" w:color="000000"/>
            </w:tcBorders>
            <w:shd w:fill="auto" w:val="clear"/>
            <w:tcMar>
              <w:left w:w="0" w:type="dxa"/>
            </w:tcMar>
            <w:vAlign w:val="center"/>
          </w:tcPr>
          <w:p>
            <w:pPr>
              <w:pStyle w:val="TableContents"/>
              <w:spacing w:before="0" w:after="283"/>
              <w:jc w:val="center"/>
              <w:rPr/>
            </w:pPr>
            <w:r>
              <w:rPr/>
              <w:t> </w:t>
            </w:r>
          </w:p>
        </w:tc>
        <w:tc>
          <w:tcPr>
            <w:tcW w:w="75" w:type="dxa"/>
            <w:tcBorders>
              <w:top w:val="single" w:sz="8" w:space="0" w:color="000000"/>
              <w:bottom w:val="single" w:sz="8" w:space="0" w:color="000000"/>
              <w:right w:val="single" w:sz="8" w:space="0" w:color="000000"/>
            </w:tcBorders>
            <w:shd w:fill="auto" w:val="clear"/>
            <w:tcMar>
              <w:left w:w="0" w:type="dxa"/>
              <w:right w:w="28" w:type="dxa"/>
            </w:tcM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PURPOSE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 This Plan constitutes an amendment and restatement of the Verona Pharma plc 2017 Incentive Award Plan, as it has been amended and/or restated (the “</w:t>
      </w:r>
      <w:r>
        <w:rPr>
          <w:rFonts w:ascii="Times New Roman;Times;Serif" w:hAnsi="Times New Roman;Times;Serif"/>
          <w:b/>
          <w:i/>
          <w:caps w:val="false"/>
          <w:smallCaps w:val="false"/>
          <w:sz w:val="20"/>
        </w:rPr>
        <w:t>Existing Plan</w:t>
      </w:r>
      <w:r>
        <w:rPr>
          <w:rFonts w:ascii="Times New Roman;Times;Serif" w:hAnsi="Times New Roman;Times;Serif"/>
          <w:b w:val="false"/>
          <w:i w:val="false"/>
          <w:caps w:val="false"/>
          <w:smallCaps w:val="false"/>
          <w:sz w:val="20"/>
        </w:rPr>
        <w:t>”). In the event that the Company’s shareholders do not approve this Plan, Awards granted under the Existing Plan will continue to be subject to the terms and conditions of the Existing Plan as in effect immediately prior to the date this Plan is approved by the Board.</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ELIGIBILITY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Providers are eligible to be granted Awards under the Plan, subject to the limitations described herein.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ADMINISTRATION AND DELEGATION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Plan is administered by the Administrator. The Administrator has authority to determine which Service Providers receive Awards, grant Awards, set Award terms and conditions, and designate whether such Awards will cover Ordinary Shares or ADSs,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Appointment of Committees</w:t>
      </w:r>
      <w:r>
        <w:rPr>
          <w:rFonts w:ascii="Times New Roman;Times;Serif" w:hAnsi="Times New Roman;Times;Serif"/>
          <w:b w:val="false"/>
          <w:i w:val="false"/>
          <w:caps w:val="false"/>
          <w:smallCaps w:val="false"/>
          <w:sz w:val="20"/>
        </w:rPr>
        <w:t>.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SHARES AVAILABLE FOR AWARDS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Subject to adjustment under Article VIII and the terms of this Article IV, Awards may be made under the Plan covering up to the Overall Share Limit. As of the Plan’s effective date under Section 10.3, the Company will cease granting awards under the Prior Plans; however, Prior Plan Awards will remain subject to the terms of the applicable Prior Plan. Shares issued under the Plan may consist of authorized but unissued Shares, Shares purchased on the open market, treasury Shares or ADSs.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Share Recycling</w:t>
      </w:r>
      <w:r>
        <w:rPr>
          <w:rFonts w:ascii="Times New Roman;Times;Serif" w:hAnsi="Times New Roman;Times;Serif"/>
          <w:b w:val="false"/>
          <w:i w:val="false"/>
          <w:caps w:val="false"/>
          <w:smallCaps w:val="false"/>
          <w:sz w:val="20"/>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Incentive Option Limitations</w:t>
      </w:r>
      <w:r>
        <w:rPr>
          <w:rFonts w:ascii="Times New Roman;Times;Serif" w:hAnsi="Times New Roman;Times;Serif"/>
          <w:b w:val="false"/>
          <w:i w:val="false"/>
          <w:caps w:val="false"/>
          <w:smallCaps w:val="false"/>
          <w:sz w:val="20"/>
        </w:rPr>
        <w:t>.   Notwithstanding anything to the contrary herein, no more than 132,566,480 Shares may be issued pursuant to the exercise of Incentive Options.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In connection with an entity’s merger or consolidation with the Company or the Company’s acquisition of an entity’s property or stock, the Administrator may grant Awards in substitution for any options or other equity or equity-based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Options will count against the maximum number of Shares that may be issued pursuant to the exercise of Incentive Options under the Plan.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OPTIONS AND SHARE APPRECIATION RIGHTS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Administrator may grant Options or Share Appreciation Rights to Service Providers subject to the limitations in the Plan, including any limitations in the Plan that apply to Incentive Options. The Administrator will determine the number of Shares covered by each Option and Share Appreciation Right, the exercise price of each Option and Share Appreciation Right and the conditions and limitations applicable to the exercise of each Option and Share Appreciation Right. A Share Appreciation Right will entitle the Participant (or other person entitled to exercise the Share Appreciation Right) to receive from the Company upon exercise of the exercisable portion of the Share Appreciation Right an amount determined by multiplying the excess, if any, of the Fair Market Value of one Share on the date of exercise over the exercise price per Share of the Share Appreciation Right by the number of Shares with respect to which the Share Appreciation Right is exercised, subject to any limitations of the Plan or that the Administrator may impose and payable in cash, Shares valued at Fair Market Value or a combination of the two as the Administrator may determine or provide in the Award Agreement.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Administrator will establish each Option’s and Share Appreciation Right’s exercise price and specify the exercise price in the Award Agreement. The exercise price will not be less than 100% of the Fair Market Value on the grant date of the Option or Share Appreciation Right.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2 </w:t>
      </w:r>
    </w:p>
    <w:p>
      <w:pPr>
        <w:pStyle w:val="TextBody"/>
        <w:spacing w:before="0" w:after="0"/>
        <w:ind w:left="0" w:right="0" w:hanging="0"/>
        <w:rPr/>
      </w:pPr>
      <w:r>
        <w:rPr/>
        <w:t> </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Duration</w:t>
      </w:r>
      <w:r>
        <w:rPr>
          <w:rFonts w:ascii="Times New Roman;Times;Serif" w:hAnsi="Times New Roman;Times;Serif"/>
          <w:b w:val="false"/>
          <w:i w:val="false"/>
          <w:caps w:val="false"/>
          <w:smallCaps w:val="false"/>
          <w:sz w:val="20"/>
        </w:rPr>
        <w:t>.   Each Option or Share Appreciation Right will be exercisable at such times and as specified in the Award Agreement, provided that the term of an Option or Share Appreciation Right will not exceed ten years. Notwithstanding the foregoing and unless determined otherwise by the Company, in the event that on the last business day of the term of an Option or Share Appreciation Right (other than an Incentive Option) (i) the exercise of the Option or Share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Share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Share Appreciation Right. Notwithstanding the foregoing, if the Participant, prior to the end of the term of an Option or Share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Share Appreciation Right issued to the Participant shall terminate immediately upon such violation, unless the Company otherwise determines. In addition, if, prior to the end of the term of an Option or Share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Share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Share Appreciation Right issued to the Participant will terminate immediately upon the effective date of such Termination of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   Options and Share Appreciation Rights may be exercised by delivering to the Company a written notice of exercise, in a form the Administrator approves (which may be electronic), signed by the person authorized to exercise the Option or Share Appreciation Right, together with, as applicable, payment in full (i) as specified in Section 5.5 for the number of Shares for which the Award is exercised and (ii) as specified in Section 9.5 for any applicable taxes. Unless the Administrator otherwise determines, an Option or Share Appreciation Right may not be exercised for a fraction of a Share.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Payment Upon Exercise</w:t>
      </w:r>
      <w:r>
        <w:rPr>
          <w:rFonts w:ascii="Times New Roman;Times;Serif" w:hAnsi="Times New Roman;Times;Serif"/>
          <w:b w:val="false"/>
          <w:i w:val="false"/>
          <w:caps w:val="false"/>
          <w:smallCaps w:val="false"/>
          <w:sz w:val="20"/>
        </w:rPr>
        <w:t>.   Subject to Section 10.8, any Company insider trading policy (including blackout periods) and Applicable Laws, the exercise price of an Option must be paid by:</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wire transfer of immediately available funds or by check payable to the order of the Company, provided that the Company may limit the use of one of the foregoing payment forms if one or more of the payment forms below is permitted;</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permitted by the Administrator, delivery (either by actual delivery or attestation) of Shares owned by the Participant valued at their Fair Market Value;</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permitted by the Administrator, surrendering Shares then issuable upon the Option’s exercise valued at their Fair Market Value on the exercise date;</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permitted by the Administrator, delivery of a promissory note or any other property that the Administrator determines is good and valuable consideration; or</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the Company, any combination of the above payment forms approved by the Administrator.</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3 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RESTRICTED SHARES; RESTRICTED SHARE UNITS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Administrator may grant Restricted Shares, or the right to purchase Restricted Shares,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Share Units, which may be subject to vesting and forfeiture conditions during the applicable restriction period or periods, as set forth in an Award Agreement. The Administrator will determine and set forth in the Award Agreement the terms and conditions for each Restricted Share and Restricted Share Unit Award, subject to the conditions and limitations contained in the Plan.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Participants holding Restricted Shares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Restricted Shares of property other than an ordinary cash dividend, the Shares or other property will be subject to the same restrictions on transferability and forfeitability as the Restricted Shares with respect to which they were paid.</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The Company may require that the Participant deposit in escrow with the Company (or its designee) any certificates issued in respect of Restricted Shares, together with a stock transfer form endorsed in blank.</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Restricted Share Units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The Administrator may provide that settlement of Restricted Share Units will occur upon or as soon as reasonably practicable after the Restricted Share Units vest or will instead be deferred, on a mandatory basis or at the Participant’s election.</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Shareholder Rights</w:t>
      </w:r>
      <w:r>
        <w:rPr>
          <w:rFonts w:ascii="Times New Roman;Times;Serif" w:hAnsi="Times New Roman;Times;Serif"/>
          <w:b w:val="false"/>
          <w:i w:val="false"/>
          <w:caps w:val="false"/>
          <w:smallCaps w:val="false"/>
          <w:sz w:val="20"/>
        </w:rPr>
        <w:t>.   A Participant will have no rights of a shareholder with respect to Shares subject to any Restricted Share Unit unless and until the Shares are delivered in settlement of the Restricted Share Unit.</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Dividend Equivalents</w:t>
      </w:r>
      <w:r>
        <w:rPr>
          <w:rFonts w:ascii="Times New Roman;Times;Serif" w:hAnsi="Times New Roman;Times;Serif"/>
          <w:b w:val="false"/>
          <w:i w:val="false"/>
          <w:caps w:val="false"/>
          <w:smallCaps w:val="false"/>
          <w:sz w:val="20"/>
        </w:rPr>
        <w:t>.   If the Administrator provides, a grant of Restricted Share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Share Units with respect to which the Dividend Equivalents are granted and subject to other terms and conditions as set forth in the Award Agreement.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OTHER SHARE OR CASH BASED AWARDS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Share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Share or Cash Based Awards will also be available as a payment form in the settlement of other Awards, as standalone payments and as payment in lieu of compensation to which a Participant is otherwise entitled. Other Share or Cash Based Awards may be paid in Shares, cash or other property, as the Administrator determines. Subject to the provisions of the Plan, the Administrator will determine the terms and conditions of each Other Share or Cash Based Award, including any purchase price, performance goal (which may be based on the Performance Criteria), transfer restrictions, and vesting conditions, which will be set forth in the applicable Award Agreement.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4 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ADJUSTMENTS FOR CHANGES IN SHARES</w:t>
        <w:br/>
        <w:t>AND CERTAIN OTHER EVENTS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Equity Restructuring</w:t>
      </w:r>
      <w:r>
        <w:rPr>
          <w:rFonts w:ascii="Times New Roman;Times;Serif" w:hAnsi="Times New Roman;Times;Serif"/>
          <w:b w:val="false"/>
          <w:i w:val="false"/>
          <w:caps w:val="false"/>
          <w:smallCaps w:val="false"/>
          <w:sz w:val="20"/>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Corporate Transactions</w:t>
      </w:r>
      <w:r>
        <w:rPr>
          <w:rFonts w:ascii="Times New Roman;Times;Serif" w:hAnsi="Times New Roman;Times;Serif"/>
          <w:b w:val="false"/>
          <w:i w:val="false"/>
          <w:caps w:val="false"/>
          <w:smallCaps w:val="false"/>
          <w:sz w:val="20"/>
        </w:rPr>
        <w:t>.   In the event of any Equity Restructuring, dividend or other distribution (whether in the form of cash, Shares, other securities, or other property), capitalization, share issue, offer, subdivision, reorganization, merger, consolidation, combination, amalgamation, repurchase, recapitalization, liquidation, dissolution, or sale, transfer, exchange or other disposition of all or substantially all of the assets of the Company, or sale or exchange of Shares or other securities of the Company, Change in Control, issuance of warrants or other rights to purchase Shares or other securities of the Company, other similar corporate transaction or event, other unusual or nonrecurring transaction or event affecting the Company or its financial statements or any change in any Applicable Laws or accounting principles (any “</w:t>
      </w:r>
      <w:r>
        <w:rPr>
          <w:rFonts w:ascii="Times New Roman;Times;Serif" w:hAnsi="Times New Roman;Times;Serif"/>
          <w:b/>
          <w:i/>
          <w:caps w:val="false"/>
          <w:smallCaps w:val="false"/>
          <w:sz w:val="20"/>
        </w:rPr>
        <w:t>Corporate Event</w:t>
      </w:r>
      <w:r>
        <w:rPr>
          <w:rFonts w:ascii="Times New Roman;Times;Serif" w:hAnsi="Times New Roman;Times;Serif"/>
          <w:b w:val="false"/>
          <w:i w:val="false"/>
          <w:caps w:val="false"/>
          <w:smallCaps w:val="false"/>
          <w:sz w:val="20"/>
        </w:rPr>
        <w:t>”),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that such Award shall vest and, to the extent applicable, be exercisable as to all shares covered thereby, notwithstanding anything to the contrary in the Plan or the provisions of such Award;</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that such Award be assumed by the successor or survivor corporation, or a parent or subsidiary thereof, or shall be substituted for by awards covering the equity securities of the successor or survivor corporation, or a parent or subsidiary thereof, with appropriate adjustments as to the number and kind of shares and/or applicable exercise or purchase price, in all cases, as determined by the Administrator;</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replace such Award with other rights or property selected by the Administrator; and/or</w:t>
      </w:r>
    </w:p>
    <w:p>
      <w:pPr>
        <w:pStyle w:val="TextBody"/>
        <w:spacing w:before="0" w:after="0"/>
        <w:ind w:left="0" w:right="0" w:firstLine="8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that the Award will terminate and cannot vest, be exercised or become payable after the applicable transaction or event.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5 </w:t>
      </w:r>
    </w:p>
    <w:p>
      <w:pPr>
        <w:pStyle w:val="TextBody"/>
        <w:spacing w:before="0" w:after="0"/>
        <w:ind w:left="0" w:right="0" w:hanging="0"/>
        <w:rPr/>
      </w:pPr>
      <w:r>
        <w:rPr/>
        <w:t> </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Administrative Stand Still</w:t>
      </w:r>
      <w:r>
        <w:rPr>
          <w:rFonts w:ascii="Times New Roman;Times;Serif" w:hAnsi="Times New Roman;Times;Serif"/>
          <w:b w:val="false"/>
          <w:i w:val="false"/>
          <w:caps w:val="false"/>
          <w:smallCaps w:val="false"/>
          <w:sz w:val="20"/>
        </w:rPr>
        <w:t>.   In the event of any pending Corporate Event or other similar transaction, for administrative convenience, the Administrator may refuse to permit the exercise of any Award for up to sixty days before or after such transaction.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Except as expressly provided in the Plan or the Administrator’s action under the Plan, no Participant will have any rights due to any subdivision or consolidation of Shares of any class, dividend payment, increase or decrease in the number of Shares of any class, issue, rights issue, offer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Corporate Event or (iii)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GENERAL PROVISIONS APPLICABLE TO AWARDS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the Administrator may determine or provide in an Award Agreement or otherwise for Awards other than Incentive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Documentation</w:t>
      </w:r>
      <w:r>
        <w:rPr>
          <w:rFonts w:ascii="Times New Roman;Times;Serif" w:hAnsi="Times New Roman;Times;Serif"/>
          <w:b w:val="false"/>
          <w:i w:val="false"/>
          <w:caps w:val="false"/>
          <w:smallCaps w:val="false"/>
          <w:sz w:val="20"/>
        </w:rPr>
        <w:t>.   Each Award will be evidenced in an Award Agreement, which may be written or electronic, as the Administrator determines. Each Award may contain terms and conditions in addition to those set forth in the Plan.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Discretion</w:t>
      </w:r>
      <w:r>
        <w:rPr>
          <w:rFonts w:ascii="Times New Roman;Times;Serif" w:hAnsi="Times New Roman;Times;Serif"/>
          <w:b w:val="false"/>
          <w:i w:val="false"/>
          <w:caps w:val="false"/>
          <w:smallCaps w:val="false"/>
          <w:sz w:val="20"/>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Termination of Status</w:t>
      </w:r>
      <w:r>
        <w:rPr>
          <w:rFonts w:ascii="Times New Roman;Times;Serif" w:hAnsi="Times New Roman;Times;Serif"/>
          <w:b w:val="false"/>
          <w:i w:val="false"/>
          <w:caps w:val="false"/>
          <w:smallCaps w:val="false"/>
          <w:sz w:val="20"/>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Participant must pay the Company, or make provision satisfactory to the Administrator for payment of, any taxes (which includes any social security contributions or the like) required by law to be withheld or paid by the Company or by any Subsidiary that is the employing entity of the Participant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in an amount necessary to cover such tax obligation ,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Amendment of Award; Repricing</w:t>
      </w:r>
      <w:r>
        <w:rPr>
          <w:rFonts w:ascii="Times New Roman;Times;Serif" w:hAnsi="Times New Roman;Times;Serif"/>
          <w:b w:val="false"/>
          <w:i w:val="false"/>
          <w:caps w:val="false"/>
          <w:smallCaps w:val="false"/>
          <w:sz w:val="20"/>
        </w:rPr>
        <w:t>.   The Administrator may amend, modify or terminate any outstanding Award, including by substituting another Award of the same or a different type, changing the exercise or settlement date, and converting an Incentive Option to a Non-Qualified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not, except pursuant to Article VIII, without the approval of the shareholders of the Company, reduce the exercise price per share of outstanding Options or Share Appreciation Rights or cancel outstanding Options or Share Appreciation Rights in exchange for cash, other Awards or Options or Share Appreciation Rights with an exercise price per share that is less than the exercise price per share of the original Options or Share Appreciation Rights.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Conditions on Delivery of Shares</w:t>
      </w:r>
      <w:r>
        <w:rPr>
          <w:rFonts w:ascii="Times New Roman;Times;Serif" w:hAnsi="Times New Roman;Times;Serif"/>
          <w:b w:val="false"/>
          <w:i w:val="false"/>
          <w:caps w:val="false"/>
          <w:smallCaps w:val="false"/>
          <w:sz w:val="20"/>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The Administrator may at any time provide that any Award will become immediately vested and fully or partially exercisable, free of some or all restrictions or conditions, or otherwise fully or partially realizable.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Additional Terms of Incentive Options</w:t>
      </w:r>
      <w:r>
        <w:rPr>
          <w:rFonts w:ascii="Times New Roman;Times;Serif" w:hAnsi="Times New Roman;Times;Serif"/>
          <w:b w:val="false"/>
          <w:i w:val="false"/>
          <w:caps w:val="false"/>
          <w:smallCaps w:val="false"/>
          <w:sz w:val="20"/>
        </w:rPr>
        <w:t>.   The Administrator may grant Incentive Options only to employees of the Company, any of its present or future parent or subsidiary corporations, as defined in Sections 424(e) or (f) of the Code, respectively, and any other entities the employees of which are eligible to receive Incentive Options under the Code. If an Incentive Option is granted to a Greater Than 10% Shareholder, the exercise price will not be less than 110% of the Fair Market Value on the Option’s grant date, and the term of the Option will not exceed five years. All Incentive Options will be subject to and construed consistently with Section 422 of the Code. By accepting an Incentive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Option fails or ceases to qualify as an “incentive stock option” under Section 422 of the Code. Any Incentive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Option.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7 </w:t>
      </w:r>
    </w:p>
    <w:p>
      <w:pPr>
        <w:pStyle w:val="TextBody"/>
        <w:spacing w:before="0" w:after="0"/>
        <w:ind w:left="0" w:right="0" w:hanging="0"/>
        <w:rPr/>
      </w:pPr>
      <w:r>
        <w:rPr/>
        <w:t> </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MISCELLANEOUS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No Right to Employment or Other Status</w:t>
      </w:r>
      <w:r>
        <w:rPr>
          <w:rFonts w:ascii="Times New Roman;Times;Serif" w:hAnsi="Times New Roman;Times;Serif"/>
          <w:b w:val="false"/>
          <w:i w:val="false"/>
          <w:caps w:val="false"/>
          <w:smallCaps w:val="false"/>
          <w:sz w:val="20"/>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No Rights as Shareholder; Certificates</w:t>
      </w:r>
      <w:r>
        <w:rPr>
          <w:rFonts w:ascii="Times New Roman;Times;Serif" w:hAnsi="Times New Roman;Times;Serif"/>
          <w:b w:val="false"/>
          <w:i w:val="false"/>
          <w:caps w:val="false"/>
          <w:smallCaps w:val="false"/>
          <w:sz w:val="20"/>
        </w:rPr>
        <w:t>.   Subject to the Award Agreement, no Participant or Designated Beneficiary will have any rights as a shareholder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certificates issued under the Plan that the Administrator deems necessary or appropriate to comply with Applicable Laws.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Effective Date and Term of Plan</w:t>
      </w:r>
      <w:r>
        <w:rPr>
          <w:rFonts w:ascii="Times New Roman;Times;Serif" w:hAnsi="Times New Roman;Times;Serif"/>
          <w:b w:val="false"/>
          <w:i w:val="false"/>
          <w:caps w:val="false"/>
          <w:smallCaps w:val="false"/>
          <w:sz w:val="20"/>
        </w:rPr>
        <w:t>.   The Plan, as amended and restated, shall become effective as of the Amendment Date. In the event that the Company’s shareholders do not approve this Plan, Awards granted under the Existing Plan will continue to be subject to the terms and conditions of the Existing Plan as in effect immediately prior to the date this Plan is approved by the Board. Unless earlier terminated by the Board, the Plan will remain in effect until the tenth anniversary of the Amendment Date, but Awards previously granted may extend beyond that date in accordance with the Plan. For the avoidance of doubt, any Awards granted prior to the Amendment Date shall remain subject to the terms of the Award Agreement governing such Award, and the effectiveness of this Plan shall not constitute an amendment of such Award Agreement.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Amendment of Plan</w:t>
      </w:r>
      <w:r>
        <w:rPr>
          <w:rFonts w:ascii="Times New Roman;Times;Serif" w:hAnsi="Times New Roman;Times;Serif"/>
          <w:b w:val="false"/>
          <w:i w:val="false"/>
          <w:caps w:val="false"/>
          <w:smallCaps w:val="false"/>
          <w:sz w:val="20"/>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shareholder approval of any Plan amendment to the extent necessary to comply with Applicable Laws.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Provisions for Foreign Participants</w:t>
      </w:r>
      <w:r>
        <w:rPr>
          <w:rFonts w:ascii="Times New Roman;Times;Serif" w:hAnsi="Times New Roman;Times;Serif"/>
          <w:b w:val="false"/>
          <w:i w:val="false"/>
          <w:caps w:val="false"/>
          <w:smallCaps w:val="false"/>
          <w:sz w:val="20"/>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The following provisions only apply to Participants subject to tax in the United States.</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8 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Separation from Service</w:t>
      </w:r>
      <w:r>
        <w:rPr>
          <w:rFonts w:ascii="Times New Roman;Times;Serif" w:hAnsi="Times New Roman;Times;Serif"/>
          <w:b w:val="false"/>
          <w:i w:val="false"/>
          <w:caps w:val="false"/>
          <w:smallCaps w:val="false"/>
          <w:sz w:val="20"/>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pStyle w:val="TextBody"/>
        <w:spacing w:before="0" w:after="0"/>
        <w:ind w:left="36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Payments to Specified Employees</w:t>
      </w:r>
      <w:r>
        <w:rPr>
          <w:rFonts w:ascii="Times New Roman;Times;Serif" w:hAnsi="Times New Roman;Times;Serif"/>
          <w:b w:val="false"/>
          <w:i w:val="false"/>
          <w:caps w:val="false"/>
          <w:smallCaps w:val="false"/>
          <w:sz w:val="20"/>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Limitations on Liability</w:t>
      </w:r>
      <w:r>
        <w:rPr>
          <w:rFonts w:ascii="Times New Roman;Times;Serif" w:hAnsi="Times New Roman;Times;Serif"/>
          <w:b w:val="false"/>
          <w:i w:val="false"/>
          <w:caps w:val="false"/>
          <w:smallCaps w:val="false"/>
          <w:sz w:val="20"/>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Times;Serif" w:hAnsi="Times New Roman;Times;Serif"/>
          <w:b/>
          <w:i/>
          <w:caps w:val="false"/>
          <w:smallCaps w:val="false"/>
          <w:sz w:val="20"/>
        </w:rPr>
        <w:t>Data</w:t>
      </w:r>
      <w:r>
        <w:rPr>
          <w:rFonts w:ascii="Times New Roman;Times;Serif" w:hAnsi="Times New Roman;Times;Serif"/>
          <w:b w:val="false"/>
          <w:i w:val="false"/>
          <w:caps w:val="false"/>
          <w:smallCaps w:val="false"/>
          <w:sz w:val="20"/>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Plan and all Awards will be governed by and interpreted in accordance with the laws of the United Kingdom, disregarding any state’s choice-of-law principles requiring the application of a jurisdiction’s laws other than the United Kingdom.</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val="false"/>
          <w:i w:val="false"/>
          <w:caps w:val="false"/>
          <w:smallCaps w:val="false"/>
          <w:sz w:val="20"/>
          <w:u w:val="single"/>
        </w:rPr>
        <w:t>Claw-back Provisions</w:t>
      </w:r>
      <w:r>
        <w:rPr>
          <w:rFonts w:ascii="Times New Roman;Times;Serif" w:hAnsi="Times New Roman;Times;Serif"/>
          <w:b w:val="false"/>
          <w:i w:val="false"/>
          <w:caps w:val="false"/>
          <w:smallCaps w:val="false"/>
          <w:sz w:val="20"/>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w:t>
      </w:r>
      <w:r>
        <w:rPr>
          <w:rFonts w:ascii="Times New Roman;Times;Serif" w:hAnsi="Times New Roman;Times;Serif"/>
          <w:b w:val="false"/>
          <w:i w:val="false"/>
          <w:caps w:val="false"/>
          <w:smallCaps w:val="false"/>
          <w:sz w:val="20"/>
          <w:u w:val="single"/>
        </w:rPr>
        <w:t>Titles and Headings</w:t>
      </w:r>
      <w:r>
        <w:rPr>
          <w:rFonts w:ascii="Times New Roman;Times;Serif" w:hAnsi="Times New Roman;Times;Serif"/>
          <w:b w:val="false"/>
          <w:i w:val="false"/>
          <w:caps w:val="false"/>
          <w:smallCaps w:val="false"/>
          <w:sz w:val="20"/>
        </w:rPr>
        <w:t>.   The titles and headings in the Plan are for convenience of reference only and, if any conflict, the Plan’s text, rather than such titles or headings, will control.</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t>
      </w:r>
      <w:r>
        <w:rPr>
          <w:rFonts w:ascii="Times New Roman;Times;Serif" w:hAnsi="Times New Roman;Times;Serif"/>
          <w:b w:val="false"/>
          <w:i w:val="false"/>
          <w:caps w:val="false"/>
          <w:smallCaps w:val="false"/>
          <w:sz w:val="20"/>
          <w:u w:val="single"/>
        </w:rPr>
        <w:t>Relationship to Other Benefits</w:t>
      </w:r>
      <w:r>
        <w:rPr>
          <w:rFonts w:ascii="Times New Roman;Times;Serif" w:hAnsi="Times New Roman;Times;Serif"/>
          <w:b w:val="false"/>
          <w:i w:val="false"/>
          <w:caps w:val="false"/>
          <w:smallCaps w:val="false"/>
          <w:sz w:val="20"/>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w:t>
      </w:r>
      <w:r>
        <w:rPr>
          <w:rFonts w:ascii="Times New Roman;Times;Serif" w:hAnsi="Times New Roman;Times;Serif"/>
          <w:b w:val="false"/>
          <w:i w:val="false"/>
          <w:caps w:val="false"/>
          <w:smallCaps w:val="false"/>
          <w:sz w:val="20"/>
          <w:u w:val="single"/>
        </w:rPr>
        <w:t>Broker-Assisted Sales</w:t>
      </w:r>
      <w:r>
        <w:rPr>
          <w:rFonts w:ascii="Times New Roman;Times;Serif" w:hAnsi="Times New Roman;Times;Serif"/>
          <w:b w:val="false"/>
          <w:i w:val="false"/>
          <w:caps w:val="false"/>
          <w:smallCaps w:val="false"/>
          <w:sz w:val="20"/>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10 </w:t>
      </w:r>
    </w:p>
    <w:p>
      <w:pPr>
        <w:pStyle w:val="TextBody"/>
        <w:spacing w:before="0" w:after="0"/>
        <w:ind w:left="0" w:right="0" w:hanging="0"/>
        <w:rPr/>
      </w:pPr>
      <w:r>
        <w:rPr/>
        <w:t> </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br/>
        <w:t>DEFINITIONS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words and phrases will have the following meanings: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caps w:val="false"/>
          <w:smallCaps w:val="false"/>
          <w:sz w:val="20"/>
        </w:rPr>
        <w:t>ADSs</w:t>
      </w:r>
      <w:r>
        <w:rPr>
          <w:rFonts w:ascii="Times New Roman;Times;Serif" w:hAnsi="Times New Roman;Times;Serif"/>
          <w:b w:val="false"/>
          <w:i w:val="false"/>
          <w:caps w:val="false"/>
          <w:smallCaps w:val="false"/>
          <w:sz w:val="20"/>
        </w:rPr>
        <w:t>” means American Depositary Shares, representing Ordinary Shares on deposit with a U.S. banking institution selected by the Company and which are registered pursuant to a Form F-6.</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means the Board or a Committee to the extent that the Board’s powers or authority under the Plan have been delegated to such Committee.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caps w:val="false"/>
          <w:smallCaps w:val="false"/>
          <w:sz w:val="20"/>
        </w:rPr>
        <w:t>Amendment Date</w:t>
      </w:r>
      <w:r>
        <w:rPr>
          <w:rFonts w:ascii="Times New Roman;Times;Serif" w:hAnsi="Times New Roman;Times;Serif"/>
          <w:b w:val="false"/>
          <w:i w:val="false"/>
          <w:caps w:val="false"/>
          <w:smallCaps w:val="false"/>
          <w:sz w:val="20"/>
        </w:rPr>
        <w:t>” means the date on which the Plan, as amended and restated, is approved by the Board, subject to approval of this Plan by the Company’s shareholders.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shall mean any applicable law, including without limitation: (a) the requirements relating to the administration of equity incentive plans under U.S. federal and state securities, tax and other applicable laws, rules and regulations, the applicable rules of any stock exchange or quotation system on which the Shares are listed or quoted and the applicable laws and rules of any foreign country or other jurisdiction where Awards are granted; and (b) corporate, securities, tax or other laws, statutes, rules, requirements or regulations, whether U.S. federal, state, local or foreign, applicable in the United Kingdom, United States or any other relevant jurisdiction.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means, individually or collectively, a grant under the Plan of Options, Share Appreciation Rights, Restricted Shares, Restricted Share Units or Other Share or Cash Based Awards.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means a written agreement evidencing an Award, which may be electronic, that contains such terms and conditions as the Administrator determines, consistent with and subject to the terms and conditions of the Plan.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(i) if a Participant is a party to a written employment or consulting agreement with the Company or any of its Subsidiaries or an Award Agreement in which the term “cause” is defined (a “</w:t>
      </w:r>
      <w:r>
        <w:rPr>
          <w:rFonts w:ascii="Times New Roman;Times;Serif" w:hAnsi="Times New Roman;Times;Serif"/>
          <w:b/>
          <w:i/>
          <w:caps w:val="false"/>
          <w:smallCaps w:val="false"/>
          <w:sz w:val="20"/>
        </w:rPr>
        <w:t>Relevant Agreement</w:t>
      </w:r>
      <w:r>
        <w:rPr>
          <w:rFonts w:ascii="Times New Roman;Times;Serif" w:hAnsi="Times New Roman;Times;Serif"/>
          <w:b w:val="false"/>
          <w:i w:val="false"/>
          <w:caps w:val="false"/>
          <w:smallCaps w:val="false"/>
          <w:sz w:val="20"/>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means and includes each of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Sale;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Takeover.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and the regulations issued thereunder.</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11 </w:t>
      </w:r>
    </w:p>
    <w:p>
      <w:pPr>
        <w:pStyle w:val="TextBody"/>
        <w:spacing w:before="0" w:after="0"/>
        <w:ind w:left="0" w:right="0" w:hanging="0"/>
        <w:rPr/>
      </w:pPr>
      <w:r>
        <w:rPr/>
        <w:t> </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Verona Pharma plc, registered in England and Wales with company number 05375156, or any successor.</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shall have the meaning given in section 995 (2) of the UK Income Tax Act 2007, unless otherwise specified.</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w:t>
      </w:r>
      <w:r>
        <w:rPr>
          <w:rFonts w:ascii="Times New Roman;Times;Serif" w:hAnsi="Times New Roman;Times;Serif"/>
          <w:b/>
          <w:i/>
          <w:caps w:val="false"/>
          <w:smallCaps w:val="false"/>
          <w:sz w:val="20"/>
        </w:rPr>
        <w:t>Designated Beneficiary</w:t>
      </w:r>
      <w:r>
        <w:rPr>
          <w:rFonts w:ascii="Times New Roman;Times;Serif" w:hAnsi="Times New Roman;Times;Serif"/>
          <w:b w:val="false"/>
          <w:i w:val="false"/>
          <w:caps w:val="false"/>
          <w:smallCaps w:val="false"/>
          <w:sz w:val="20"/>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Board member.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   “</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a permanent and total disability under Section 22(e)(3) of the Code, as amended.</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   “</w:t>
      </w:r>
      <w:r>
        <w:rPr>
          <w:rFonts w:ascii="Times New Roman;Times;Serif" w:hAnsi="Times New Roman;Times;Serif"/>
          <w:b/>
          <w:i/>
          <w:caps w:val="false"/>
          <w:smallCaps w:val="false"/>
          <w:sz w:val="20"/>
        </w:rPr>
        <w:t>Dividend Equivalents</w:t>
      </w:r>
      <w:r>
        <w:rPr>
          <w:rFonts w:ascii="Times New Roman;Times;Serif" w:hAnsi="Times New Roman;Times;Serif"/>
          <w:b w:val="false"/>
          <w:i w:val="false"/>
          <w:caps w:val="false"/>
          <w:smallCaps w:val="false"/>
          <w:sz w:val="20"/>
        </w:rPr>
        <w:t>” means a right granted to a Participant under the Plan to receive the equivalent value (in cash or Shares) of dividends paid on Shares.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employee of the Company or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   “</w:t>
      </w:r>
      <w:r>
        <w:rPr>
          <w:rFonts w:ascii="Times New Roman;Times;Serif" w:hAnsi="Times New Roman;Times;Serif"/>
          <w:b/>
          <w:i/>
          <w:caps w:val="false"/>
          <w:smallCaps w:val="false"/>
          <w:sz w:val="20"/>
        </w:rPr>
        <w:t>Equity Restructuring</w:t>
      </w:r>
      <w:r>
        <w:rPr>
          <w:rFonts w:ascii="Times New Roman;Times;Serif" w:hAnsi="Times New Roman;Times;Serif"/>
          <w:b w:val="false"/>
          <w:i w:val="false"/>
          <w:caps w:val="false"/>
          <w:smallCaps w:val="false"/>
          <w:sz w:val="20"/>
        </w:rPr>
        <w:t>” means a nonreciprocal transaction between the Company and its shareholders, such as a share dividend, share split, spin-off, rights offering or recapitalization through a large, nonrecurring cash dividend, that affects the number or kind of Shares (or other Company securities) or the price of Shares (or other Company securities) and causes a change in the per share value of the Shares underlying outstanding Awards.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   “</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the value of Shares determined as follows: (i) if the Shares are listed on one or more established stock exchanges, its Fair Market Value will be the closing sales price for Shares as quoted on any exchange (as determined by the Administrator) for the last day preceding such date during which a sale occurred, as reported in The Wall Street Journal or another source the Administrator deems reliable; (ii) if the Shares are not traded on a stock exchange but is quoted on a national market or other quotation system, the closing sales price on the last date preceding such date during which a sale occurred, as reported in The Wall Street Journal or another source the Administrator deems reliable; or (iii) without an established market for the Shares, the Administrator will determine the Fair Market Value in its discretion. Notwithstanding the foregoing, with respect to any Award granted on the date of the effectiveness of the Company’s first registration statement filed under the Securities Act, the Fair Market Value shall mean the price of a Share as set forth in the Company’s final prospectus relating to such registration statement.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   “</w:t>
      </w:r>
      <w:r>
        <w:rPr>
          <w:rFonts w:ascii="Times New Roman;Times;Serif" w:hAnsi="Times New Roman;Times;Serif"/>
          <w:b/>
          <w:i/>
          <w:caps w:val="false"/>
          <w:smallCaps w:val="false"/>
          <w:sz w:val="20"/>
        </w:rPr>
        <w:t>Greater Than 10% Shareholder</w:t>
      </w:r>
      <w:r>
        <w:rPr>
          <w:rFonts w:ascii="Times New Roman;Times;Serif" w:hAnsi="Times New Roman;Times;Serif"/>
          <w:b w:val="false"/>
          <w:i w:val="false"/>
          <w:caps w:val="false"/>
          <w:smallCaps w:val="false"/>
          <w:sz w:val="20"/>
        </w:rPr>
        <w:t>” means an individual then owning (within the meaning of Section 424(d) of the Code) more than 10% of the total combined voting power of all classes of equity securities of the Company or its parent or subsidiary corporation, as defined in Section 424(e) and (f) of the Code, respectively.</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jc w:val="center"/>
        <w:rPr>
          <w:sz w:val="20"/>
          <w:bdr w:val="single" w:sz="8" w:space="1" w:color="000000"/>
        </w:rPr>
      </w:pPr>
      <w:r>
        <w:rPr>
          <w:sz w:val="20"/>
          <w:bdr w:val="single" w:sz="8" w:space="1" w:color="000000"/>
        </w:rPr>
        <w:t>12 </w:t>
      </w:r>
    </w:p>
    <w:p>
      <w:pPr>
        <w:pStyle w:val="TextBody"/>
        <w:spacing w:before="0" w:after="0"/>
        <w:ind w:left="0" w:right="0" w:hanging="0"/>
        <w:rPr/>
      </w:pPr>
      <w:r>
        <w:rPr/>
        <w:t> </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   “</w:t>
      </w:r>
      <w:r>
        <w:rPr>
          <w:rFonts w:ascii="Times New Roman;Times;Serif" w:hAnsi="Times New Roman;Times;Serif"/>
          <w:b/>
          <w:i/>
          <w:caps w:val="false"/>
          <w:smallCaps w:val="false"/>
          <w:sz w:val="20"/>
        </w:rPr>
        <w:t>Incentive Option</w:t>
      </w:r>
      <w:r>
        <w:rPr>
          <w:rFonts w:ascii="Times New Roman;Times;Serif" w:hAnsi="Times New Roman;Times;Serif"/>
          <w:b w:val="false"/>
          <w:i w:val="false"/>
          <w:caps w:val="false"/>
          <w:smallCaps w:val="false"/>
          <w:sz w:val="20"/>
        </w:rPr>
        <w:t>” means an Option intended to qualify as an “incentive stock option” as defined in Section 422 of the Code.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   “</w:t>
      </w:r>
      <w:r>
        <w:rPr>
          <w:rFonts w:ascii="Times New Roman;Times;Serif" w:hAnsi="Times New Roman;Times;Serif"/>
          <w:b/>
          <w:i/>
          <w:caps w:val="false"/>
          <w:smallCaps w:val="false"/>
          <w:sz w:val="20"/>
        </w:rPr>
        <w:t>NASDAQ Listing Date</w:t>
      </w:r>
      <w:r>
        <w:rPr>
          <w:rFonts w:ascii="Times New Roman;Times;Serif" w:hAnsi="Times New Roman;Times;Serif"/>
          <w:b w:val="false"/>
          <w:i w:val="false"/>
          <w:caps w:val="false"/>
          <w:smallCaps w:val="false"/>
          <w:sz w:val="20"/>
        </w:rPr>
        <w:t>” means the first date upon which the Shares are listed (or approved for listing) upon notice of issuance on the NASDAQ Global Market.</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   “</w:t>
      </w:r>
      <w:r>
        <w:rPr>
          <w:rFonts w:ascii="Times New Roman;Times;Serif" w:hAnsi="Times New Roman;Times;Serif"/>
          <w:b/>
          <w:i/>
          <w:caps w:val="false"/>
          <w:smallCaps w:val="false"/>
          <w:sz w:val="20"/>
        </w:rPr>
        <w:t>Non-Qualified Option</w:t>
      </w:r>
      <w:r>
        <w:rPr>
          <w:rFonts w:ascii="Times New Roman;Times;Serif" w:hAnsi="Times New Roman;Times;Serif"/>
          <w:b w:val="false"/>
          <w:i w:val="false"/>
          <w:caps w:val="false"/>
          <w:smallCaps w:val="false"/>
          <w:sz w:val="20"/>
        </w:rPr>
        <w:t>” means an Option not intended or not qualifying as an Incentive Option.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an option to purchase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   “</w:t>
      </w:r>
      <w:r>
        <w:rPr>
          <w:rFonts w:ascii="Times New Roman;Times;Serif" w:hAnsi="Times New Roman;Times;Serif"/>
          <w:b/>
          <w:i/>
          <w:caps w:val="false"/>
          <w:smallCaps w:val="false"/>
          <w:sz w:val="20"/>
        </w:rPr>
        <w:t>Ordinary Share</w:t>
      </w:r>
      <w:r>
        <w:rPr>
          <w:rFonts w:ascii="Times New Roman;Times;Serif" w:hAnsi="Times New Roman;Times;Serif"/>
          <w:b w:val="false"/>
          <w:i w:val="false"/>
          <w:caps w:val="false"/>
          <w:smallCaps w:val="false"/>
          <w:sz w:val="20"/>
        </w:rPr>
        <w:t>” means an ordinary share of £0.05 each in the capital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   “</w:t>
      </w:r>
      <w:r>
        <w:rPr>
          <w:rFonts w:ascii="Times New Roman;Times;Serif" w:hAnsi="Times New Roman;Times;Serif"/>
          <w:b/>
          <w:i/>
          <w:caps w:val="false"/>
          <w:smallCaps w:val="false"/>
          <w:sz w:val="20"/>
        </w:rPr>
        <w:t>Other Share or Cash Based Awards</w:t>
      </w:r>
      <w:r>
        <w:rPr>
          <w:rFonts w:ascii="Times New Roman;Times;Serif" w:hAnsi="Times New Roman;Times;Serif"/>
          <w:b w:val="false"/>
          <w:i w:val="false"/>
          <w:caps w:val="false"/>
          <w:smallCaps w:val="false"/>
          <w:sz w:val="20"/>
        </w:rPr>
        <w:t>” means cash awards, awards of Shares, and other awards valued wholly or partially by referring to, or are otherwise based on, Shares or other property.</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   “</w:t>
      </w:r>
      <w:r>
        <w:rPr>
          <w:rFonts w:ascii="Times New Roman;Times;Serif" w:hAnsi="Times New Roman;Times;Serif"/>
          <w:b/>
          <w:i/>
          <w:caps w:val="false"/>
          <w:smallCaps w:val="false"/>
          <w:sz w:val="20"/>
        </w:rPr>
        <w:t>Overall Share Limit</w:t>
      </w:r>
      <w:r>
        <w:rPr>
          <w:rFonts w:ascii="Times New Roman;Times;Serif" w:hAnsi="Times New Roman;Times;Serif"/>
          <w:b w:val="false"/>
          <w:i w:val="false"/>
          <w:caps w:val="false"/>
          <w:smallCaps w:val="false"/>
          <w:sz w:val="20"/>
        </w:rPr>
        <w:t>” means the sum of:</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number of Shares equal to the sum of (1) 140,605,742 Shares, which amount is inclusive of the number of Shares issued or transferred pursuant to Awards under the Existing Plan, and (2) an annual increase on the first day of each calendar year beginning January 1, 2024 and ending on and including January 1, 2033 equal to the lesser of (A) 4% of the aggregate number of Shares in issue on the final day of the immediately preceding calendar year and (B) such smaller number of Shares as is determined by the Board; plus</w:t>
      </w:r>
    </w:p>
    <w:p>
      <w:pPr>
        <w:pStyle w:val="TextBody"/>
        <w:spacing w:before="0" w:after="0"/>
        <w:ind w:left="0" w:right="0" w:firstLine="400"/>
        <w:rPr>
          <w:caps w:val="false"/>
          <w:smallCaps w:val="false"/>
        </w:rPr>
      </w:pPr>
      <w:r>
        <w:rPr>
          <w:caps w:val="false"/>
          <w:smallCaps w:val="false"/>
        </w:rPr>
        <w:t> </w:t>
      </w:r>
    </w:p>
    <w:p>
      <w:pPr>
        <w:pStyle w:val="TextBody"/>
        <w:spacing w:before="0" w:after="0"/>
        <w:ind w:left="36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Shares which are subject to Prior Plan Awards which become available for issuance under the Plan pursuant to Article IV.</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 Service Provider who has been granted an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   “</w:t>
      </w:r>
      <w:r>
        <w:rPr>
          <w:rFonts w:ascii="Times New Roman;Times;Serif" w:hAnsi="Times New Roman;Times;Serif"/>
          <w:b/>
          <w:i/>
          <w:caps w:val="false"/>
          <w:smallCaps w:val="false"/>
          <w:sz w:val="20"/>
        </w:rPr>
        <w:t>Performance Criteria</w:t>
      </w:r>
      <w:r>
        <w:rPr>
          <w:rFonts w:ascii="Times New Roman;Times;Serif" w:hAnsi="Times New Roman;Times;Serif"/>
          <w:b w:val="false"/>
          <w:i w:val="false"/>
          <w:caps w:val="false"/>
          <w:smallCaps w:val="false"/>
          <w:sz w:val="20"/>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Shares, (m) any business interruption event (n) the cumulative effects of tax or accounting changes in accordance with U.S. generally accepted accounting principles, or (o) the effect of changes in other laws or regulatory rules affecting reported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Second Amended and Restated 2017 Incentive Award Plan, as may be amended or restated from time to time.</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   “</w:t>
      </w:r>
      <w:r>
        <w:rPr>
          <w:rFonts w:ascii="Times New Roman;Times;Serif" w:hAnsi="Times New Roman;Times;Serif"/>
          <w:b/>
          <w:i/>
          <w:caps w:val="false"/>
          <w:smallCaps w:val="false"/>
          <w:sz w:val="20"/>
        </w:rPr>
        <w:t>Prior Plans</w:t>
      </w:r>
      <w:r>
        <w:rPr>
          <w:rFonts w:ascii="Times New Roman;Times;Serif" w:hAnsi="Times New Roman;Times;Serif"/>
          <w:b w:val="false"/>
          <w:i w:val="false"/>
          <w:caps w:val="false"/>
          <w:smallCaps w:val="false"/>
          <w:sz w:val="20"/>
        </w:rPr>
        <w:t>” means, collectively, the Verona Pharma plc EMI Option Scheme, the Verona Pharma plc Unapproved Share Option Scheme and any prior equity incentive plans of the Company or its predecessor.</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   “</w:t>
      </w:r>
      <w:r>
        <w:rPr>
          <w:rFonts w:ascii="Times New Roman;Times;Serif" w:hAnsi="Times New Roman;Times;Serif"/>
          <w:b/>
          <w:i/>
          <w:caps w:val="false"/>
          <w:smallCaps w:val="false"/>
          <w:sz w:val="20"/>
        </w:rPr>
        <w:t>Prior Plan Award</w:t>
      </w:r>
      <w:r>
        <w:rPr>
          <w:rFonts w:ascii="Times New Roman;Times;Serif" w:hAnsi="Times New Roman;Times;Serif"/>
          <w:b w:val="false"/>
          <w:i w:val="false"/>
          <w:caps w:val="false"/>
          <w:smallCaps w:val="false"/>
          <w:sz w:val="20"/>
        </w:rPr>
        <w:t>” means an award outstanding under the Prior Plans as of the Plan’s effective date in Section 10.3.</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   “</w:t>
      </w:r>
      <w:r>
        <w:rPr>
          <w:rFonts w:ascii="Times New Roman;Times;Serif" w:hAnsi="Times New Roman;Times;Serif"/>
          <w:b/>
          <w:i/>
          <w:caps w:val="false"/>
          <w:smallCaps w:val="false"/>
          <w:sz w:val="20"/>
        </w:rPr>
        <w:t>Restricted Shares</w:t>
      </w:r>
      <w:r>
        <w:rPr>
          <w:rFonts w:ascii="Times New Roman;Times;Serif" w:hAnsi="Times New Roman;Times;Serif"/>
          <w:b w:val="false"/>
          <w:i w:val="false"/>
          <w:caps w:val="false"/>
          <w:smallCaps w:val="false"/>
          <w:sz w:val="20"/>
        </w:rPr>
        <w:t>” means Shares awarded to a Participant under Article VI subject to certain vesting conditions and other restrictions.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   “</w:t>
      </w:r>
      <w:r>
        <w:rPr>
          <w:rFonts w:ascii="Times New Roman;Times;Serif" w:hAnsi="Times New Roman;Times;Serif"/>
          <w:b/>
          <w:i/>
          <w:caps w:val="false"/>
          <w:smallCaps w:val="false"/>
          <w:sz w:val="20"/>
        </w:rPr>
        <w:t>Restricted Share Unit</w:t>
      </w:r>
      <w:r>
        <w:rPr>
          <w:rFonts w:ascii="Times New Roman;Times;Serif" w:hAnsi="Times New Roman;Times;Serif"/>
          <w:b w:val="false"/>
          <w:i w:val="false"/>
          <w:caps w:val="false"/>
          <w:smallCaps w:val="false"/>
          <w:sz w:val="20"/>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   “</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   “</w:t>
      </w:r>
      <w:r>
        <w:rPr>
          <w:rFonts w:ascii="Times New Roman;Times;Serif" w:hAnsi="Times New Roman;Times;Serif"/>
          <w:b/>
          <w:i/>
          <w:caps w:val="false"/>
          <w:smallCaps w:val="false"/>
          <w:sz w:val="20"/>
        </w:rPr>
        <w:t>Sale</w:t>
      </w:r>
      <w:r>
        <w:rPr>
          <w:rFonts w:ascii="Times New Roman;Times;Serif" w:hAnsi="Times New Roman;Times;Serif"/>
          <w:b w:val="false"/>
          <w:i w:val="false"/>
          <w:caps w:val="false"/>
          <w:smallCaps w:val="false"/>
          <w:sz w:val="20"/>
        </w:rPr>
        <w:t>” shall mean the sale of all or substantially all of the assets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means Section 409A of the Code and all regulations, guidance, compliance programs and other interpretative authority thereunder.</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   “</w:t>
      </w:r>
      <w:r>
        <w:rPr>
          <w:rFonts w:ascii="Times New Roman;Times;Serif" w:hAnsi="Times New Roman;Times;Serif"/>
          <w:b/>
          <w:i/>
          <w:caps w:val="false"/>
          <w:smallCaps w:val="false"/>
          <w:sz w:val="20"/>
        </w:rPr>
        <w:t>Service Provider</w:t>
      </w:r>
      <w:r>
        <w:rPr>
          <w:rFonts w:ascii="Times New Roman;Times;Serif" w:hAnsi="Times New Roman;Times;Serif"/>
          <w:b w:val="false"/>
          <w:i w:val="false"/>
          <w:caps w:val="false"/>
          <w:smallCaps w:val="false"/>
          <w:sz w:val="20"/>
        </w:rPr>
        <w:t>” means an Employee, Consultant or Director.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means an Ordinary Share or the number of ADSs equal to an Ordinary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   “</w:t>
      </w:r>
      <w:r>
        <w:rPr>
          <w:rFonts w:ascii="Times New Roman;Times;Serif" w:hAnsi="Times New Roman;Times;Serif"/>
          <w:b/>
          <w:i/>
          <w:caps w:val="false"/>
          <w:smallCaps w:val="false"/>
          <w:sz w:val="20"/>
        </w:rPr>
        <w:t>Share Appreciation Right</w:t>
      </w:r>
      <w:r>
        <w:rPr>
          <w:rFonts w:ascii="Times New Roman;Times;Serif" w:hAnsi="Times New Roman;Times;Serif"/>
          <w:b w:val="false"/>
          <w:i w:val="false"/>
          <w:caps w:val="false"/>
          <w:smallCaps w:val="false"/>
          <w:sz w:val="20"/>
        </w:rPr>
        <w:t>” means a Share Appreciation right granted under Article 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   “</w:t>
      </w:r>
      <w:r>
        <w:rPr>
          <w:rFonts w:ascii="Times New Roman;Times;Serif" w:hAnsi="Times New Roman;Times;Serif"/>
          <w:b/>
          <w:i/>
          <w:caps w:val="false"/>
          <w:smallCaps w:val="false"/>
          <w:sz w:val="20"/>
        </w:rPr>
        <w:t>Substitute Awards</w:t>
      </w:r>
      <w:r>
        <w:rPr>
          <w:rFonts w:ascii="Times New Roman;Times;Serif" w:hAnsi="Times New Roman;Times;Serif"/>
          <w:b w:val="false"/>
          <w:i w:val="false"/>
          <w:caps w:val="false"/>
          <w:smallCaps w:val="false"/>
          <w:sz w:val="20"/>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pStyle w:val="TextBody"/>
        <w:spacing w:before="0" w:after="0"/>
        <w:ind w:left="0" w:right="0" w:firstLine="400"/>
        <w:rPr>
          <w:caps w:val="false"/>
          <w:smallCaps w:val="false"/>
        </w:rPr>
      </w:pPr>
      <w:r>
        <w:rPr>
          <w:caps w:val="false"/>
          <w:smallCaps w:val="false"/>
        </w:rPr>
        <w:t> </w:t>
      </w:r>
    </w:p>
    <w:p>
      <w:pPr>
        <w:pStyle w:val="TextBody"/>
        <w:spacing w:before="0" w:after="0"/>
        <w:ind w:left="0" w:right="0" w:firstLine="4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Takeover”</w:t>
      </w:r>
      <w:r>
        <w:rPr>
          <w:rFonts w:ascii="Times New Roman;Times;Serif" w:hAnsi="Times New Roman;Times;Serif"/>
          <w:b w:val="false"/>
          <w:i w:val="false"/>
          <w:caps w:val="false"/>
          <w:smallCaps w:val="false"/>
          <w:sz w:val="20"/>
        </w:rPr>
        <w:t> shall mean if any person (or a group of persons acting in concert) (the “</w:t>
      </w:r>
      <w:r>
        <w:rPr>
          <w:rFonts w:ascii="Times New Roman;Times;Serif" w:hAnsi="Times New Roman;Times;Serif"/>
          <w:b/>
          <w:i/>
          <w:caps w:val="false"/>
          <w:smallCaps w:val="false"/>
          <w:sz w:val="20"/>
        </w:rPr>
        <w:t>Acquiring Person</w:t>
      </w:r>
      <w:r>
        <w:rPr>
          <w:rFonts w:ascii="Times New Roman;Times;Serif" w:hAnsi="Times New Roman;Times;Serif"/>
          <w:b w:val="false"/>
          <w:i w:val="false"/>
          <w:caps w:val="false"/>
          <w:smallCaps w:val="false"/>
          <w:sz w:val="20"/>
        </w:rPr>
        <w:t>”):</w:t>
      </w:r>
    </w:p>
    <w:p>
      <w:pPr>
        <w:pStyle w:val="TextBody"/>
        <w:spacing w:before="0" w:after="0"/>
        <w:ind w:left="0" w:right="0" w:firstLine="400"/>
        <w:rPr>
          <w:caps w:val="false"/>
          <w:smallCaps w:val="false"/>
        </w:rPr>
      </w:pPr>
      <w:r>
        <w:rPr>
          <w:caps w:val="false"/>
          <w:smallCaps w:val="false"/>
        </w:rPr>
        <w:t> </w:t>
      </w:r>
    </w:p>
    <w:p>
      <w:pPr>
        <w:pStyle w:val="TextBody"/>
        <w:spacing w:before="0" w:after="0"/>
        <w:ind w:left="763"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obtains Control of the Company as the result of making a general offer to:-</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acquire all of the issued ordinary share capital of the Company, which is made on a condition that, if it is satisfied, the Acquiring Person will have Control of the Company; or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acquire all of the shares in the Company which are of the same class as the Shares;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63"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obtains Control of the Company as a result of a compromise or arrangement sanctioned by a court under Section 899 of the UK Companies Act 2006, or sanctioned under any other similar law of another jurisdiction; or</w:t>
      </w:r>
    </w:p>
    <w:p>
      <w:pPr>
        <w:pStyle w:val="TextBody"/>
        <w:spacing w:before="0" w:after="0"/>
        <w:ind w:left="0" w:right="0" w:firstLine="400"/>
        <w:rPr>
          <w:caps w:val="false"/>
          <w:smallCaps w:val="false"/>
        </w:rPr>
      </w:pPr>
      <w:r>
        <w:rPr>
          <w:caps w:val="false"/>
          <w:smallCaps w:val="false"/>
        </w:rPr>
        <w:t> </w:t>
      </w:r>
    </w:p>
    <w:p>
      <w:pPr>
        <w:pStyle w:val="TextBody"/>
        <w:spacing w:before="0" w:after="0"/>
        <w:ind w:left="763"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becomes bound or entitled under Sections 979 to 985 of the UK Companies Act 2006 (or similar law of another jurisdiction) to acquire shares of the same class as the Shares; or</w:t>
      </w:r>
    </w:p>
    <w:p>
      <w:pPr>
        <w:pStyle w:val="TextBody"/>
        <w:spacing w:before="0" w:after="0"/>
        <w:ind w:left="0" w:right="0" w:firstLine="400"/>
        <w:rPr>
          <w:caps w:val="false"/>
          <w:smallCaps w:val="false"/>
        </w:rPr>
      </w:pPr>
      <w:r>
        <w:rPr>
          <w:caps w:val="false"/>
          <w:smallCaps w:val="false"/>
        </w:rPr>
        <w:t> </w:t>
      </w:r>
    </w:p>
    <w:p>
      <w:pPr>
        <w:pStyle w:val="TextBody"/>
        <w:spacing w:before="0" w:after="0"/>
        <w:ind w:left="763"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obtains Control of the Company in any other way.</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   “</w:t>
      </w:r>
      <w:r>
        <w:rPr>
          <w:rFonts w:ascii="Times New Roman;Times;Serif" w:hAnsi="Times New Roman;Times;Serif"/>
          <w:b/>
          <w:i/>
          <w:caps w:val="false"/>
          <w:smallCaps w:val="false"/>
          <w:sz w:val="20"/>
        </w:rPr>
        <w:t>Termination of Service</w:t>
      </w:r>
      <w:r>
        <w:rPr>
          <w:rFonts w:ascii="Times New Roman;Times;Serif" w:hAnsi="Times New Roman;Times;Serif"/>
          <w:b w:val="false"/>
          <w:i w:val="false"/>
          <w:caps w:val="false"/>
          <w:smallCaps w:val="false"/>
          <w:sz w:val="20"/>
        </w:rPr>
        <w:t>” means the date the Participant ceases to be a Service Provider.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15 </w:t>
      </w:r>
    </w:p>
    <w:p>
      <w:pPr>
        <w:pStyle w:val="TextBody"/>
        <w:spacing w:before="0" w:after="0"/>
        <w:ind w:left="0" w:right="0" w:hanging="0"/>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11419</Words>
  <CharactersWithSpaces>72997</CharactersWithSpaces>
  <Paragraphs>766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