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ZACCARDELLI DAVID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 MORE LONDON RIVERSIDE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Verona Pharma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VRNA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11/01/2024</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25"/>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279"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280" w:type="dxa"/>
            <w:vAlign w:val="bottom"/>
            <w:shd w:val="clear" w:color="auto" w:fill="9A9A9A"/>
          </w:tcPr>
          <w:p>
            <w:pPr>
              <w:spacing w:after="0"/>
              <w:rPr>
                <w:sz w:val="2"/>
                <w:szCs w:val="2"/>
                <w:color w:val="auto"/>
              </w:rPr>
            </w:pPr>
          </w:p>
        </w:tc>
        <w:tc>
          <w:tcPr>
            <w:tcW w:w="84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480" w:type="dxa"/>
            <w:vAlign w:val="bottom"/>
            <w:gridSpan w:val="7"/>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80" w:type="dxa"/>
            <w:vAlign w:val="bottom"/>
            <w:gridSpan w:val="7"/>
            <w:vMerge w:val="continue"/>
          </w:tcPr>
          <w:p>
            <w:pPr>
              <w:spacing w:after="0"/>
              <w:rPr>
                <w:sz w:val="10"/>
                <w:szCs w:val="10"/>
                <w:color w:val="auto"/>
              </w:rPr>
            </w:pPr>
          </w:p>
        </w:tc>
        <w:tc>
          <w:tcPr>
            <w:tcW w:w="376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LONDON</w:t>
            </w:r>
          </w:p>
        </w:tc>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X0</w:t>
            </w:r>
          </w:p>
        </w:tc>
        <w:tc>
          <w:tcPr>
            <w:tcW w:w="840" w:type="dxa"/>
            <w:vAlign w:val="bottom"/>
          </w:tcPr>
          <w:p>
            <w:pPr>
              <w:spacing w:after="0"/>
              <w:rPr>
                <w:sz w:val="19"/>
                <w:szCs w:val="19"/>
                <w:color w:val="auto"/>
              </w:rPr>
            </w:pPr>
          </w:p>
        </w:tc>
        <w:tc>
          <w:tcPr>
            <w:tcW w:w="142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0000FF"/>
              </w:rPr>
              <w:t>SE1 2RE</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Borders>
              <w:top w:val="single" w:sz="8" w:color="EEEEEE"/>
            </w:tcBorders>
          </w:tcPr>
          <w:p>
            <w:pPr>
              <w:spacing w:after="0"/>
              <w:rPr>
                <w:sz w:val="16"/>
                <w:szCs w:val="16"/>
                <w:color w:val="auto"/>
              </w:rPr>
            </w:pPr>
          </w:p>
        </w:tc>
        <w:tc>
          <w:tcPr>
            <w:tcW w:w="1120" w:type="dxa"/>
            <w:vAlign w:val="bottom"/>
            <w:tcBorders>
              <w:top w:val="single" w:sz="8" w:color="EEEEEE"/>
            </w:tcBorders>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(Zip)</w:t>
            </w:r>
          </w:p>
        </w:tc>
        <w:tc>
          <w:tcPr>
            <w:tcW w:w="80" w:type="dxa"/>
            <w:vAlign w:val="bottom"/>
            <w:gridSpan w:val="2"/>
            <w:vMerge w:val="restart"/>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20" w:type="dxa"/>
            <w:vAlign w:val="bottom"/>
            <w:tcBorders>
              <w:bottom w:val="single" w:sz="8" w:color="2C2C2C"/>
            </w:tcBorders>
            <w:gridSpan w:val="4"/>
          </w:tcPr>
          <w:p>
            <w:pPr>
              <w:spacing w:after="0"/>
              <w:rPr>
                <w:sz w:val="10"/>
                <w:szCs w:val="10"/>
                <w:color w:val="auto"/>
              </w:rPr>
            </w:pPr>
          </w:p>
        </w:tc>
        <w:tc>
          <w:tcPr>
            <w:tcW w:w="266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6"/>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620"/>
              <w:spacing w:after="0"/>
              <w:rPr>
                <w:sz w:val="20"/>
                <w:szCs w:val="20"/>
                <w:color w:val="auto"/>
              </w:rPr>
            </w:pPr>
            <w:r>
              <w:rPr>
                <w:rFonts w:ascii="Arial" w:cs="Arial" w:eastAsia="Arial" w:hAnsi="Arial"/>
                <w:sz w:val="12"/>
                <w:szCs w:val="12"/>
                <w:b w:val="1"/>
                <w:bCs w:val="1"/>
                <w:color w:val="auto"/>
                <w:w w:val="95"/>
              </w:rPr>
              <w:t>2. Transaction</w:t>
            </w:r>
          </w:p>
        </w:tc>
        <w:tc>
          <w:tcPr>
            <w:tcW w:w="300" w:type="dxa"/>
            <w:vAlign w:val="bottom"/>
          </w:tcPr>
          <w:p>
            <w:pPr>
              <w:spacing w:after="0"/>
              <w:rPr>
                <w:sz w:val="15"/>
                <w:szCs w:val="15"/>
                <w:color w:val="auto"/>
              </w:rPr>
            </w:pP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20" w:type="dxa"/>
            <w:vAlign w:val="bottom"/>
            <w:gridSpan w:val="3"/>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20" w:type="dxa"/>
            <w:vAlign w:val="bottom"/>
            <w:gridSpan w:val="4"/>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60" w:type="dxa"/>
            <w:vAlign w:val="bottom"/>
            <w:tcBorders>
              <w:bottom w:val="single" w:sz="8" w:color="2C2C2C"/>
            </w:tcBorders>
            <w:gridSpan w:val="4"/>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6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2"/>
                <w:szCs w:val="22"/>
                <w:color w:val="008000"/>
                <w:vertAlign w:val="superscript"/>
              </w:rPr>
              <w:t>(1)</w:t>
            </w:r>
          </w:p>
        </w:tc>
        <w:tc>
          <w:tcPr>
            <w:tcW w:w="8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4"/>
          </w:tcPr>
          <w:p>
            <w:pPr>
              <w:jc w:val="right"/>
              <w:ind w:right="159"/>
              <w:spacing w:after="0"/>
              <w:rPr>
                <w:sz w:val="20"/>
                <w:szCs w:val="20"/>
                <w:color w:val="auto"/>
              </w:rPr>
            </w:pPr>
            <w:r>
              <w:rPr>
                <w:rFonts w:ascii="Times New Roman" w:cs="Times New Roman" w:eastAsia="Times New Roman" w:hAnsi="Times New Roman"/>
                <w:sz w:val="17"/>
                <w:szCs w:val="17"/>
                <w:color w:val="0000FF"/>
              </w:rPr>
              <w:t>11/01/2024</w:t>
            </w:r>
          </w:p>
        </w:tc>
        <w:tc>
          <w:tcPr>
            <w:tcW w:w="4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780" w:type="dxa"/>
            <w:vAlign w:val="bottom"/>
            <w:tcBorders>
              <w:bottom w:val="single" w:sz="8" w:color="2C2C2C"/>
            </w:tcBorders>
          </w:tcPr>
          <w:p>
            <w:pPr>
              <w:jc w:val="right"/>
              <w:ind w:right="132"/>
              <w:spacing w:after="0"/>
              <w:rPr>
                <w:sz w:val="20"/>
                <w:szCs w:val="20"/>
                <w:color w:val="auto"/>
              </w:rPr>
            </w:pPr>
            <w:r>
              <w:rPr>
                <w:rFonts w:ascii="Times New Roman" w:cs="Times New Roman" w:eastAsia="Times New Roman" w:hAnsi="Times New Roman"/>
                <w:sz w:val="17"/>
                <w:szCs w:val="17"/>
                <w:color w:val="0000FF"/>
              </w:rPr>
              <w:t>46,888</w:t>
            </w:r>
          </w:p>
        </w:tc>
        <w:tc>
          <w:tcPr>
            <w:tcW w:w="4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4.3763</w:t>
            </w:r>
            <w:r>
              <w:rPr>
                <w:rFonts w:ascii="Times New Roman" w:cs="Times New Roman" w:eastAsia="Times New Roman" w:hAnsi="Times New Roman"/>
                <w:sz w:val="22"/>
                <w:szCs w:val="22"/>
                <w:color w:val="008000"/>
                <w:vertAlign w:val="superscript"/>
              </w:rPr>
              <w:t>(3)</w:t>
            </w:r>
          </w:p>
        </w:tc>
        <w:tc>
          <w:tcPr>
            <w:tcW w:w="1220" w:type="dxa"/>
            <w:vAlign w:val="bottom"/>
            <w:tcBorders>
              <w:bottom w:val="single" w:sz="8" w:color="2C2C2C"/>
            </w:tcBorders>
            <w:gridSpan w:val="2"/>
          </w:tcPr>
          <w:p>
            <w:pPr>
              <w:jc w:val="right"/>
              <w:ind w:right="180"/>
              <w:spacing w:after="0"/>
              <w:rPr>
                <w:sz w:val="20"/>
                <w:szCs w:val="20"/>
                <w:color w:val="auto"/>
              </w:rPr>
            </w:pPr>
            <w:r>
              <w:rPr>
                <w:rFonts w:ascii="Times New Roman" w:cs="Times New Roman" w:eastAsia="Times New Roman" w:hAnsi="Times New Roman"/>
                <w:sz w:val="17"/>
                <w:szCs w:val="17"/>
                <w:color w:val="0000FF"/>
              </w:rPr>
              <w:t>15,298,896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2"/>
                <w:szCs w:val="22"/>
                <w:color w:val="008000"/>
                <w:vertAlign w:val="superscript"/>
              </w:rPr>
              <w:t>(1)</w:t>
            </w:r>
          </w:p>
        </w:tc>
        <w:tc>
          <w:tcPr>
            <w:tcW w:w="8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4"/>
          </w:tcPr>
          <w:p>
            <w:pPr>
              <w:jc w:val="right"/>
              <w:ind w:right="159"/>
              <w:spacing w:after="0"/>
              <w:rPr>
                <w:sz w:val="20"/>
                <w:szCs w:val="20"/>
                <w:color w:val="auto"/>
              </w:rPr>
            </w:pPr>
            <w:r>
              <w:rPr>
                <w:rFonts w:ascii="Times New Roman" w:cs="Times New Roman" w:eastAsia="Times New Roman" w:hAnsi="Times New Roman"/>
                <w:sz w:val="17"/>
                <w:szCs w:val="17"/>
                <w:color w:val="0000FF"/>
              </w:rPr>
              <w:t>11/04/2024</w:t>
            </w:r>
          </w:p>
        </w:tc>
        <w:tc>
          <w:tcPr>
            <w:tcW w:w="4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780" w:type="dxa"/>
            <w:vAlign w:val="bottom"/>
            <w:tcBorders>
              <w:bottom w:val="single" w:sz="8" w:color="2C2C2C"/>
            </w:tcBorders>
          </w:tcPr>
          <w:p>
            <w:pPr>
              <w:jc w:val="right"/>
              <w:ind w:right="132"/>
              <w:spacing w:after="0"/>
              <w:rPr>
                <w:sz w:val="20"/>
                <w:szCs w:val="20"/>
                <w:color w:val="auto"/>
              </w:rPr>
            </w:pPr>
            <w:r>
              <w:rPr>
                <w:rFonts w:ascii="Times New Roman" w:cs="Times New Roman" w:eastAsia="Times New Roman" w:hAnsi="Times New Roman"/>
                <w:sz w:val="17"/>
                <w:szCs w:val="17"/>
                <w:color w:val="0000FF"/>
              </w:rPr>
              <w:t>94,144</w:t>
            </w:r>
          </w:p>
        </w:tc>
        <w:tc>
          <w:tcPr>
            <w:tcW w:w="4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4.3918</w:t>
            </w:r>
            <w:r>
              <w:rPr>
                <w:rFonts w:ascii="Times New Roman" w:cs="Times New Roman" w:eastAsia="Times New Roman" w:hAnsi="Times New Roman"/>
                <w:sz w:val="22"/>
                <w:szCs w:val="22"/>
                <w:color w:val="008000"/>
                <w:vertAlign w:val="superscript"/>
              </w:rPr>
              <w:t>(4)</w:t>
            </w:r>
          </w:p>
        </w:tc>
        <w:tc>
          <w:tcPr>
            <w:tcW w:w="1220" w:type="dxa"/>
            <w:vAlign w:val="bottom"/>
            <w:tcBorders>
              <w:bottom w:val="single" w:sz="8" w:color="2C2C2C"/>
            </w:tcBorders>
            <w:gridSpan w:val="2"/>
          </w:tcPr>
          <w:p>
            <w:pPr>
              <w:jc w:val="center"/>
              <w:ind w:right="100"/>
              <w:spacing w:after="0"/>
              <w:rPr>
                <w:sz w:val="20"/>
                <w:szCs w:val="20"/>
                <w:color w:val="auto"/>
              </w:rPr>
            </w:pPr>
            <w:r>
              <w:rPr>
                <w:rFonts w:ascii="Times New Roman" w:cs="Times New Roman" w:eastAsia="Times New Roman" w:hAnsi="Times New Roman"/>
                <w:sz w:val="17"/>
                <w:szCs w:val="17"/>
                <w:color w:val="0000FF"/>
              </w:rPr>
              <w:t>15,204,752</w:t>
            </w:r>
            <w:r>
              <w:rPr>
                <w:rFonts w:ascii="Times New Roman" w:cs="Times New Roman" w:eastAsia="Times New Roman" w:hAnsi="Times New Roman"/>
                <w:sz w:val="22"/>
                <w:szCs w:val="22"/>
                <w:color w:val="008000"/>
                <w:vertAlign w:val="superscript"/>
              </w:rPr>
              <w:t>(5)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jc w:val="right"/>
              <w:ind w:right="119"/>
              <w:spacing w:after="0" w:line="133" w:lineRule="exact"/>
              <w:rPr>
                <w:sz w:val="20"/>
                <w:szCs w:val="20"/>
                <w:color w:val="auto"/>
              </w:rPr>
            </w:pPr>
            <w:r>
              <w:rPr>
                <w:rFonts w:ascii="Arial" w:cs="Arial" w:eastAsia="Arial" w:hAnsi="Arial"/>
                <w:sz w:val="12"/>
                <w:szCs w:val="12"/>
                <w:b w:val="1"/>
                <w:bCs w:val="1"/>
                <w:color w:val="auto"/>
                <w:w w:val="93"/>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Reported securities are represented by American Depositary Shares ("ADSs"), each of which represents eight (8) Ordinary Shares of the Issuer.</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in this Form 4 was effected pursuant to a Rule 10b5-1 instruction adopted on March 8, 2024.</w:t>
      </w:r>
    </w:p>
    <w:p>
      <w:pPr>
        <w:spacing w:after="0" w:line="50" w:lineRule="exact"/>
        <w:rPr>
          <w:rFonts w:ascii="Times New Roman" w:cs="Times New Roman" w:eastAsia="Times New Roman" w:hAnsi="Times New Roman"/>
          <w:sz w:val="13"/>
          <w:szCs w:val="13"/>
          <w:color w:val="008000"/>
        </w:rPr>
      </w:pPr>
    </w:p>
    <w:p>
      <w:pPr>
        <w:ind w:left="40" w:right="2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represents a weighted average price of the ADSs divided by eight (8). The securities were sold in multiple transactions at prices ranging from $4.375 to $4.3825 per Ordinary Share, inclusive (or $35.00 to $35.06 per ADS, inclusive). The Reporting Person undertakes to provide to the Issuer, any securityholder of the Issuer, or the staff of the Securities and Exchange Commission, upon request, full information regarding the number of securities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represents a weighted average price of the ADSs divided by eight (8). The securities were sold in multiple transactions at prices ranging from $4.375 to $4.4225 per Ordinary Share, inclusive (or $35.00 to $35.38 per ADS, inclusive). The Reporting Person undertakes to provide to the Issuer, any securityholder of the Issuer, or the staff of the Securities and Exchange Commission, upon request, full information regarding the number of securities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5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(i) 3,000,000 Ordinary Shares underlying Restricted Share Units, each of which represents a contingent right to receive one (1) Ordinary Share of the Issuer (which are represented by 375,000 ADSs); and (ii) 12,204,752 Ordinary Shares underlying 1,525,594 ADSs.</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Andrew Fisher, Attorney-</w:t>
            </w:r>
          </w:p>
        </w:tc>
        <w:tc>
          <w:tcPr>
            <w:tcW w:w="80" w:type="dxa"/>
            <w:vAlign w:val="bottom"/>
          </w:tcPr>
          <w:p>
            <w:pPr>
              <w:spacing w:after="0"/>
              <w:rPr>
                <w:sz w:val="17"/>
                <w:szCs w:val="17"/>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11/05/2024</w:t>
            </w:r>
          </w:p>
        </w:tc>
        <w:tc>
          <w:tcPr>
            <w:tcW w:w="0" w:type="dxa"/>
            <w:vAlign w:val="bottom"/>
          </w:tcPr>
          <w:p>
            <w:pPr>
              <w:spacing w:after="0"/>
              <w:rPr>
                <w:sz w:val="1"/>
                <w:szCs w:val="1"/>
                <w:color w:val="auto"/>
              </w:rPr>
            </w:pPr>
          </w:p>
        </w:tc>
      </w:tr>
      <w:tr>
        <w:trPr>
          <w:trHeight w:val="87"/>
        </w:trPr>
        <w:tc>
          <w:tcPr>
            <w:tcW w:w="200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David Zaccardelli</w:t>
            </w:r>
          </w:p>
        </w:tc>
        <w:tc>
          <w:tcPr>
            <w:tcW w:w="10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000" w:type="dxa"/>
            <w:vAlign w:val="bottom"/>
            <w:tcBorders>
              <w:bottom w:val="single" w:sz="8" w:color="auto"/>
            </w:tcBorders>
            <w:vMerge w:val="continue"/>
          </w:tcPr>
          <w:p>
            <w:pPr>
              <w:spacing w:after="0"/>
              <w:rPr>
                <w:sz w:val="7"/>
                <w:szCs w:val="7"/>
                <w:color w:val="auto"/>
              </w:rPr>
            </w:pPr>
          </w:p>
        </w:tc>
        <w:tc>
          <w:tcPr>
            <w:tcW w:w="1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27642" TargetMode="External"/><Relationship Id="rId14"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2024-11-05T16:45:46Z</dcterms:created>
  <dcterms:modified xsi:type="dcterms:W3CDTF">2024-11-05T16:45:46Z</dcterms:modified>
</cp:coreProperties>
</file>