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2223135</wp:posOffset>
            </wp:positionH>
            <wp:positionV relativeFrom="page">
              <wp:posOffset>4480560</wp:posOffset>
            </wp:positionV>
            <wp:extent cx="308610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086100" cy="342900"/>
                    </a:xfrm>
                    <a:prstGeom prst="rect">
                      <a:avLst/>
                    </a:prstGeom>
                    <a:noFill/>
                  </pic:spPr>
                </pic:pic>
              </a:graphicData>
            </a:graphic>
          </wp:anchor>
        </w:drawing>
        <w:drawing>
          <wp:anchor simplePos="0" relativeHeight="251657728" behindDoc="1" locked="0" layoutInCell="0" allowOverlap="1">
            <wp:simplePos x="0" y="0"/>
            <wp:positionH relativeFrom="page">
              <wp:posOffset>1806575</wp:posOffset>
            </wp:positionH>
            <wp:positionV relativeFrom="page">
              <wp:posOffset>2849880</wp:posOffset>
            </wp:positionV>
            <wp:extent cx="3898265" cy="1504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98265" cy="1504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ind w:left="2920"/>
        <w:spacing w:after="0"/>
        <w:rPr>
          <w:sz w:val="20"/>
          <w:szCs w:val="20"/>
          <w:color w:val="auto"/>
        </w:rPr>
      </w:pPr>
      <w:r>
        <w:rPr>
          <w:rFonts w:ascii="Arial" w:cs="Arial" w:eastAsia="Arial" w:hAnsi="Arial"/>
          <w:sz w:val="35"/>
          <w:szCs w:val="35"/>
          <w:b w:val="1"/>
          <w:bCs w:val="1"/>
          <w:color w:val="auto"/>
        </w:rPr>
        <w:t>Verona Pharma plc</w:t>
      </w:r>
    </w:p>
    <w:p>
      <w:pPr>
        <w:spacing w:after="0" w:line="221" w:lineRule="exact"/>
        <w:rPr>
          <w:sz w:val="24"/>
          <w:szCs w:val="24"/>
          <w:color w:val="auto"/>
        </w:rPr>
      </w:pPr>
    </w:p>
    <w:p>
      <w:pPr>
        <w:ind w:left="2880"/>
        <w:spacing w:after="0"/>
        <w:rPr>
          <w:sz w:val="20"/>
          <w:szCs w:val="20"/>
          <w:color w:val="auto"/>
        </w:rPr>
      </w:pPr>
      <w:r>
        <w:rPr>
          <w:rFonts w:ascii="Arial" w:cs="Arial" w:eastAsia="Arial" w:hAnsi="Arial"/>
          <w:sz w:val="36"/>
          <w:szCs w:val="36"/>
          <w:color w:val="auto"/>
        </w:rPr>
        <w:t>2023 Annual Report</w:t>
      </w:r>
    </w:p>
    <w:p>
      <w:pPr>
        <w:sectPr>
          <w:pgSz w:w="11880" w:h="15480" w:orient="portrait"/>
          <w:cols w:equalWidth="0" w:num="1">
            <w:col w:w="9000"/>
          </w:cols>
          <w:pgMar w:left="1440" w:top="1440" w:right="1440" w:bottom="1440"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4858385</wp:posOffset>
            </wp:positionH>
            <wp:positionV relativeFrom="page">
              <wp:posOffset>478155</wp:posOffset>
            </wp:positionV>
            <wp:extent cx="1775460" cy="861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5460" cy="861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Dear Shareholders,</w:t>
      </w:r>
    </w:p>
    <w:p>
      <w:pPr>
        <w:spacing w:after="0" w:line="256" w:lineRule="exact"/>
        <w:rPr>
          <w:sz w:val="20"/>
          <w:szCs w:val="20"/>
          <w:color w:val="auto"/>
        </w:rPr>
      </w:pPr>
    </w:p>
    <w:p>
      <w:pPr>
        <w:jc w:val="both"/>
        <w:ind w:left="20" w:right="20"/>
        <w:spacing w:after="0" w:line="320" w:lineRule="auto"/>
        <w:rPr>
          <w:sz w:val="20"/>
          <w:szCs w:val="20"/>
          <w:color w:val="auto"/>
        </w:rPr>
      </w:pPr>
      <w:r>
        <w:rPr>
          <w:rFonts w:ascii="Arial" w:cs="Arial" w:eastAsia="Arial" w:hAnsi="Arial"/>
          <w:sz w:val="17"/>
          <w:szCs w:val="17"/>
          <w:color w:val="auto"/>
        </w:rPr>
        <w:t>2023 was a pivotal year for Verona Pharma with the acceptance for review of our New Drug Application ("NDA") by the US Food and Drug Administration ("FDA") and continued advancement of our commercialization strategy in preparation for the US launch of ensifentrine, if approved. In August, the FDA accepted for review our NDA seeking approval of ensifentrine for the maintenance treatment of patients with chronic obstructive pulmonary disease ("COPD") and assigned a Prescription Drug User Fee Act ("PDUFA") target action date of June 26, 2024.</w:t>
      </w:r>
    </w:p>
    <w:p>
      <w:pPr>
        <w:spacing w:after="0" w:line="110" w:lineRule="exact"/>
        <w:rPr>
          <w:sz w:val="20"/>
          <w:szCs w:val="20"/>
          <w:color w:val="auto"/>
        </w:rPr>
      </w:pPr>
    </w:p>
    <w:p>
      <w:pPr>
        <w:jc w:val="both"/>
        <w:ind w:left="20" w:right="20"/>
        <w:spacing w:after="0" w:line="299" w:lineRule="auto"/>
        <w:rPr>
          <w:sz w:val="20"/>
          <w:szCs w:val="20"/>
          <w:color w:val="auto"/>
        </w:rPr>
      </w:pPr>
      <w:r>
        <w:rPr>
          <w:rFonts w:ascii="Arial" w:cs="Arial" w:eastAsia="Arial" w:hAnsi="Arial"/>
          <w:sz w:val="18"/>
          <w:szCs w:val="18"/>
          <w:color w:val="auto"/>
        </w:rPr>
        <w:t>The NDA acceptance for review brings us closer to our goal of delivering ensifentrine to the millions of patients suffering from COPD. If successfully developed and approved, inhaled ensifentrine has the potential to be the first novel class of therapeutic in COPD in over 20 years. Supported by the results from our ENHANCE ("Ensifentrine as a Novel inHAled Nebulized COPD thErapy") trials, we believe ensifentrine’s bronchodilator and non-steroidal anti-inflammatory activity has the potential to change the treatment paradigm for COPD.</w:t>
      </w:r>
    </w:p>
    <w:p>
      <w:pPr>
        <w:spacing w:after="0" w:line="125" w:lineRule="exact"/>
        <w:rPr>
          <w:sz w:val="20"/>
          <w:szCs w:val="20"/>
          <w:color w:val="auto"/>
        </w:rPr>
      </w:pPr>
    </w:p>
    <w:p>
      <w:pPr>
        <w:jc w:val="both"/>
        <w:ind w:left="20" w:right="20"/>
        <w:spacing w:after="0" w:line="263" w:lineRule="auto"/>
        <w:rPr>
          <w:sz w:val="20"/>
          <w:szCs w:val="20"/>
          <w:color w:val="auto"/>
        </w:rPr>
      </w:pPr>
      <w:r>
        <w:rPr>
          <w:rFonts w:ascii="Arial" w:cs="Arial" w:eastAsia="Arial" w:hAnsi="Arial"/>
          <w:sz w:val="20"/>
          <w:szCs w:val="20"/>
          <w:color w:val="auto"/>
        </w:rPr>
        <w:t>While we remain focused on the US commercialization efforts for ensifentrine, we progressed development of two new programs: a fixed-dose combination formulation with ensifentrine and glycopyrrolate, a long-acting muscarinic antagonist ("LAMA"), for the maintenance treatment of patients with COPD via delivery in a nebulizer and a potential second indication for nebulized ensifentrine for the treatment of non-cystic fibrosis bronchiectasis ("NCFBE").</w:t>
      </w:r>
    </w:p>
    <w:p>
      <w:pPr>
        <w:spacing w:after="0" w:line="153" w:lineRule="exact"/>
        <w:rPr>
          <w:sz w:val="20"/>
          <w:szCs w:val="20"/>
          <w:color w:val="auto"/>
        </w:rPr>
      </w:pPr>
    </w:p>
    <w:p>
      <w:pPr>
        <w:jc w:val="both"/>
        <w:ind w:left="20" w:right="20"/>
        <w:spacing w:after="0" w:line="266" w:lineRule="auto"/>
        <w:rPr>
          <w:sz w:val="20"/>
          <w:szCs w:val="20"/>
          <w:color w:val="auto"/>
        </w:rPr>
      </w:pPr>
      <w:r>
        <w:rPr>
          <w:rFonts w:ascii="Arial" w:cs="Arial" w:eastAsia="Arial" w:hAnsi="Arial"/>
          <w:sz w:val="20"/>
          <w:szCs w:val="20"/>
          <w:color w:val="auto"/>
        </w:rPr>
        <w:t>To support our commercialization activities and continued pipeline expansion, we enhanced our financial flexibility through a $400 million debt financing facility in December. We expect this facility, along with our existing cash, to support Verona Pharma's growth including the commercialization of ensifentrine, if approved, through at least 2026.</w:t>
      </w:r>
    </w:p>
    <w:p>
      <w:pPr>
        <w:spacing w:after="0" w:line="152" w:lineRule="exact"/>
        <w:rPr>
          <w:sz w:val="20"/>
          <w:szCs w:val="20"/>
          <w:color w:val="auto"/>
        </w:rPr>
      </w:pPr>
    </w:p>
    <w:p>
      <w:pPr>
        <w:jc w:val="both"/>
        <w:ind w:left="20" w:right="20"/>
        <w:spacing w:after="0" w:line="266" w:lineRule="auto"/>
        <w:rPr>
          <w:sz w:val="20"/>
          <w:szCs w:val="20"/>
          <w:color w:val="auto"/>
        </w:rPr>
      </w:pPr>
      <w:r>
        <w:rPr>
          <w:rFonts w:ascii="Arial" w:cs="Arial" w:eastAsia="Arial" w:hAnsi="Arial"/>
          <w:sz w:val="20"/>
          <w:szCs w:val="20"/>
          <w:color w:val="auto"/>
        </w:rPr>
        <w:t>Alongside our progress in 2023, our development partner Nuance Pharma continued to enroll patients into a pivotal Phase 3 trial evaluating ensifentrine for the maintenance treatment of COPD in China. Nuance Pharma is developing and, if approved, will commercialize ensifentrine in Greater China and we look forward to providing future updates.</w:t>
      </w:r>
    </w:p>
    <w:p>
      <w:pPr>
        <w:spacing w:after="0" w:line="176" w:lineRule="exact"/>
        <w:rPr>
          <w:sz w:val="20"/>
          <w:szCs w:val="20"/>
          <w:color w:val="auto"/>
        </w:rPr>
      </w:pPr>
    </w:p>
    <w:p>
      <w:pPr>
        <w:jc w:val="both"/>
        <w:ind w:left="20" w:right="20"/>
        <w:spacing w:after="0" w:line="316" w:lineRule="auto"/>
        <w:rPr>
          <w:sz w:val="20"/>
          <w:szCs w:val="20"/>
          <w:color w:val="auto"/>
        </w:rPr>
      </w:pPr>
      <w:r>
        <w:rPr>
          <w:rFonts w:ascii="Arial" w:cs="Arial" w:eastAsia="Arial" w:hAnsi="Arial"/>
          <w:sz w:val="18"/>
          <w:szCs w:val="18"/>
          <w:color w:val="auto"/>
        </w:rPr>
        <w:t>We expect 2024 to be a transformational year for Verona Pharma. We are finalizing our US launch preparations and look forward to commercializing ensifentrine in the second half of 2024, if approved. We also look forward to continued progress on our development programs as we work to build-out 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262255</wp:posOffset>
            </wp:positionV>
            <wp:extent cx="1180465" cy="4584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0465" cy="458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David Zaccardelli</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20"/>
          <w:szCs w:val="20"/>
          <w:color w:val="auto"/>
        </w:rPr>
        <w:t>President and Chief Executive Officer</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March 20, 2024</w:t>
      </w:r>
    </w:p>
    <w:p>
      <w:pPr>
        <w:sectPr>
          <w:pgSz w:w="11880" w:h="15480" w:orient="portrait"/>
          <w:cols w:equalWidth="0" w:num="1">
            <w:col w:w="9000"/>
          </w:cols>
          <w:pgMar w:left="1440" w:top="1440" w:right="1440" w:bottom="1440" w:gutter="0" w:footer="0" w:header="0"/>
        </w:sectPr>
      </w:pPr>
    </w:p>
    <w:bookmarkStart w:id="3" w:name="page4"/>
    <w:bookmarkEnd w:id="3"/>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4" w:name="page5"/>
    <w:bookmarkEnd w:id="4"/>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jc w:val="center"/>
        <w:ind w:right="-19"/>
        <w:spacing w:after="0"/>
        <w:rPr>
          <w:sz w:val="20"/>
          <w:szCs w:val="20"/>
          <w:color w:val="auto"/>
        </w:rPr>
      </w:pPr>
      <w:r>
        <w:rPr>
          <w:rFonts w:ascii="Arial" w:cs="Arial" w:eastAsia="Arial" w:hAnsi="Arial"/>
          <w:sz w:val="28"/>
          <w:szCs w:val="28"/>
          <w:b w:val="1"/>
          <w:bCs w:val="1"/>
          <w:color w:val="auto"/>
        </w:rPr>
        <w:t>FORM 10-K</w:t>
      </w:r>
    </w:p>
    <w:p>
      <w:pPr>
        <w:spacing w:after="0" w:line="26" w:lineRule="exact"/>
        <w:rPr>
          <w:sz w:val="20"/>
          <w:szCs w:val="20"/>
          <w:color w:val="auto"/>
        </w:rPr>
      </w:pPr>
    </w:p>
    <w:p>
      <w:pPr>
        <w:ind w:left="1400" w:hanging="715"/>
        <w:spacing w:after="0"/>
        <w:tabs>
          <w:tab w:leader="none" w:pos="1400" w:val="left"/>
        </w:tabs>
        <w:numPr>
          <w:ilvl w:val="0"/>
          <w:numId w:val="1"/>
        </w:numPr>
        <w:rPr>
          <w:rFonts w:ascii="MS PGothic" w:cs="MS PGothic" w:eastAsia="MS PGothic" w:hAnsi="MS PGothic"/>
          <w:sz w:val="24"/>
          <w:szCs w:val="24"/>
          <w:b w:val="1"/>
          <w:bCs w:val="1"/>
          <w:color w:val="auto"/>
        </w:rPr>
      </w:pPr>
      <w:r>
        <w:rPr>
          <w:rFonts w:ascii="Arial" w:cs="Arial" w:eastAsia="Arial" w:hAnsi="Arial"/>
          <w:sz w:val="24"/>
          <w:szCs w:val="24"/>
          <w:b w:val="1"/>
          <w:bCs w:val="1"/>
          <w:color w:val="auto"/>
        </w:rPr>
        <w:t>ANNUAL REPORT PURSUANT TO SECTION 13 OR 15(d) OF THE</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EXCHANGE ACT OF 1934</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2023</w:t>
      </w:r>
    </w:p>
    <w:p>
      <w:pPr>
        <w:jc w:val="center"/>
        <w:ind w:right="-19"/>
        <w:spacing w:after="0" w:line="237" w:lineRule="auto"/>
        <w:rPr>
          <w:sz w:val="20"/>
          <w:szCs w:val="20"/>
          <w:color w:val="auto"/>
        </w:rPr>
      </w:pPr>
      <w:r>
        <w:rPr>
          <w:rFonts w:ascii="Arial" w:cs="Arial" w:eastAsia="Arial" w:hAnsi="Arial"/>
          <w:sz w:val="24"/>
          <w:szCs w:val="24"/>
          <w:b w:val="1"/>
          <w:bCs w:val="1"/>
          <w:color w:val="auto"/>
        </w:rPr>
        <w:t>OR</w:t>
      </w:r>
    </w:p>
    <w:p>
      <w:pPr>
        <w:spacing w:after="0" w:line="14" w:lineRule="exact"/>
        <w:rPr>
          <w:sz w:val="20"/>
          <w:szCs w:val="20"/>
          <w:color w:val="auto"/>
        </w:rPr>
      </w:pPr>
    </w:p>
    <w:p>
      <w:pPr>
        <w:ind w:left="2480" w:right="420" w:hanging="2041"/>
        <w:spacing w:after="0" w:line="284" w:lineRule="auto"/>
        <w:tabs>
          <w:tab w:leader="none" w:pos="1164" w:val="left"/>
        </w:tabs>
        <w:numPr>
          <w:ilvl w:val="0"/>
          <w:numId w:val="2"/>
        </w:numPr>
        <w:rPr>
          <w:rFonts w:ascii="MS PGothic" w:cs="MS PGothic" w:eastAsia="MS PGothic" w:hAnsi="MS PGothic"/>
          <w:sz w:val="24"/>
          <w:szCs w:val="24"/>
          <w:b w:val="1"/>
          <w:bCs w:val="1"/>
          <w:color w:val="auto"/>
        </w:rPr>
      </w:pPr>
      <w:r>
        <w:rPr>
          <w:rFonts w:ascii="Arial" w:cs="Arial" w:eastAsia="Arial" w:hAnsi="Arial"/>
          <w:sz w:val="24"/>
          <w:szCs w:val="24"/>
          <w:b w:val="1"/>
          <w:bCs w:val="1"/>
          <w:color w:val="auto"/>
        </w:rPr>
        <w:t>TRANSITION REPORT PURSUANT TO SECTION 13 OR 15(d) OF THE SECURITIES EXCHANGE ACT OF 1934</w:t>
      </w:r>
    </w:p>
    <w:p>
      <w:pPr>
        <w:spacing w:after="0" w:line="132" w:lineRule="exact"/>
        <w:rPr>
          <w:sz w:val="20"/>
          <w:szCs w:val="20"/>
          <w:color w:val="auto"/>
        </w:rPr>
      </w:pPr>
    </w:p>
    <w:p>
      <w:pPr>
        <w:ind w:left="2220"/>
        <w:spacing w:after="0"/>
        <w:rPr>
          <w:sz w:val="20"/>
          <w:szCs w:val="20"/>
          <w:color w:val="auto"/>
        </w:rPr>
      </w:pPr>
      <w:r>
        <w:rPr>
          <w:rFonts w:ascii="Arial" w:cs="Arial" w:eastAsia="Arial" w:hAnsi="Arial"/>
          <w:sz w:val="16"/>
          <w:szCs w:val="16"/>
          <w:b w:val="1"/>
          <w:bCs w:val="1"/>
          <w:color w:val="auto"/>
        </w:rPr>
        <w:t>FOR THE TRANSITION PERIOD FROM __________ TO __________</w:t>
      </w:r>
    </w:p>
    <w:p>
      <w:pPr>
        <w:jc w:val="center"/>
        <w:ind w:right="-19"/>
        <w:spacing w:after="0" w:line="191" w:lineRule="auto"/>
        <w:rPr>
          <w:sz w:val="20"/>
          <w:szCs w:val="20"/>
          <w:color w:val="auto"/>
        </w:rPr>
      </w:pPr>
      <w:r>
        <w:rPr>
          <w:rFonts w:ascii="Arial" w:cs="Arial" w:eastAsia="Arial" w:hAnsi="Arial"/>
          <w:sz w:val="20"/>
          <w:szCs w:val="20"/>
          <w:b w:val="1"/>
          <w:bCs w:val="1"/>
          <w:color w:val="auto"/>
        </w:rPr>
        <w:t>Commission File Number: 001-38067</w:t>
      </w:r>
    </w:p>
    <w:p>
      <w:pPr>
        <w:jc w:val="center"/>
        <w:ind w:right="-19"/>
        <w:spacing w:after="0"/>
        <w:rPr>
          <w:sz w:val="20"/>
          <w:szCs w:val="20"/>
          <w:color w:val="auto"/>
        </w:rPr>
      </w:pPr>
      <w:r>
        <w:rPr>
          <w:rFonts w:ascii="Arial" w:cs="Arial" w:eastAsia="Arial" w:hAnsi="Arial"/>
          <w:sz w:val="36"/>
          <w:szCs w:val="36"/>
          <w:b w:val="1"/>
          <w:bCs w:val="1"/>
          <w:color w:val="auto"/>
        </w:rPr>
        <w:t>Verona Pharma plc</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85" w:lineRule="exact"/>
        <w:rPr>
          <w:sz w:val="20"/>
          <w:szCs w:val="20"/>
          <w:color w:val="auto"/>
        </w:rPr>
      </w:pPr>
    </w:p>
    <w:tbl>
      <w:tblPr>
        <w:tblLayout w:type="fixed"/>
        <w:tblInd w:w="100" w:type="dxa"/>
        <w:tblCellMar>
          <w:top w:w="0" w:type="dxa"/>
          <w:left w:w="0" w:type="dxa"/>
          <w:bottom w:w="0" w:type="dxa"/>
          <w:right w:w="0" w:type="dxa"/>
        </w:tblCellMar>
      </w:tblPr>
      <w:tr>
        <w:trPr>
          <w:trHeight w:val="264"/>
        </w:trPr>
        <w:tc>
          <w:tcPr>
            <w:tcW w:w="4980" w:type="dxa"/>
            <w:vAlign w:val="bottom"/>
          </w:tcPr>
          <w:p>
            <w:pPr>
              <w:jc w:val="center"/>
              <w:ind w:right="788"/>
              <w:spacing w:after="0"/>
              <w:rPr>
                <w:sz w:val="20"/>
                <w:szCs w:val="20"/>
                <w:color w:val="auto"/>
              </w:rPr>
            </w:pPr>
            <w:r>
              <w:rPr>
                <w:rFonts w:ascii="Arial" w:cs="Arial" w:eastAsia="Arial" w:hAnsi="Arial"/>
                <w:sz w:val="20"/>
                <w:szCs w:val="20"/>
                <w:b w:val="1"/>
                <w:bCs w:val="1"/>
                <w:color w:val="auto"/>
                <w:w w:val="91"/>
              </w:rPr>
              <w:t>United Kingdom</w:t>
            </w:r>
          </w:p>
        </w:tc>
        <w:tc>
          <w:tcPr>
            <w:tcW w:w="3320" w:type="dxa"/>
            <w:vAlign w:val="bottom"/>
          </w:tcPr>
          <w:p>
            <w:pPr>
              <w:jc w:val="center"/>
              <w:ind w:left="790"/>
              <w:spacing w:after="0"/>
              <w:rPr>
                <w:sz w:val="20"/>
                <w:szCs w:val="20"/>
                <w:color w:val="auto"/>
              </w:rPr>
            </w:pPr>
            <w:r>
              <w:rPr>
                <w:rFonts w:ascii="Arial" w:cs="Arial" w:eastAsia="Arial" w:hAnsi="Arial"/>
                <w:sz w:val="20"/>
                <w:szCs w:val="20"/>
                <w:b w:val="1"/>
                <w:bCs w:val="1"/>
                <w:color w:val="auto"/>
                <w:w w:val="89"/>
              </w:rPr>
              <w:t>98-1489389</w:t>
            </w:r>
          </w:p>
        </w:tc>
      </w:tr>
      <w:tr>
        <w:trPr>
          <w:trHeight w:val="235"/>
        </w:trPr>
        <w:tc>
          <w:tcPr>
            <w:tcW w:w="4980" w:type="dxa"/>
            <w:vAlign w:val="bottom"/>
          </w:tcPr>
          <w:p>
            <w:pPr>
              <w:jc w:val="center"/>
              <w:ind w:right="788"/>
              <w:spacing w:after="0"/>
              <w:rPr>
                <w:sz w:val="20"/>
                <w:szCs w:val="20"/>
                <w:color w:val="auto"/>
              </w:rPr>
            </w:pPr>
            <w:r>
              <w:rPr>
                <w:rFonts w:ascii="Arial" w:cs="Arial" w:eastAsia="Arial" w:hAnsi="Arial"/>
                <w:sz w:val="16"/>
                <w:szCs w:val="16"/>
                <w:b w:val="1"/>
                <w:bCs w:val="1"/>
                <w:color w:val="auto"/>
                <w:w w:val="90"/>
              </w:rPr>
              <w:t>(State or other jurisdiction of incorporation or organization)</w:t>
            </w:r>
          </w:p>
        </w:tc>
        <w:tc>
          <w:tcPr>
            <w:tcW w:w="3320" w:type="dxa"/>
            <w:vAlign w:val="bottom"/>
          </w:tcPr>
          <w:p>
            <w:pPr>
              <w:jc w:val="center"/>
              <w:ind w:left="790"/>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545"/>
        </w:trPr>
        <w:tc>
          <w:tcPr>
            <w:tcW w:w="4980" w:type="dxa"/>
            <w:vAlign w:val="bottom"/>
          </w:tcPr>
          <w:p>
            <w:pPr>
              <w:jc w:val="center"/>
              <w:ind w:right="788"/>
              <w:spacing w:after="0"/>
              <w:rPr>
                <w:sz w:val="20"/>
                <w:szCs w:val="20"/>
                <w:color w:val="auto"/>
              </w:rPr>
            </w:pPr>
            <w:r>
              <w:rPr>
                <w:rFonts w:ascii="Arial" w:cs="Arial" w:eastAsia="Arial" w:hAnsi="Arial"/>
                <w:sz w:val="20"/>
                <w:szCs w:val="20"/>
                <w:b w:val="1"/>
                <w:bCs w:val="1"/>
                <w:color w:val="auto"/>
                <w:w w:val="91"/>
              </w:rPr>
              <w:t>3 More London Riverside</w:t>
            </w:r>
          </w:p>
        </w:tc>
        <w:tc>
          <w:tcPr>
            <w:tcW w:w="3320" w:type="dxa"/>
            <w:vAlign w:val="bottom"/>
          </w:tcPr>
          <w:p>
            <w:pPr>
              <w:spacing w:after="0"/>
              <w:rPr>
                <w:sz w:val="24"/>
                <w:szCs w:val="24"/>
                <w:color w:val="auto"/>
              </w:rPr>
            </w:pPr>
          </w:p>
        </w:tc>
      </w:tr>
      <w:tr>
        <w:trPr>
          <w:trHeight w:val="264"/>
        </w:trPr>
        <w:tc>
          <w:tcPr>
            <w:tcW w:w="4980" w:type="dxa"/>
            <w:vAlign w:val="bottom"/>
          </w:tcPr>
          <w:p>
            <w:pPr>
              <w:jc w:val="center"/>
              <w:ind w:right="808"/>
              <w:spacing w:after="0"/>
              <w:rPr>
                <w:sz w:val="20"/>
                <w:szCs w:val="20"/>
                <w:color w:val="auto"/>
              </w:rPr>
            </w:pPr>
            <w:r>
              <w:rPr>
                <w:rFonts w:ascii="Arial" w:cs="Arial" w:eastAsia="Arial" w:hAnsi="Arial"/>
                <w:sz w:val="20"/>
                <w:szCs w:val="20"/>
                <w:b w:val="1"/>
                <w:bCs w:val="1"/>
                <w:color w:val="auto"/>
                <w:w w:val="92"/>
              </w:rPr>
              <w:t>London SE1 2RE United Kingdom</w:t>
            </w:r>
          </w:p>
        </w:tc>
        <w:tc>
          <w:tcPr>
            <w:tcW w:w="3320" w:type="dxa"/>
            <w:vAlign w:val="bottom"/>
          </w:tcPr>
          <w:p>
            <w:pPr>
              <w:jc w:val="center"/>
              <w:ind w:left="790"/>
              <w:spacing w:after="0"/>
              <w:rPr>
                <w:sz w:val="20"/>
                <w:szCs w:val="20"/>
                <w:color w:val="auto"/>
              </w:rPr>
            </w:pPr>
            <w:r>
              <w:rPr>
                <w:rFonts w:ascii="Arial" w:cs="Arial" w:eastAsia="Arial" w:hAnsi="Arial"/>
                <w:sz w:val="20"/>
                <w:szCs w:val="20"/>
                <w:b w:val="1"/>
                <w:bCs w:val="1"/>
                <w:color w:val="auto"/>
                <w:w w:val="91"/>
              </w:rPr>
              <w:t>Not Applicable</w:t>
            </w:r>
          </w:p>
        </w:tc>
      </w:tr>
      <w:tr>
        <w:trPr>
          <w:trHeight w:val="280"/>
        </w:trPr>
        <w:tc>
          <w:tcPr>
            <w:tcW w:w="4980" w:type="dxa"/>
            <w:vAlign w:val="bottom"/>
          </w:tcPr>
          <w:p>
            <w:pPr>
              <w:jc w:val="center"/>
              <w:ind w:right="808"/>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3320" w:type="dxa"/>
            <w:vAlign w:val="bottom"/>
          </w:tcPr>
          <w:p>
            <w:pPr>
              <w:jc w:val="center"/>
              <w:ind w:left="770"/>
              <w:spacing w:after="0"/>
              <w:rPr>
                <w:sz w:val="20"/>
                <w:szCs w:val="20"/>
                <w:color w:val="auto"/>
              </w:rPr>
            </w:pPr>
            <w:r>
              <w:rPr>
                <w:rFonts w:ascii="Arial" w:cs="Arial" w:eastAsia="Arial" w:hAnsi="Arial"/>
                <w:sz w:val="16"/>
                <w:szCs w:val="16"/>
                <w:b w:val="1"/>
                <w:bCs w:val="1"/>
                <w:color w:val="auto"/>
                <w:w w:val="93"/>
              </w:rPr>
              <w:t>(Zip Code)</w:t>
            </w:r>
          </w:p>
        </w:tc>
      </w:tr>
    </w:tbl>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+44 203 283 4200</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registered pursuant to Section 12(b) of the Act: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vMerge w:val="restart"/>
          </w:tcPr>
          <w:p>
            <w:pPr>
              <w:jc w:val="center"/>
              <w:ind w:left="50"/>
              <w:spacing w:after="0"/>
              <w:rPr>
                <w:sz w:val="20"/>
                <w:szCs w:val="20"/>
                <w:color w:val="auto"/>
              </w:rPr>
            </w:pPr>
            <w:r>
              <w:rPr>
                <w:rFonts w:ascii="Arial" w:cs="Arial" w:eastAsia="Arial" w:hAnsi="Arial"/>
                <w:sz w:val="20"/>
                <w:szCs w:val="20"/>
                <w:b w:val="1"/>
                <w:bCs w:val="1"/>
                <w:color w:val="auto"/>
                <w:w w:val="87"/>
              </w:rPr>
              <w:t>Title of each class</w:t>
            </w:r>
          </w:p>
        </w:tc>
        <w:tc>
          <w:tcPr>
            <w:tcW w:w="1240" w:type="dxa"/>
            <w:vAlign w:val="bottom"/>
          </w:tcPr>
          <w:p>
            <w:pPr>
              <w:jc w:val="center"/>
              <w:ind w:left="47"/>
              <w:spacing w:after="0"/>
              <w:rPr>
                <w:sz w:val="20"/>
                <w:szCs w:val="20"/>
                <w:color w:val="auto"/>
              </w:rPr>
            </w:pPr>
            <w:r>
              <w:rPr>
                <w:rFonts w:ascii="Arial" w:cs="Arial" w:eastAsia="Arial" w:hAnsi="Arial"/>
                <w:sz w:val="20"/>
                <w:szCs w:val="20"/>
                <w:b w:val="1"/>
                <w:bCs w:val="1"/>
                <w:color w:val="auto"/>
                <w:w w:val="95"/>
              </w:rPr>
              <w:t>Trading</w:t>
            </w:r>
          </w:p>
        </w:tc>
        <w:tc>
          <w:tcPr>
            <w:tcW w:w="41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7"/>
              </w:rPr>
              <w:t>Name of each exchange on which registered</w:t>
            </w:r>
          </w:p>
        </w:tc>
        <w:tc>
          <w:tcPr>
            <w:tcW w:w="0" w:type="dxa"/>
            <w:vAlign w:val="bottom"/>
          </w:tcPr>
          <w:p>
            <w:pPr>
              <w:spacing w:after="0"/>
              <w:rPr>
                <w:sz w:val="1"/>
                <w:szCs w:val="1"/>
                <w:color w:val="auto"/>
              </w:rPr>
            </w:pPr>
          </w:p>
        </w:tc>
      </w:tr>
      <w:tr>
        <w:trPr>
          <w:trHeight w:val="262"/>
        </w:trPr>
        <w:tc>
          <w:tcPr>
            <w:tcW w:w="3960" w:type="dxa"/>
            <w:vAlign w:val="bottom"/>
            <w:tcBorders>
              <w:bottom w:val="single" w:sz="8" w:color="auto"/>
            </w:tcBorders>
            <w:vMerge w:val="continue"/>
          </w:tcPr>
          <w:p>
            <w:pPr>
              <w:spacing w:after="0"/>
              <w:rPr>
                <w:sz w:val="22"/>
                <w:szCs w:val="22"/>
                <w:color w:val="auto"/>
              </w:rPr>
            </w:pPr>
          </w:p>
        </w:tc>
        <w:tc>
          <w:tcPr>
            <w:tcW w:w="1240" w:type="dxa"/>
            <w:vAlign w:val="bottom"/>
            <w:tcBorders>
              <w:bottom w:val="single" w:sz="8" w:color="auto"/>
            </w:tcBorders>
          </w:tcPr>
          <w:p>
            <w:pPr>
              <w:jc w:val="center"/>
              <w:ind w:left="67"/>
              <w:spacing w:after="0"/>
              <w:rPr>
                <w:sz w:val="20"/>
                <w:szCs w:val="20"/>
                <w:color w:val="auto"/>
              </w:rPr>
            </w:pPr>
            <w:r>
              <w:rPr>
                <w:rFonts w:ascii="Arial" w:cs="Arial" w:eastAsia="Arial" w:hAnsi="Arial"/>
                <w:sz w:val="20"/>
                <w:szCs w:val="20"/>
                <w:b w:val="1"/>
                <w:bCs w:val="1"/>
                <w:color w:val="auto"/>
                <w:w w:val="88"/>
              </w:rPr>
              <w:t>Symbol</w:t>
            </w:r>
          </w:p>
        </w:tc>
        <w:tc>
          <w:tcPr>
            <w:tcW w:w="41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3960" w:type="dxa"/>
            <w:vAlign w:val="bottom"/>
          </w:tcPr>
          <w:p>
            <w:pPr>
              <w:jc w:val="center"/>
              <w:ind w:left="50"/>
              <w:spacing w:after="0"/>
              <w:rPr>
                <w:sz w:val="20"/>
                <w:szCs w:val="20"/>
                <w:color w:val="auto"/>
              </w:rPr>
            </w:pPr>
            <w:r>
              <w:rPr>
                <w:rFonts w:ascii="Arial" w:cs="Arial" w:eastAsia="Arial" w:hAnsi="Arial"/>
                <w:sz w:val="16"/>
                <w:szCs w:val="16"/>
                <w:color w:val="auto"/>
                <w:w w:val="90"/>
              </w:rPr>
              <w:t>Ordinary shares, nominal value £0.05 per share*</w:t>
            </w:r>
          </w:p>
        </w:tc>
        <w:tc>
          <w:tcPr>
            <w:tcW w:w="1240" w:type="dxa"/>
            <w:vAlign w:val="bottom"/>
          </w:tcPr>
          <w:p>
            <w:pPr>
              <w:jc w:val="center"/>
              <w:ind w:left="47"/>
              <w:spacing w:after="0"/>
              <w:rPr>
                <w:sz w:val="20"/>
                <w:szCs w:val="20"/>
                <w:color w:val="auto"/>
              </w:rPr>
            </w:pPr>
            <w:r>
              <w:rPr>
                <w:rFonts w:ascii="Arial" w:cs="Arial" w:eastAsia="Arial" w:hAnsi="Arial"/>
                <w:sz w:val="16"/>
                <w:szCs w:val="16"/>
                <w:color w:val="auto"/>
              </w:rPr>
              <w:t>VRNA</w:t>
            </w:r>
          </w:p>
        </w:tc>
        <w:tc>
          <w:tcPr>
            <w:tcW w:w="4100" w:type="dxa"/>
            <w:vAlign w:val="bottom"/>
          </w:tcPr>
          <w:p>
            <w:pPr>
              <w:jc w:val="center"/>
              <w:spacing w:after="0"/>
              <w:rPr>
                <w:sz w:val="20"/>
                <w:szCs w:val="20"/>
                <w:color w:val="auto"/>
              </w:rPr>
            </w:pPr>
            <w:r>
              <w:rPr>
                <w:rFonts w:ascii="Arial" w:cs="Arial" w:eastAsia="Arial" w:hAnsi="Arial"/>
                <w:sz w:val="16"/>
                <w:szCs w:val="16"/>
                <w:color w:val="auto"/>
                <w:w w:val="91"/>
              </w:rPr>
              <w:t>The Nasdaq Stock Market LLC (Nasdaq Global Market)</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firstLine="3"/>
        <w:spacing w:after="0" w:line="236" w:lineRule="auto"/>
        <w:tabs>
          <w:tab w:leader="none" w:pos="11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registered pursuant to Section 12(g) of the Act: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287" w:lineRule="exact"/>
        <w:rPr>
          <w:sz w:val="20"/>
          <w:szCs w:val="20"/>
          <w:color w:val="auto"/>
        </w:rPr>
      </w:pPr>
    </w:p>
    <w:p>
      <w:pPr>
        <w:ind w:right="280"/>
        <w:spacing w:after="0" w:line="239" w:lineRule="exact"/>
        <w:rPr>
          <w:sz w:val="20"/>
          <w:szCs w:val="20"/>
          <w:color w:val="auto"/>
        </w:rPr>
      </w:pPr>
      <w:r>
        <w:rPr>
          <w:rFonts w:ascii="Arial" w:cs="Arial" w:eastAsia="Arial" w:hAnsi="Arial"/>
          <w:sz w:val="20"/>
          <w:szCs w:val="20"/>
          <w:color w:val="auto"/>
        </w:rPr>
        <w:t xml:space="preserve">Indicate by check mark if the Registrant is a well-known seasoned issuer, as defined in Rule 405 of the Securities Act. Yes </w:t>
      </w:r>
      <w:r>
        <w:rPr>
          <w:rFonts w:ascii="MS PGothic" w:cs="MS PGothic" w:eastAsia="MS PGothic" w:hAnsi="MS PGothic"/>
          <w:sz w:val="20"/>
          <w:szCs w:val="20"/>
          <w:b w:val="1"/>
          <w:bCs w:val="1"/>
          <w:color w:val="auto"/>
        </w:rPr>
        <w:t>☒</w:t>
      </w:r>
      <w:r>
        <w:rPr>
          <w:rFonts w:ascii="Arial" w:cs="Arial" w:eastAsia="Arial" w:hAnsi="Arial"/>
          <w:sz w:val="20"/>
          <w:szCs w:val="20"/>
          <w:color w:val="auto"/>
        </w:rPr>
        <w:t xml:space="preserve"> No </w:t>
      </w:r>
      <w:r>
        <w:rPr>
          <w:rFonts w:ascii="MS PGothic" w:cs="MS PGothic" w:eastAsia="MS PGothic" w:hAnsi="MS PGothic"/>
          <w:sz w:val="20"/>
          <w:szCs w:val="20"/>
          <w:b w:val="1"/>
          <w:bCs w:val="1"/>
          <w:color w:val="auto"/>
        </w:rPr>
        <w:t>☐</w:t>
      </w: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 Yes</w:t>
      </w:r>
    </w:p>
    <w:p>
      <w:pPr>
        <w:spacing w:after="0" w:line="17" w:lineRule="exact"/>
        <w:rPr>
          <w:sz w:val="20"/>
          <w:szCs w:val="20"/>
          <w:color w:val="auto"/>
        </w:rPr>
      </w:pPr>
    </w:p>
    <w:p>
      <w:pPr>
        <w:ind w:left="200" w:hanging="197"/>
        <w:spacing w:after="0" w:line="219" w:lineRule="exact"/>
        <w:tabs>
          <w:tab w:leader="none" w:pos="200" w:val="left"/>
        </w:tabs>
        <w:numPr>
          <w:ilvl w:val="0"/>
          <w:numId w:val="4"/>
        </w:numPr>
        <w:rPr>
          <w:rFonts w:ascii="MS PGothic" w:cs="MS PGothic" w:eastAsia="MS PGothic" w:hAnsi="MS PGothic"/>
          <w:sz w:val="19"/>
          <w:szCs w:val="19"/>
          <w:b w:val="1"/>
          <w:bCs w:val="1"/>
          <w:color w:val="auto"/>
        </w:rPr>
      </w:pPr>
      <w:r>
        <w:rPr>
          <w:rFonts w:ascii="Arial" w:cs="Arial" w:eastAsia="Arial" w:hAnsi="Arial"/>
          <w:sz w:val="19"/>
          <w:szCs w:val="19"/>
          <w:color w:val="auto"/>
        </w:rPr>
        <w:t xml:space="preserve">No </w:t>
      </w:r>
      <w:r>
        <w:rPr>
          <w:rFonts w:ascii="MS PGothic" w:cs="MS PGothic" w:eastAsia="MS PGothic" w:hAnsi="MS PGothic"/>
          <w:sz w:val="19"/>
          <w:szCs w:val="19"/>
          <w:b w:val="1"/>
          <w:bCs w:val="1"/>
          <w:color w:val="auto"/>
        </w:rPr>
        <w:t>☒</w:t>
      </w:r>
    </w:p>
    <w:p>
      <w:pPr>
        <w:spacing w:after="0" w:line="3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w:t>
      </w:r>
    </w:p>
    <w:p>
      <w:pPr>
        <w:spacing w:after="0" w:line="1" w:lineRule="exact"/>
        <w:rPr>
          <w:sz w:val="20"/>
          <w:szCs w:val="20"/>
          <w:color w:val="auto"/>
        </w:rPr>
      </w:pPr>
    </w:p>
    <w:p>
      <w:pPr>
        <w:ind w:right="240"/>
        <w:spacing w:after="0" w:line="246" w:lineRule="exact"/>
        <w:rPr>
          <w:sz w:val="20"/>
          <w:szCs w:val="20"/>
          <w:color w:val="auto"/>
        </w:rPr>
      </w:pPr>
      <w:r>
        <w:rPr>
          <w:rFonts w:ascii="Arial" w:cs="Arial" w:eastAsia="Arial" w:hAnsi="Arial"/>
          <w:sz w:val="20"/>
          <w:szCs w:val="20"/>
          <w:color w:val="auto"/>
        </w:rPr>
        <w:t xml:space="preserve">was required to file such reports), and (2) has been subject to such filing requirements for the past 90 days. Yes </w:t>
      </w:r>
      <w:r>
        <w:rPr>
          <w:rFonts w:ascii="MS PGothic" w:cs="MS PGothic" w:eastAsia="MS PGothic" w:hAnsi="MS PGothic"/>
          <w:sz w:val="20"/>
          <w:szCs w:val="20"/>
          <w:b w:val="1"/>
          <w:bCs w:val="1"/>
          <w:color w:val="auto"/>
        </w:rPr>
        <w:t>☒</w:t>
      </w:r>
      <w:r>
        <w:rPr>
          <w:rFonts w:ascii="Arial" w:cs="Arial" w:eastAsia="Arial" w:hAnsi="Arial"/>
          <w:sz w:val="20"/>
          <w:szCs w:val="20"/>
          <w:color w:val="auto"/>
        </w:rPr>
        <w:t xml:space="preserve"> No </w:t>
      </w:r>
      <w:r>
        <w:rPr>
          <w:rFonts w:ascii="MS PGothic" w:cs="MS PGothic" w:eastAsia="MS PGothic" w:hAnsi="MS PGothic"/>
          <w:sz w:val="20"/>
          <w:szCs w:val="20"/>
          <w:b w:val="1"/>
          <w:bCs w:val="1"/>
          <w:color w:val="auto"/>
        </w:rPr>
        <w:t>☐</w:t>
      </w:r>
    </w:p>
    <w:p>
      <w:pPr>
        <w:spacing w:after="0" w:line="2" w:lineRule="exact"/>
        <w:rPr>
          <w:sz w:val="20"/>
          <w:szCs w:val="20"/>
          <w:color w:val="auto"/>
        </w:rPr>
      </w:pPr>
    </w:p>
    <w:p>
      <w:pPr>
        <w:jc w:val="both"/>
        <w:ind w:right="40"/>
        <w:spacing w:after="0" w:line="239" w:lineRule="exact"/>
        <w:rPr>
          <w:sz w:val="20"/>
          <w:szCs w:val="20"/>
          <w:color w:val="auto"/>
        </w:rPr>
      </w:pPr>
      <w:r>
        <w:rPr>
          <w:rFonts w:ascii="Arial" w:cs="Arial" w:eastAsia="Arial" w:hAnsi="Arial"/>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b w:val="1"/>
          <w:bCs w:val="1"/>
          <w:color w:val="auto"/>
        </w:rPr>
        <w:t>☒</w:t>
      </w:r>
      <w:r>
        <w:rPr>
          <w:rFonts w:ascii="Arial" w:cs="Arial" w:eastAsia="Arial" w:hAnsi="Arial"/>
          <w:sz w:val="19"/>
          <w:szCs w:val="19"/>
          <w:color w:val="auto"/>
        </w:rPr>
        <w:t xml:space="preserve"> No </w:t>
      </w:r>
      <w:r>
        <w:rPr>
          <w:rFonts w:ascii="MS PGothic" w:cs="MS PGothic" w:eastAsia="MS PGothic" w:hAnsi="MS PGothic"/>
          <w:sz w:val="19"/>
          <w:szCs w:val="19"/>
          <w:b w:val="1"/>
          <w:bCs w:val="1"/>
          <w:color w:val="auto"/>
        </w:rPr>
        <w:t>☐</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9300"/>
          </w:cols>
          <w:pgMar w:left="1280" w:top="1195" w:right="1300" w:bottom="1440" w:gutter="0" w:footer="0" w:header="0"/>
        </w:sectPr>
      </w:pPr>
    </w:p>
    <w:bookmarkStart w:id="5" w:name="page6"/>
    <w:bookmarkEnd w:id="5"/>
    <w:tbl>
      <w:tblPr>
        <w:tblLayout w:type="fixed"/>
        <w:tblInd w:w="60" w:type="dxa"/>
        <w:tblCellMar>
          <w:top w:w="0" w:type="dxa"/>
          <w:left w:w="0" w:type="dxa"/>
          <w:bottom w:w="0" w:type="dxa"/>
          <w:right w:w="0" w:type="dxa"/>
        </w:tblCellMar>
      </w:tblPr>
      <w:tr>
        <w:trPr>
          <w:trHeight w:val="291"/>
        </w:trPr>
        <w:tc>
          <w:tcPr>
            <w:tcW w:w="2920" w:type="dxa"/>
            <w:vAlign w:val="bottom"/>
          </w:tcPr>
          <w:p>
            <w:pPr>
              <w:spacing w:after="0"/>
              <w:rPr>
                <w:sz w:val="20"/>
                <w:szCs w:val="20"/>
                <w:color w:val="auto"/>
              </w:rPr>
            </w:pPr>
            <w:r>
              <w:rPr>
                <w:rFonts w:ascii="Arial" w:cs="Arial" w:eastAsia="Arial" w:hAnsi="Arial"/>
                <w:sz w:val="20"/>
                <w:szCs w:val="20"/>
                <w:color w:val="auto"/>
              </w:rPr>
              <w:t>Large accelerated filer</w:t>
            </w:r>
          </w:p>
        </w:tc>
        <w:tc>
          <w:tcPr>
            <w:tcW w:w="1560" w:type="dxa"/>
            <w:vAlign w:val="bottom"/>
          </w:tcPr>
          <w:p>
            <w:pPr>
              <w:ind w:left="1120"/>
              <w:spacing w:after="0" w:line="201" w:lineRule="exact"/>
              <w:rPr>
                <w:sz w:val="20"/>
                <w:szCs w:val="20"/>
                <w:color w:val="auto"/>
              </w:rPr>
            </w:pPr>
            <w:r>
              <w:rPr>
                <w:rFonts w:ascii="MS PGothic" w:cs="MS PGothic" w:eastAsia="MS PGothic" w:hAnsi="MS PGothic"/>
                <w:sz w:val="20"/>
                <w:szCs w:val="20"/>
                <w:b w:val="1"/>
                <w:bCs w:val="1"/>
                <w:color w:val="auto"/>
              </w:rPr>
              <w:t>☒</w:t>
            </w:r>
          </w:p>
        </w:tc>
        <w:tc>
          <w:tcPr>
            <w:tcW w:w="3380" w:type="dxa"/>
            <w:vAlign w:val="bottom"/>
          </w:tcPr>
          <w:p>
            <w:pPr>
              <w:ind w:left="280"/>
              <w:spacing w:after="0"/>
              <w:rPr>
                <w:sz w:val="20"/>
                <w:szCs w:val="20"/>
                <w:color w:val="auto"/>
              </w:rPr>
            </w:pPr>
            <w:r>
              <w:rPr>
                <w:rFonts w:ascii="Arial" w:cs="Arial" w:eastAsia="Arial" w:hAnsi="Arial"/>
                <w:sz w:val="20"/>
                <w:szCs w:val="20"/>
                <w:color w:val="auto"/>
              </w:rPr>
              <w:t>Accelerated filer</w:t>
            </w:r>
          </w:p>
        </w:tc>
        <w:tc>
          <w:tcPr>
            <w:tcW w:w="1100" w:type="dxa"/>
            <w:vAlign w:val="bottom"/>
          </w:tcPr>
          <w:p>
            <w:pPr>
              <w:ind w:left="940"/>
              <w:spacing w:after="0" w:line="191" w:lineRule="exact"/>
              <w:rPr>
                <w:sz w:val="20"/>
                <w:szCs w:val="20"/>
                <w:color w:val="auto"/>
              </w:rPr>
            </w:pPr>
            <w:r>
              <w:rPr>
                <w:rFonts w:ascii="MS PGothic" w:cs="MS PGothic" w:eastAsia="MS PGothic" w:hAnsi="MS PGothic"/>
                <w:sz w:val="19"/>
                <w:szCs w:val="19"/>
                <w:b w:val="1"/>
                <w:bCs w:val="1"/>
                <w:color w:val="auto"/>
                <w:w w:val="73"/>
              </w:rPr>
              <w:t>☐</w:t>
            </w:r>
          </w:p>
        </w:tc>
      </w:tr>
      <w:tr>
        <w:trPr>
          <w:trHeight w:val="313"/>
        </w:trPr>
        <w:tc>
          <w:tcPr>
            <w:tcW w:w="2920" w:type="dxa"/>
            <w:vAlign w:val="bottom"/>
          </w:tcPr>
          <w:p>
            <w:pPr>
              <w:spacing w:after="0"/>
              <w:rPr>
                <w:sz w:val="20"/>
                <w:szCs w:val="20"/>
                <w:color w:val="auto"/>
              </w:rPr>
            </w:pPr>
            <w:r>
              <w:rPr>
                <w:rFonts w:ascii="Arial" w:cs="Arial" w:eastAsia="Arial" w:hAnsi="Arial"/>
                <w:sz w:val="20"/>
                <w:szCs w:val="20"/>
                <w:color w:val="auto"/>
              </w:rPr>
              <w:t>Non-accelerated filer</w:t>
            </w:r>
          </w:p>
        </w:tc>
        <w:tc>
          <w:tcPr>
            <w:tcW w:w="1560" w:type="dxa"/>
            <w:vAlign w:val="bottom"/>
          </w:tcPr>
          <w:p>
            <w:pPr>
              <w:ind w:left="1120"/>
              <w:spacing w:after="0" w:line="201" w:lineRule="exact"/>
              <w:rPr>
                <w:sz w:val="20"/>
                <w:szCs w:val="20"/>
                <w:color w:val="auto"/>
              </w:rPr>
            </w:pPr>
            <w:r>
              <w:rPr>
                <w:rFonts w:ascii="MS PGothic" w:cs="MS PGothic" w:eastAsia="MS PGothic" w:hAnsi="MS PGothic"/>
                <w:sz w:val="20"/>
                <w:szCs w:val="20"/>
                <w:b w:val="1"/>
                <w:bCs w:val="1"/>
                <w:color w:val="auto"/>
              </w:rPr>
              <w:t>☐</w:t>
            </w:r>
          </w:p>
        </w:tc>
        <w:tc>
          <w:tcPr>
            <w:tcW w:w="3380" w:type="dxa"/>
            <w:vAlign w:val="bottom"/>
          </w:tcPr>
          <w:p>
            <w:pPr>
              <w:ind w:left="280"/>
              <w:spacing w:after="0"/>
              <w:rPr>
                <w:sz w:val="20"/>
                <w:szCs w:val="20"/>
                <w:color w:val="auto"/>
              </w:rPr>
            </w:pPr>
            <w:r>
              <w:rPr>
                <w:rFonts w:ascii="Arial" w:cs="Arial" w:eastAsia="Arial" w:hAnsi="Arial"/>
                <w:sz w:val="20"/>
                <w:szCs w:val="20"/>
                <w:color w:val="auto"/>
              </w:rPr>
              <w:t>Small reporting company</w:t>
            </w:r>
          </w:p>
        </w:tc>
        <w:tc>
          <w:tcPr>
            <w:tcW w:w="1100" w:type="dxa"/>
            <w:vAlign w:val="bottom"/>
          </w:tcPr>
          <w:p>
            <w:pPr>
              <w:ind w:left="940"/>
              <w:spacing w:after="0" w:line="191" w:lineRule="exact"/>
              <w:rPr>
                <w:sz w:val="20"/>
                <w:szCs w:val="20"/>
                <w:color w:val="auto"/>
              </w:rPr>
            </w:pPr>
            <w:r>
              <w:rPr>
                <w:rFonts w:ascii="MS PGothic" w:cs="MS PGothic" w:eastAsia="MS PGothic" w:hAnsi="MS PGothic"/>
                <w:sz w:val="19"/>
                <w:szCs w:val="19"/>
                <w:b w:val="1"/>
                <w:bCs w:val="1"/>
                <w:color w:val="auto"/>
                <w:w w:val="73"/>
              </w:rPr>
              <w:t>☒</w:t>
            </w:r>
          </w:p>
        </w:tc>
      </w:tr>
      <w:tr>
        <w:trPr>
          <w:trHeight w:val="313"/>
        </w:trPr>
        <w:tc>
          <w:tcPr>
            <w:tcW w:w="2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380" w:type="dxa"/>
            <w:vAlign w:val="bottom"/>
          </w:tcPr>
          <w:p>
            <w:pPr>
              <w:ind w:left="280"/>
              <w:spacing w:after="0"/>
              <w:rPr>
                <w:sz w:val="20"/>
                <w:szCs w:val="20"/>
                <w:color w:val="auto"/>
              </w:rPr>
            </w:pPr>
            <w:r>
              <w:rPr>
                <w:rFonts w:ascii="Arial" w:cs="Arial" w:eastAsia="Arial" w:hAnsi="Arial"/>
                <w:sz w:val="20"/>
                <w:szCs w:val="20"/>
                <w:color w:val="auto"/>
              </w:rPr>
              <w:t>Emerging growth company</w:t>
            </w:r>
          </w:p>
        </w:tc>
        <w:tc>
          <w:tcPr>
            <w:tcW w:w="1100" w:type="dxa"/>
            <w:vAlign w:val="bottom"/>
          </w:tcPr>
          <w:p>
            <w:pPr>
              <w:ind w:left="940"/>
              <w:spacing w:after="0" w:line="191" w:lineRule="exact"/>
              <w:rPr>
                <w:sz w:val="20"/>
                <w:szCs w:val="20"/>
                <w:color w:val="auto"/>
              </w:rPr>
            </w:pPr>
            <w:r>
              <w:rPr>
                <w:rFonts w:ascii="MS PGothic" w:cs="MS PGothic" w:eastAsia="MS PGothic" w:hAnsi="MS PGothic"/>
                <w:sz w:val="19"/>
                <w:szCs w:val="19"/>
                <w:b w:val="1"/>
                <w:bCs w:val="1"/>
                <w:color w:val="auto"/>
                <w:w w:val="73"/>
              </w:rPr>
              <w:t>☐</w:t>
            </w:r>
          </w:p>
        </w:tc>
      </w:tr>
    </w:tbl>
    <w:p>
      <w:pPr>
        <w:spacing w:after="0" w:line="153" w:lineRule="exact"/>
        <w:rPr>
          <w:sz w:val="20"/>
          <w:szCs w:val="20"/>
          <w:color w:val="auto"/>
        </w:rPr>
      </w:pPr>
    </w:p>
    <w:p>
      <w:pPr>
        <w:jc w:val="both"/>
        <w:spacing w:after="0" w:line="252" w:lineRule="exact"/>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b w:val="1"/>
          <w:bCs w:val="1"/>
          <w:color w:val="auto"/>
        </w:rPr>
        <w:t>☐</w:t>
      </w:r>
    </w:p>
    <w:p>
      <w:pPr>
        <w:spacing w:after="0" w:line="83" w:lineRule="exact"/>
        <w:rPr>
          <w:sz w:val="20"/>
          <w:szCs w:val="20"/>
          <w:color w:val="auto"/>
        </w:rPr>
      </w:pPr>
    </w:p>
    <w:p>
      <w:pPr>
        <w:jc w:val="both"/>
        <w:ind w:right="40"/>
        <w:spacing w:after="0" w:line="251"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b w:val="1"/>
          <w:bCs w:val="1"/>
          <w:color w:val="auto"/>
        </w:rPr>
        <w:t>☒</w:t>
      </w:r>
    </w:p>
    <w:p>
      <w:pPr>
        <w:spacing w:after="0" w:line="83" w:lineRule="exact"/>
        <w:rPr>
          <w:sz w:val="20"/>
          <w:szCs w:val="20"/>
          <w:color w:val="auto"/>
        </w:rPr>
      </w:pPr>
    </w:p>
    <w:p>
      <w:pPr>
        <w:jc w:val="both"/>
        <w:spacing w:after="0" w:line="238" w:lineRule="exact"/>
        <w:rPr>
          <w:sz w:val="20"/>
          <w:szCs w:val="20"/>
          <w:color w:val="auto"/>
        </w:rPr>
      </w:pPr>
      <w:r>
        <w:rPr>
          <w:rFonts w:ascii="Arial" w:cs="Arial" w:eastAsia="Arial" w:hAnsi="Arial"/>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0"/>
          <w:szCs w:val="20"/>
          <w:b w:val="1"/>
          <w:bCs w:val="1"/>
          <w:color w:val="auto"/>
        </w:rPr>
        <w:t>☐</w:t>
      </w:r>
    </w:p>
    <w:p>
      <w:pPr>
        <w:spacing w:after="0" w:line="63" w:lineRule="exact"/>
        <w:rPr>
          <w:sz w:val="20"/>
          <w:szCs w:val="20"/>
          <w:color w:val="auto"/>
        </w:rPr>
      </w:pPr>
    </w:p>
    <w:p>
      <w:pPr>
        <w:jc w:val="both"/>
        <w:spacing w:after="0" w:line="238" w:lineRule="exact"/>
        <w:rPr>
          <w:sz w:val="20"/>
          <w:szCs w:val="20"/>
          <w:color w:val="auto"/>
        </w:rPr>
      </w:pPr>
      <w:r>
        <w:rPr>
          <w:rFonts w:ascii="Arial" w:cs="Arial" w:eastAsia="Arial" w:hAnsi="Arial"/>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20"/>
          <w:szCs w:val="20"/>
          <w:b w:val="1"/>
          <w:bCs w:val="1"/>
          <w:color w:val="auto"/>
        </w:rPr>
        <w:t>☐</w:t>
      </w:r>
    </w:p>
    <w:p>
      <w:pPr>
        <w:spacing w:after="0" w:line="63" w:lineRule="exact"/>
        <w:rPr>
          <w:sz w:val="20"/>
          <w:szCs w:val="20"/>
          <w:color w:val="auto"/>
        </w:rPr>
      </w:pPr>
    </w:p>
    <w:p>
      <w:pPr>
        <w:ind w:right="280"/>
        <w:spacing w:after="0" w:line="257" w:lineRule="exact"/>
        <w:rPr>
          <w:sz w:val="20"/>
          <w:szCs w:val="20"/>
          <w:color w:val="auto"/>
        </w:rPr>
      </w:pPr>
      <w:r>
        <w:rPr>
          <w:rFonts w:ascii="Arial" w:cs="Arial" w:eastAsia="Arial" w:hAnsi="Arial"/>
          <w:sz w:val="20"/>
          <w:szCs w:val="20"/>
          <w:color w:val="auto"/>
        </w:rPr>
        <w:t xml:space="preserve">Indicate by check mark whether the registrant is a shell company (as defined in Rule 12b-2 of the Exchange Act). Yes </w:t>
      </w:r>
      <w:r>
        <w:rPr>
          <w:rFonts w:ascii="MS PGothic" w:cs="MS PGothic" w:eastAsia="MS PGothic" w:hAnsi="MS PGothic"/>
          <w:sz w:val="20"/>
          <w:szCs w:val="20"/>
          <w:b w:val="1"/>
          <w:bCs w:val="1"/>
          <w:color w:val="auto"/>
        </w:rPr>
        <w:t>☐</w:t>
      </w:r>
      <w:r>
        <w:rPr>
          <w:rFonts w:ascii="Arial" w:cs="Arial" w:eastAsia="Arial" w:hAnsi="Arial"/>
          <w:sz w:val="20"/>
          <w:szCs w:val="20"/>
          <w:color w:val="auto"/>
        </w:rPr>
        <w:t xml:space="preserve"> No </w:t>
      </w:r>
      <w:r>
        <w:rPr>
          <w:rFonts w:ascii="MS PGothic" w:cs="MS PGothic" w:eastAsia="MS PGothic" w:hAnsi="MS PGothic"/>
          <w:sz w:val="20"/>
          <w:szCs w:val="20"/>
          <w:b w:val="1"/>
          <w:bCs w:val="1"/>
          <w:color w:val="auto"/>
        </w:rPr>
        <w:t>☒</w:t>
      </w:r>
    </w:p>
    <w:p>
      <w:pPr>
        <w:spacing w:after="0" w:line="8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aggregate market value of the registrant's voting and non-voting common equity held by non-affiliates was approximately $1.5 billion as of June 30, 2023, the last business day of the registrant's most recently completed second fiscal quarter. Solely for purposes of this disclosure, shares held by executive officers, directors and certain shareholders of the registrant as of such date have been excluded because such persons or entities may be deemed to be affiliates of the registrant.</w:t>
      </w:r>
    </w:p>
    <w:p>
      <w:pPr>
        <w:spacing w:after="0" w:line="7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of February 23, 2024, the registrant had 646,524,958 ordinary shares, nominal value £0.05 per share, outstanding, which if all held in ADS form, would be represented by 80,815,620 American Depositary Shares, each representing eight (8) ordinary shares.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DOCUMENTS INCORPORATED BY REFERENCE</w:t>
      </w:r>
    </w:p>
    <w:p>
      <w:pPr>
        <w:spacing w:after="0" w:line="135" w:lineRule="exact"/>
        <w:rPr>
          <w:sz w:val="20"/>
          <w:szCs w:val="20"/>
          <w:color w:val="auto"/>
        </w:rPr>
      </w:pPr>
    </w:p>
    <w:p>
      <w:pPr>
        <w:ind w:right="400"/>
        <w:spacing w:after="0" w:line="259" w:lineRule="auto"/>
        <w:rPr>
          <w:sz w:val="20"/>
          <w:szCs w:val="20"/>
          <w:color w:val="auto"/>
        </w:rPr>
      </w:pPr>
      <w:r>
        <w:rPr>
          <w:rFonts w:ascii="Arial" w:cs="Arial" w:eastAsia="Arial" w:hAnsi="Arial"/>
          <w:sz w:val="20"/>
          <w:szCs w:val="20"/>
          <w:color w:val="auto"/>
        </w:rPr>
        <w:t>Portions of the registrant’s definitive proxy statement that the registrant intends to file with the Securities and Exchange Commission pursuant to Regulation 14A in connection with the registrant’s 2024 Annual Meeting of Shareholders are incorporated by reference into Part III of this Annual Report on Form 10-K to the extent stated herein.</w:t>
      </w:r>
    </w:p>
    <w:p>
      <w:pPr>
        <w:sectPr>
          <w:pgSz w:w="11880" w:h="15480" w:orient="portrait"/>
          <w:cols w:equalWidth="0" w:num="1">
            <w:col w:w="9320"/>
          </w:cols>
          <w:pgMar w:left="1280" w:top="1318" w:right="1280"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GENERAL INFORMATION</w:t>
      </w: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All references in this Annual Report on Form 10-K (the “Annual Report”), to “Verona,” the “company,” the "group", “we,” “us” and “our” refer to Verona Pharma plc and its consolidated subsidiaries. In this Annual Report, the U.S. Securities and Exchange Commission is referred to as the “SEC”, the Securities Act of 1933, as amended, is referred to as the “Securities Act” and the Securities Exchange Act of 1934, as amended, is referred to as the “Exchange Act.”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TRADEMARKS, TRADENAMES AND SERVICE MARKS</w:t>
      </w: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Annual Report may include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This Annual Report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Annual Report, including without limitation statements regarding our future results of operations and financial position, business strategy and plans and objectives of management for future operations, the development of ensifentrine or any other product candidates, including statements regarding the expected initiation, timing, progress and availability of data from our clinical trials and potential regulatory approvals and the expected regulations applicable to ensifentrine, research and development costs, timing and likelihood of success, potential collaborations, the duration of our patent portfolio, our estimates regarding expenses, future revenues, capital requirements, debt service obligations and our need for additional financing, the funding we expect to become available under the 2023 Term Loan and from cash receipts from U.K. tax credits, and the sufficiency of our cash and cash equivalents to fund operations, are forward-looking statements.</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forward-looking statements in this Annual Report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known and unknown risks, uncertainties and assumptions, including the important factors described under the sections in this Annual Report entitled “Risk Factors” and “Management’s Discussion and Analysis of Financial Condition and Results of Operations” and in our other filings with the SEC.</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Except as required by applicable law, we do not plan to publicly update or revise any forward-looking statements contained herein, whether as a result of any new information, future events, changed circumstances or otherwise. We intend the forward-looking statements contained in this Annual Report to be covered by the safe harbor provisions for forward-looking statements contained in Section 27A of the Securities Act and Section 21E of the Exchange Act.</w:t>
      </w:r>
    </w:p>
    <w:p>
      <w:pPr>
        <w:spacing w:after="0" w:line="6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Annual Report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Annual Report is generally reliable, such information is inherently imprecise.</w:t>
      </w:r>
    </w:p>
    <w:p>
      <w:pPr>
        <w:sectPr>
          <w:pgSz w:w="11880" w:h="15480" w:orient="portrait"/>
          <w:cols w:equalWidth="0" w:num="1">
            <w:col w:w="9320"/>
          </w:cols>
          <w:pgMar w:left="1280" w:top="1222" w:right="1280"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SUMMARY RISK FACTORS</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Our business is subject to numerous risks and uncertainties, including those described in Part I, Item 1A. “Risk</w:t>
      </w:r>
    </w:p>
    <w:p>
      <w:pPr>
        <w:spacing w:after="0"/>
        <w:rPr>
          <w:sz w:val="20"/>
          <w:szCs w:val="20"/>
          <w:color w:val="auto"/>
        </w:rPr>
      </w:pPr>
      <w:r>
        <w:rPr>
          <w:rFonts w:ascii="Arial" w:cs="Arial" w:eastAsia="Arial" w:hAnsi="Arial"/>
          <w:sz w:val="18"/>
          <w:szCs w:val="18"/>
          <w:color w:val="auto"/>
        </w:rPr>
        <w:t>Factors” in this Annual Report. You should carefully consider these risks and uncertainties when investing in our</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ADSs. The principal risks and uncertainties affecting our business include the following:</w:t>
      </w:r>
    </w:p>
    <w:p>
      <w:pPr>
        <w:spacing w:after="0" w:line="108" w:lineRule="exact"/>
        <w:rPr>
          <w:sz w:val="20"/>
          <w:szCs w:val="20"/>
          <w:color w:val="auto"/>
        </w:rPr>
      </w:pPr>
    </w:p>
    <w:p>
      <w:pPr>
        <w:ind w:left="360" w:hanging="357"/>
        <w:spacing w:after="0"/>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have a limited operating history and have never generated any product revenue;</w:t>
      </w:r>
    </w:p>
    <w:p>
      <w:pPr>
        <w:spacing w:after="0" w:line="10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may need additional funding to complete development of and commercialize ensifentrine and any future product candidates, if approved, or develop and commercialize other formulations or target indications of ensifentrine, if approved;</w:t>
      </w:r>
    </w:p>
    <w:p>
      <w:pPr>
        <w:spacing w:after="0" w:line="74"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advances under the $400.0 million 2023 Term Loan are contingent upon achievement of certain clinical and regulatory milestones and other specified conditions. If we fail to meet those conditions, we will need to find alternative sources of funding;</w:t>
      </w:r>
    </w:p>
    <w:p>
      <w:pPr>
        <w:spacing w:after="0" w:line="74"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74" w:lineRule="exact"/>
        <w:rPr>
          <w:rFonts w:ascii="Arial" w:cs="Arial" w:eastAsia="Arial" w:hAnsi="Arial"/>
          <w:sz w:val="20"/>
          <w:szCs w:val="20"/>
          <w:color w:val="auto"/>
        </w:rPr>
      </w:pPr>
    </w:p>
    <w:p>
      <w:pPr>
        <w:ind w:left="360" w:hanging="357"/>
        <w:spacing w:after="0"/>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depend solely on the success of ensifentrine, our only product candidate under development;</w:t>
      </w:r>
    </w:p>
    <w:p>
      <w:pPr>
        <w:spacing w:after="0" w:line="10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may incur additional costs or experience delays in completing, or ultimately be unable to complete, the development and commercialization of our product candidates;</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Ensifentrine may have serious adverse, undesirable or unacceptable side effects which may delay or prevent marketing approval;</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we are unable to enroll patients in our clinical trials for other indications, or enrollment is slower than anticipated, our research and development efforts could be adversely affected;</w:t>
      </w:r>
    </w:p>
    <w:p>
      <w:pPr>
        <w:spacing w:after="0" w:line="58" w:lineRule="exact"/>
        <w:rPr>
          <w:rFonts w:ascii="Arial" w:cs="Arial" w:eastAsia="Arial" w:hAnsi="Arial"/>
          <w:sz w:val="20"/>
          <w:szCs w:val="20"/>
          <w:color w:val="auto"/>
        </w:rPr>
      </w:pPr>
    </w:p>
    <w:p>
      <w:pPr>
        <w:ind w:left="360" w:hanging="357"/>
        <w:spacing w:after="0" w:line="315"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become exposed to costly and damaging liability claims, either when testing ensifentrine in the clinic or at the commercial stage, and our product liability insurance may not cover all damages from such claims;</w:t>
      </w:r>
    </w:p>
    <w:p>
      <w:pPr>
        <w:spacing w:after="0" w:line="13" w:lineRule="exact"/>
        <w:rPr>
          <w:rFonts w:ascii="Arial" w:cs="Arial" w:eastAsia="Arial" w:hAnsi="Arial"/>
          <w:sz w:val="18"/>
          <w:szCs w:val="18"/>
          <w:color w:val="auto"/>
        </w:rPr>
      </w:pPr>
    </w:p>
    <w:p>
      <w:pPr>
        <w:ind w:left="360" w:hanging="357"/>
        <w:spacing w:after="0" w:line="286" w:lineRule="auto"/>
        <w:tabs>
          <w:tab w:leader="none" w:pos="360" w:val="left"/>
        </w:tabs>
        <w:numPr>
          <w:ilvl w:val="0"/>
          <w:numId w:val="5"/>
        </w:numPr>
        <w:rPr>
          <w:rFonts w:ascii="Arial" w:cs="Arial" w:eastAsia="Arial" w:hAnsi="Arial"/>
          <w:sz w:val="19"/>
          <w:szCs w:val="19"/>
          <w:color w:val="auto"/>
        </w:rPr>
      </w:pPr>
      <w:r>
        <w:rPr>
          <w:rFonts w:ascii="Arial" w:cs="Arial" w:eastAsia="Arial" w:hAnsi="Arial"/>
          <w:sz w:val="19"/>
          <w:szCs w:val="19"/>
          <w:color w:val="auto"/>
        </w:rPr>
        <w:t>Regulatory approval processes are lengthy, time consuming and inherently unpredictable, and if we are ultimately unable to obtain regulatory approval for ensifentrine, our business will be substantially harmed;</w:t>
      </w:r>
    </w:p>
    <w:p>
      <w:pPr>
        <w:spacing w:after="0" w:line="36" w:lineRule="exact"/>
        <w:rPr>
          <w:rFonts w:ascii="Arial" w:cs="Arial" w:eastAsia="Arial" w:hAnsi="Arial"/>
          <w:sz w:val="19"/>
          <w:szCs w:val="19"/>
          <w:color w:val="auto"/>
        </w:rPr>
      </w:pPr>
    </w:p>
    <w:p>
      <w:pPr>
        <w:ind w:left="360" w:hanging="357"/>
        <w:spacing w:after="0" w:line="260"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Enacted and future legislation may increase the difficulty and cost for us to obtain marketing approval of and commercialize ensifentrine and may affect the prices we may set;</w:t>
      </w:r>
    </w:p>
    <w:p>
      <w:pPr>
        <w:spacing w:after="0" w:line="5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74" w:lineRule="exact"/>
        <w:rPr>
          <w:rFonts w:ascii="Arial" w:cs="Arial" w:eastAsia="Arial" w:hAnsi="Arial"/>
          <w:sz w:val="20"/>
          <w:szCs w:val="20"/>
          <w:color w:val="auto"/>
        </w:rPr>
      </w:pPr>
    </w:p>
    <w:p>
      <w:pPr>
        <w:ind w:left="360" w:hanging="357"/>
        <w:spacing w:after="0" w:line="286" w:lineRule="auto"/>
        <w:tabs>
          <w:tab w:leader="none" w:pos="360" w:val="left"/>
        </w:tabs>
        <w:numPr>
          <w:ilvl w:val="0"/>
          <w:numId w:val="5"/>
        </w:numPr>
        <w:rPr>
          <w:rFonts w:ascii="Arial" w:cs="Arial" w:eastAsia="Arial" w:hAnsi="Arial"/>
          <w:sz w:val="19"/>
          <w:szCs w:val="19"/>
          <w:color w:val="auto"/>
        </w:rPr>
      </w:pPr>
      <w:r>
        <w:rPr>
          <w:rFonts w:ascii="Arial" w:cs="Arial" w:eastAsia="Arial" w:hAnsi="Arial"/>
          <w:sz w:val="19"/>
          <w:szCs w:val="19"/>
          <w:color w:val="auto"/>
        </w:rPr>
        <w:t>We operate in a highly competitive and rapidly changing industry, which may result in others discovering, developing or commercializing competing products before or more successfully than we do;</w:t>
      </w:r>
    </w:p>
    <w:p>
      <w:pPr>
        <w:spacing w:after="0" w:line="36" w:lineRule="exact"/>
        <w:rPr>
          <w:rFonts w:ascii="Arial" w:cs="Arial" w:eastAsia="Arial" w:hAnsi="Arial"/>
          <w:sz w:val="19"/>
          <w:szCs w:val="19"/>
          <w:color w:val="auto"/>
        </w:rPr>
      </w:pPr>
    </w:p>
    <w:p>
      <w:pPr>
        <w:ind w:left="360" w:hanging="357"/>
        <w:spacing w:after="0" w:line="260"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rely, and expect to continue to rely, on third parties, including independent clinical investigators and clinical research organizations, to conduct our pre-clinical studies and clinical trials;</w:t>
      </w:r>
    </w:p>
    <w:p>
      <w:pPr>
        <w:spacing w:after="0" w:line="58" w:lineRule="exact"/>
        <w:rPr>
          <w:rFonts w:ascii="Arial" w:cs="Arial" w:eastAsia="Arial" w:hAnsi="Arial"/>
          <w:sz w:val="20"/>
          <w:szCs w:val="20"/>
          <w:color w:val="auto"/>
        </w:rPr>
      </w:pPr>
    </w:p>
    <w:p>
      <w:pPr>
        <w:jc w:val="both"/>
        <w:ind w:left="360" w:hanging="357"/>
        <w:spacing w:after="0" w:line="239"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7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If we fail to enter into new strategic relationships for ensifentrine, our business, research and development and commercialization prospects could be adversely affected;</w:t>
      </w:r>
    </w:p>
    <w:p>
      <w:pPr>
        <w:spacing w:after="0" w:line="58" w:lineRule="exact"/>
        <w:rPr>
          <w:rFonts w:ascii="Arial" w:cs="Arial" w:eastAsia="Arial" w:hAnsi="Arial"/>
          <w:sz w:val="20"/>
          <w:szCs w:val="20"/>
          <w:color w:val="auto"/>
        </w:rPr>
      </w:pPr>
    </w:p>
    <w:p>
      <w:pPr>
        <w:jc w:val="both"/>
        <w:ind w:left="360" w:hanging="357"/>
        <w:spacing w:after="0" w:line="239"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rely, and expect to continue to rely, on third party manufacturers and suppliers for production of the active pharmaceutical ingredient ensifentrine and formulated drug products derived therefrom. Our dependence on these third parties may impair the advancement of our research and development programs and the development of ensifentrine;</w:t>
      </w:r>
    </w:p>
    <w:p>
      <w:pPr>
        <w:spacing w:after="0" w:line="7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 rely, and expect to continue to rely, on third parties for the sales, marketing, reimbursement and distribution of our drug products, and a failure by these third parties to adequately perform would adversely affect our business;</w:t>
      </w:r>
    </w:p>
    <w:p>
      <w:pPr>
        <w:sectPr>
          <w:pgSz w:w="11880" w:h="15480" w:orient="portrait"/>
          <w:cols w:equalWidth="0" w:num="1">
            <w:col w:w="9320"/>
          </w:cols>
          <w:pgMar w:left="1280" w:top="1222" w:right="1280" w:bottom="965" w:gutter="0" w:footer="0" w:header="0"/>
        </w:sectPr>
      </w:pPr>
    </w:p>
    <w:bookmarkStart w:id="8" w:name="page9"/>
    <w:bookmarkEnd w:id="8"/>
    <w:p>
      <w:pPr>
        <w:ind w:left="357" w:hanging="357"/>
        <w:spacing w:after="0" w:line="315" w:lineRule="auto"/>
        <w:tabs>
          <w:tab w:leader="none" w:pos="357"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and our manufacturers’, suppliers’ and other critical third parties’ cybersecurity risk management program and processes may not be effective in protecting our systems, networks and Confidential Information;</w:t>
      </w:r>
    </w:p>
    <w:p>
      <w:pPr>
        <w:spacing w:after="0" w:line="13" w:lineRule="exact"/>
        <w:rPr>
          <w:rFonts w:ascii="Arial" w:cs="Arial" w:eastAsia="Arial" w:hAnsi="Arial"/>
          <w:sz w:val="18"/>
          <w:szCs w:val="18"/>
          <w:color w:val="auto"/>
        </w:rPr>
      </w:pPr>
    </w:p>
    <w:p>
      <w:pPr>
        <w:ind w:left="357" w:hanging="357"/>
        <w:spacing w:after="0" w:line="260" w:lineRule="auto"/>
        <w:tabs>
          <w:tab w:leader="none" w:pos="357"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rely on patents and other intellectual property rights to protect ensifentrine, the enforcement, defense and maintenance of which may be challenging and costly;</w:t>
      </w:r>
    </w:p>
    <w:p>
      <w:pPr>
        <w:spacing w:after="0" w:line="58" w:lineRule="exact"/>
        <w:rPr>
          <w:rFonts w:ascii="Arial" w:cs="Arial" w:eastAsia="Arial" w:hAnsi="Arial"/>
          <w:sz w:val="20"/>
          <w:szCs w:val="20"/>
          <w:color w:val="auto"/>
        </w:rPr>
      </w:pPr>
    </w:p>
    <w:p>
      <w:pPr>
        <w:jc w:val="both"/>
        <w:ind w:left="357" w:hanging="357"/>
        <w:spacing w:after="0" w:line="315" w:lineRule="auto"/>
        <w:tabs>
          <w:tab w:leader="none" w:pos="357"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identify relevant third-party patents or may incorrectly interpret the relevance, scope or expiration of a third-party patent which might adversely affect our ability to develop, manufacture and market ensifentrine;</w:t>
      </w:r>
    </w:p>
    <w:p>
      <w:pPr>
        <w:spacing w:after="0" w:line="13" w:lineRule="exact"/>
        <w:rPr>
          <w:rFonts w:ascii="Arial" w:cs="Arial" w:eastAsia="Arial" w:hAnsi="Arial"/>
          <w:sz w:val="18"/>
          <w:szCs w:val="18"/>
          <w:color w:val="auto"/>
        </w:rPr>
      </w:pPr>
    </w:p>
    <w:p>
      <w:pPr>
        <w:jc w:val="both"/>
        <w:ind w:left="357" w:hanging="357"/>
        <w:spacing w:after="0" w:line="244" w:lineRule="auto"/>
        <w:tabs>
          <w:tab w:leader="none" w:pos="357"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may be involved in lawsuits to protect or enforce patents covering ensifentrine, which could be expensive, time consuming and unsuccessful, and issued patents could be found invalid or unenforceable if challenged in court;</w:t>
      </w:r>
    </w:p>
    <w:p>
      <w:pPr>
        <w:spacing w:after="0" w:line="74" w:lineRule="exact"/>
        <w:rPr>
          <w:rFonts w:ascii="Arial" w:cs="Arial" w:eastAsia="Arial" w:hAnsi="Arial"/>
          <w:sz w:val="20"/>
          <w:szCs w:val="20"/>
          <w:color w:val="auto"/>
        </w:rPr>
      </w:pPr>
    </w:p>
    <w:p>
      <w:pPr>
        <w:ind w:left="357" w:hanging="357"/>
        <w:spacing w:after="0" w:line="260" w:lineRule="auto"/>
        <w:tabs>
          <w:tab w:leader="none" w:pos="357"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future growth and ability to compete depends on our ability to retain our key personnel and recruit additional qualified personnel;</w:t>
      </w:r>
    </w:p>
    <w:p>
      <w:pPr>
        <w:spacing w:after="0" w:line="58" w:lineRule="exact"/>
        <w:rPr>
          <w:rFonts w:ascii="Arial" w:cs="Arial" w:eastAsia="Arial" w:hAnsi="Arial"/>
          <w:sz w:val="20"/>
          <w:szCs w:val="20"/>
          <w:color w:val="auto"/>
        </w:rPr>
      </w:pPr>
    </w:p>
    <w:p>
      <w:pPr>
        <w:ind w:left="357" w:hanging="357"/>
        <w:spacing w:after="0" w:line="260" w:lineRule="auto"/>
        <w:tabs>
          <w:tab w:leader="none" w:pos="357"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expect to expand our development, regulatory and sales and marketing capabilities, and as a result, we may encounter difficulties in managing our growth, which could disrupt our operations;</w:t>
      </w:r>
    </w:p>
    <w:p>
      <w:pPr>
        <w:spacing w:after="0" w:line="58" w:lineRule="exact"/>
        <w:rPr>
          <w:rFonts w:ascii="Arial" w:cs="Arial" w:eastAsia="Arial" w:hAnsi="Arial"/>
          <w:sz w:val="20"/>
          <w:szCs w:val="20"/>
          <w:color w:val="auto"/>
        </w:rPr>
      </w:pPr>
    </w:p>
    <w:p>
      <w:pPr>
        <w:ind w:left="357" w:hanging="357"/>
        <w:spacing w:after="0" w:line="260" w:lineRule="auto"/>
        <w:tabs>
          <w:tab w:leader="none" w:pos="357"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price of our American Depositary Shares may be volatile and may fluctuate due to factors beyond our control; and</w:t>
      </w:r>
    </w:p>
    <w:p>
      <w:pPr>
        <w:spacing w:after="0" w:line="58" w:lineRule="exact"/>
        <w:rPr>
          <w:rFonts w:ascii="Arial" w:cs="Arial" w:eastAsia="Arial" w:hAnsi="Arial"/>
          <w:sz w:val="20"/>
          <w:szCs w:val="20"/>
          <w:color w:val="auto"/>
        </w:rPr>
      </w:pPr>
    </w:p>
    <w:p>
      <w:pPr>
        <w:jc w:val="both"/>
        <w:ind w:left="357" w:hanging="357"/>
        <w:spacing w:after="0" w:line="244" w:lineRule="auto"/>
        <w:tabs>
          <w:tab w:leader="none" w:pos="357"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will continue to incur increased costs as a result of operating as a public company in the United States, and our senior management are required to devote substantial time to new compliance initiatives and corporate governance practices.</w:t>
      </w:r>
    </w:p>
    <w:p>
      <w:pPr>
        <w:sectPr>
          <w:pgSz w:w="11880" w:h="15480" w:orient="portrait"/>
          <w:cols w:equalWidth="0" w:num="1">
            <w:col w:w="9317"/>
          </w:cols>
          <w:pgMar w:left="1283" w:top="1229" w:right="128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84"/>
        </w:trPr>
        <w:tc>
          <w:tcPr>
            <w:tcW w:w="1060" w:type="dxa"/>
            <w:vAlign w:val="bottom"/>
            <w:shd w:val="clear" w:color="auto" w:fill="E6E6E6"/>
          </w:tcPr>
          <w:p>
            <w:pPr>
              <w:spacing w:after="0"/>
              <w:rPr>
                <w:sz w:val="24"/>
                <w:szCs w:val="24"/>
                <w:color w:val="auto"/>
              </w:rPr>
            </w:pPr>
          </w:p>
        </w:tc>
        <w:tc>
          <w:tcPr>
            <w:tcW w:w="7360" w:type="dxa"/>
            <w:vAlign w:val="bottom"/>
            <w:shd w:val="clear" w:color="auto" w:fill="E6E6E6"/>
          </w:tcPr>
          <w:p>
            <w:pPr>
              <w:ind w:left="2880"/>
              <w:spacing w:after="0"/>
              <w:rPr>
                <w:sz w:val="20"/>
                <w:szCs w:val="20"/>
                <w:color w:val="auto"/>
              </w:rPr>
            </w:pPr>
            <w:r>
              <w:rPr>
                <w:rFonts w:ascii="Arial" w:cs="Arial" w:eastAsia="Arial" w:hAnsi="Arial"/>
                <w:sz w:val="20"/>
                <w:szCs w:val="20"/>
                <w:color w:val="auto"/>
              </w:rPr>
              <w:t>Table of Contents</w:t>
            </w:r>
          </w:p>
        </w:tc>
        <w:tc>
          <w:tcPr>
            <w:tcW w:w="8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060" w:type="dxa"/>
            <w:vAlign w:val="bottom"/>
            <w:tcBorders>
              <w:bottom w:val="single" w:sz="8" w:color="E6E6E6"/>
            </w:tcBorders>
          </w:tcPr>
          <w:p>
            <w:pPr>
              <w:spacing w:after="0"/>
              <w:rPr>
                <w:sz w:val="23"/>
                <w:szCs w:val="23"/>
                <w:color w:val="auto"/>
              </w:rPr>
            </w:pPr>
          </w:p>
        </w:tc>
        <w:tc>
          <w:tcPr>
            <w:tcW w:w="7360" w:type="dxa"/>
            <w:vAlign w:val="bottom"/>
            <w:tcBorders>
              <w:bottom w:val="single" w:sz="8" w:color="E6E6E6"/>
            </w:tcBorders>
          </w:tcPr>
          <w:p>
            <w:pPr>
              <w:spacing w:after="0"/>
              <w:rPr>
                <w:sz w:val="23"/>
                <w:szCs w:val="23"/>
                <w:color w:val="auto"/>
              </w:rPr>
            </w:pPr>
          </w:p>
        </w:tc>
        <w:tc>
          <w:tcPr>
            <w:tcW w:w="900" w:type="dxa"/>
            <w:vAlign w:val="bottom"/>
            <w:tcBorders>
              <w:bottom w:val="single" w:sz="8" w:color="auto"/>
            </w:tcBorders>
            <w:gridSpan w:val="2"/>
          </w:tcPr>
          <w:p>
            <w:pPr>
              <w:ind w:left="260"/>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274"/>
        </w:trPr>
        <w:tc>
          <w:tcPr>
            <w:tcW w:w="1060" w:type="dxa"/>
            <w:vAlign w:val="bottom"/>
            <w:shd w:val="clear" w:color="auto" w:fill="E6E6E6"/>
          </w:tcPr>
          <w:p>
            <w:pPr>
              <w:ind w:left="60"/>
              <w:spacing w:after="0"/>
              <w:rPr>
                <w:sz w:val="20"/>
                <w:szCs w:val="20"/>
                <w:color w:val="auto"/>
              </w:rPr>
            </w:pPr>
            <w:r>
              <w:rPr>
                <w:rFonts w:ascii="Arial" w:cs="Arial" w:eastAsia="Arial" w:hAnsi="Arial"/>
                <w:sz w:val="20"/>
                <w:szCs w:val="20"/>
                <w:color w:val="auto"/>
              </w:rPr>
              <w:t>Part I</w:t>
            </w:r>
          </w:p>
        </w:tc>
        <w:tc>
          <w:tcPr>
            <w:tcW w:w="7360" w:type="dxa"/>
            <w:vAlign w:val="bottom"/>
            <w:shd w:val="clear" w:color="auto" w:fill="E6E6E6"/>
          </w:tcPr>
          <w:p>
            <w:pPr>
              <w:spacing w:after="0"/>
              <w:rPr>
                <w:sz w:val="23"/>
                <w:szCs w:val="23"/>
                <w:color w:val="auto"/>
              </w:rPr>
            </w:pPr>
          </w:p>
        </w:tc>
        <w:tc>
          <w:tcPr>
            <w:tcW w:w="8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427"/>
        </w:trPr>
        <w:tc>
          <w:tcPr>
            <w:tcW w:w="1060" w:type="dxa"/>
            <w:vAlign w:val="bottom"/>
          </w:tcPr>
          <w:p>
            <w:pPr>
              <w:ind w:left="60"/>
              <w:spacing w:after="0"/>
              <w:rPr>
                <w:sz w:val="20"/>
                <w:szCs w:val="20"/>
                <w:color w:val="auto"/>
              </w:rPr>
            </w:pPr>
            <w:r>
              <w:rPr>
                <w:rFonts w:ascii="Arial" w:cs="Arial" w:eastAsia="Arial" w:hAnsi="Arial"/>
                <w:sz w:val="20"/>
                <w:szCs w:val="20"/>
                <w:color w:val="auto"/>
              </w:rPr>
              <w:t>Item 1.</w:t>
            </w:r>
          </w:p>
        </w:tc>
        <w:tc>
          <w:tcPr>
            <w:tcW w:w="7360" w:type="dxa"/>
            <w:vAlign w:val="bottom"/>
          </w:tcPr>
          <w:p>
            <w:pPr>
              <w:ind w:left="180"/>
              <w:spacing w:after="0"/>
              <w:rPr>
                <w:sz w:val="20"/>
                <w:szCs w:val="20"/>
                <w:color w:val="auto"/>
              </w:rPr>
            </w:pPr>
            <w:r>
              <w:rPr>
                <w:rFonts w:ascii="Arial" w:cs="Arial" w:eastAsia="Arial" w:hAnsi="Arial"/>
                <w:sz w:val="20"/>
                <w:szCs w:val="20"/>
                <w:color w:val="auto"/>
              </w:rPr>
              <w:t>Business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60" w:type="dxa"/>
            <w:vAlign w:val="bottom"/>
            <w:shd w:val="clear" w:color="auto" w:fill="E6E6E6"/>
          </w:tcPr>
          <w:p>
            <w:pPr>
              <w:ind w:left="60"/>
              <w:spacing w:after="0"/>
              <w:rPr>
                <w:sz w:val="20"/>
                <w:szCs w:val="20"/>
                <w:color w:val="auto"/>
              </w:rPr>
            </w:pPr>
            <w:r>
              <w:rPr>
                <w:rFonts w:ascii="Arial" w:cs="Arial" w:eastAsia="Arial" w:hAnsi="Arial"/>
                <w:sz w:val="20"/>
                <w:szCs w:val="20"/>
                <w:color w:val="auto"/>
              </w:rPr>
              <w:t>Item 1A.</w:t>
            </w:r>
          </w:p>
        </w:tc>
        <w:tc>
          <w:tcPr>
            <w:tcW w:w="73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Risk Factors</w:t>
            </w:r>
          </w:p>
        </w:tc>
        <w:tc>
          <w:tcPr>
            <w:tcW w:w="8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32</w:t>
            </w: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60" w:type="dxa"/>
            <w:vAlign w:val="bottom"/>
          </w:tcPr>
          <w:p>
            <w:pPr>
              <w:ind w:left="60"/>
              <w:spacing w:after="0"/>
              <w:rPr>
                <w:sz w:val="20"/>
                <w:szCs w:val="20"/>
                <w:color w:val="auto"/>
              </w:rPr>
            </w:pPr>
            <w:r>
              <w:rPr>
                <w:rFonts w:ascii="Arial" w:cs="Arial" w:eastAsia="Arial" w:hAnsi="Arial"/>
                <w:sz w:val="20"/>
                <w:szCs w:val="20"/>
                <w:color w:val="auto"/>
              </w:rPr>
              <w:t>Item 1B.</w:t>
            </w:r>
          </w:p>
        </w:tc>
        <w:tc>
          <w:tcPr>
            <w:tcW w:w="7360" w:type="dxa"/>
            <w:vAlign w:val="bottom"/>
          </w:tcPr>
          <w:p>
            <w:pPr>
              <w:ind w:left="180"/>
              <w:spacing w:after="0"/>
              <w:rPr>
                <w:sz w:val="20"/>
                <w:szCs w:val="20"/>
                <w:color w:val="auto"/>
              </w:rPr>
            </w:pPr>
            <w:r>
              <w:rPr>
                <w:rFonts w:ascii="Arial" w:cs="Arial" w:eastAsia="Arial" w:hAnsi="Arial"/>
                <w:sz w:val="20"/>
                <w:szCs w:val="20"/>
                <w:color w:val="auto"/>
              </w:rPr>
              <w:t>Unresolved Staff Comments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60" w:type="dxa"/>
            <w:vAlign w:val="bottom"/>
            <w:shd w:val="clear" w:color="auto" w:fill="E6E6E6"/>
          </w:tcPr>
          <w:p>
            <w:pPr>
              <w:ind w:left="60"/>
              <w:spacing w:after="0"/>
              <w:rPr>
                <w:sz w:val="20"/>
                <w:szCs w:val="20"/>
                <w:color w:val="auto"/>
              </w:rPr>
            </w:pPr>
            <w:r>
              <w:rPr>
                <w:rFonts w:ascii="Arial" w:cs="Arial" w:eastAsia="Arial" w:hAnsi="Arial"/>
                <w:sz w:val="20"/>
                <w:szCs w:val="20"/>
                <w:color w:val="auto"/>
              </w:rPr>
              <w:t>Item 1C.</w:t>
            </w:r>
          </w:p>
        </w:tc>
        <w:tc>
          <w:tcPr>
            <w:tcW w:w="73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Cybersecurity</w:t>
            </w:r>
          </w:p>
        </w:tc>
        <w:tc>
          <w:tcPr>
            <w:tcW w:w="8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77</w:t>
            </w: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60" w:type="dxa"/>
            <w:vAlign w:val="bottom"/>
          </w:tcPr>
          <w:p>
            <w:pPr>
              <w:ind w:left="60"/>
              <w:spacing w:after="0"/>
              <w:rPr>
                <w:sz w:val="20"/>
                <w:szCs w:val="20"/>
                <w:color w:val="auto"/>
              </w:rPr>
            </w:pPr>
            <w:r>
              <w:rPr>
                <w:rFonts w:ascii="Arial" w:cs="Arial" w:eastAsia="Arial" w:hAnsi="Arial"/>
                <w:sz w:val="20"/>
                <w:szCs w:val="20"/>
                <w:color w:val="auto"/>
              </w:rPr>
              <w:t>Item 2.</w:t>
            </w:r>
          </w:p>
        </w:tc>
        <w:tc>
          <w:tcPr>
            <w:tcW w:w="7360" w:type="dxa"/>
            <w:vAlign w:val="bottom"/>
          </w:tcPr>
          <w:p>
            <w:pPr>
              <w:ind w:left="180"/>
              <w:spacing w:after="0"/>
              <w:rPr>
                <w:sz w:val="20"/>
                <w:szCs w:val="20"/>
                <w:color w:val="auto"/>
              </w:rPr>
            </w:pPr>
            <w:r>
              <w:rPr>
                <w:rFonts w:ascii="Arial" w:cs="Arial" w:eastAsia="Arial" w:hAnsi="Arial"/>
                <w:sz w:val="20"/>
                <w:szCs w:val="20"/>
                <w:color w:val="auto"/>
              </w:rPr>
              <w:t>Properties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60" w:type="dxa"/>
            <w:vAlign w:val="bottom"/>
            <w:shd w:val="clear" w:color="auto" w:fill="E6E6E6"/>
          </w:tcPr>
          <w:p>
            <w:pPr>
              <w:ind w:left="60"/>
              <w:spacing w:after="0"/>
              <w:rPr>
                <w:sz w:val="20"/>
                <w:szCs w:val="20"/>
                <w:color w:val="auto"/>
              </w:rPr>
            </w:pPr>
            <w:r>
              <w:rPr>
                <w:rFonts w:ascii="Arial" w:cs="Arial" w:eastAsia="Arial" w:hAnsi="Arial"/>
                <w:sz w:val="20"/>
                <w:szCs w:val="20"/>
                <w:color w:val="auto"/>
              </w:rPr>
              <w:t>Item 3.</w:t>
            </w:r>
          </w:p>
        </w:tc>
        <w:tc>
          <w:tcPr>
            <w:tcW w:w="73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Legal Proceedings</w:t>
            </w:r>
          </w:p>
        </w:tc>
        <w:tc>
          <w:tcPr>
            <w:tcW w:w="8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78</w:t>
            </w: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60" w:type="dxa"/>
            <w:vAlign w:val="bottom"/>
          </w:tcPr>
          <w:p>
            <w:pPr>
              <w:ind w:left="60"/>
              <w:spacing w:after="0"/>
              <w:rPr>
                <w:sz w:val="20"/>
                <w:szCs w:val="20"/>
                <w:color w:val="auto"/>
              </w:rPr>
            </w:pPr>
            <w:r>
              <w:rPr>
                <w:rFonts w:ascii="Arial" w:cs="Arial" w:eastAsia="Arial" w:hAnsi="Arial"/>
                <w:sz w:val="20"/>
                <w:szCs w:val="20"/>
                <w:color w:val="auto"/>
              </w:rPr>
              <w:t>Item 4.</w:t>
            </w:r>
          </w:p>
        </w:tc>
        <w:tc>
          <w:tcPr>
            <w:tcW w:w="7360" w:type="dxa"/>
            <w:vAlign w:val="bottom"/>
          </w:tcPr>
          <w:p>
            <w:pPr>
              <w:ind w:left="180"/>
              <w:spacing w:after="0"/>
              <w:rPr>
                <w:sz w:val="20"/>
                <w:szCs w:val="20"/>
                <w:color w:val="auto"/>
              </w:rPr>
            </w:pPr>
            <w:r>
              <w:rPr>
                <w:rFonts w:ascii="Arial" w:cs="Arial" w:eastAsia="Arial" w:hAnsi="Arial"/>
                <w:sz w:val="20"/>
                <w:szCs w:val="20"/>
                <w:color w:val="auto"/>
              </w:rPr>
              <w:t>Mine Safety Disclosures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60" w:type="dxa"/>
            <w:vAlign w:val="bottom"/>
            <w:shd w:val="clear" w:color="auto" w:fill="E6E6E6"/>
          </w:tcPr>
          <w:p>
            <w:pPr>
              <w:ind w:left="60"/>
              <w:spacing w:after="0"/>
              <w:rPr>
                <w:sz w:val="20"/>
                <w:szCs w:val="20"/>
                <w:color w:val="auto"/>
              </w:rPr>
            </w:pPr>
            <w:r>
              <w:rPr>
                <w:rFonts w:ascii="Arial" w:cs="Arial" w:eastAsia="Arial" w:hAnsi="Arial"/>
                <w:sz w:val="20"/>
                <w:szCs w:val="20"/>
                <w:color w:val="auto"/>
              </w:rPr>
              <w:t>Part II</w:t>
            </w:r>
          </w:p>
        </w:tc>
        <w:tc>
          <w:tcPr>
            <w:tcW w:w="736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60" w:type="dxa"/>
            <w:vAlign w:val="bottom"/>
            <w:vMerge w:val="restart"/>
          </w:tcPr>
          <w:p>
            <w:pPr>
              <w:ind w:left="60"/>
              <w:spacing w:after="0"/>
              <w:rPr>
                <w:sz w:val="20"/>
                <w:szCs w:val="20"/>
                <w:color w:val="auto"/>
              </w:rPr>
            </w:pPr>
            <w:r>
              <w:rPr>
                <w:rFonts w:ascii="Arial" w:cs="Arial" w:eastAsia="Arial" w:hAnsi="Arial"/>
                <w:sz w:val="20"/>
                <w:szCs w:val="20"/>
                <w:color w:val="auto"/>
              </w:rPr>
              <w:t>Item 5.</w:t>
            </w:r>
          </w:p>
        </w:tc>
        <w:tc>
          <w:tcPr>
            <w:tcW w:w="7360" w:type="dxa"/>
            <w:vAlign w:val="bottom"/>
          </w:tcPr>
          <w:p>
            <w:pPr>
              <w:ind w:left="180"/>
              <w:spacing w:after="0" w:line="190" w:lineRule="exact"/>
              <w:rPr>
                <w:sz w:val="20"/>
                <w:szCs w:val="20"/>
                <w:color w:val="auto"/>
              </w:rPr>
            </w:pPr>
            <w:r>
              <w:rPr>
                <w:rFonts w:ascii="Arial" w:cs="Arial" w:eastAsia="Arial" w:hAnsi="Arial"/>
                <w:sz w:val="20"/>
                <w:szCs w:val="20"/>
                <w:color w:val="auto"/>
              </w:rPr>
              <w:t>Market for Registrant’s Common Equity, Related Stockholder Matters and Issuer</w:t>
            </w:r>
          </w:p>
        </w:tc>
        <w:tc>
          <w:tcPr>
            <w:tcW w:w="880" w:type="dxa"/>
            <w:vAlign w:val="bottom"/>
            <w:vMerge w:val="restart"/>
          </w:tcPr>
          <w:p>
            <w:pPr>
              <w:jc w:val="center"/>
              <w:spacing w:after="0"/>
              <w:rPr>
                <w:sz w:val="20"/>
                <w:szCs w:val="20"/>
                <w:color w:val="auto"/>
              </w:rPr>
            </w:pPr>
            <w:r>
              <w:rPr>
                <w:rFonts w:ascii="Arial" w:cs="Arial" w:eastAsia="Arial" w:hAnsi="Arial"/>
                <w:sz w:val="20"/>
                <w:szCs w:val="20"/>
                <w:color w:val="auto"/>
                <w:w w:val="89"/>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60" w:type="dxa"/>
            <w:vAlign w:val="bottom"/>
            <w:vMerge w:val="continue"/>
          </w:tcPr>
          <w:p>
            <w:pPr>
              <w:spacing w:after="0"/>
              <w:rPr>
                <w:sz w:val="21"/>
                <w:szCs w:val="21"/>
                <w:color w:val="auto"/>
              </w:rPr>
            </w:pPr>
          </w:p>
        </w:tc>
        <w:tc>
          <w:tcPr>
            <w:tcW w:w="7360" w:type="dxa"/>
            <w:vAlign w:val="bottom"/>
          </w:tcPr>
          <w:p>
            <w:pPr>
              <w:ind w:left="180"/>
              <w:spacing w:after="0"/>
              <w:rPr>
                <w:sz w:val="20"/>
                <w:szCs w:val="20"/>
                <w:color w:val="auto"/>
              </w:rPr>
            </w:pPr>
            <w:r>
              <w:rPr>
                <w:rFonts w:ascii="Arial" w:cs="Arial" w:eastAsia="Arial" w:hAnsi="Arial"/>
                <w:sz w:val="20"/>
                <w:szCs w:val="20"/>
                <w:color w:val="auto"/>
              </w:rPr>
              <w:t>Purchases of Equity Securities</w:t>
            </w:r>
          </w:p>
        </w:tc>
        <w:tc>
          <w:tcPr>
            <w:tcW w:w="8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1060" w:type="dxa"/>
            <w:vAlign w:val="bottom"/>
            <w:shd w:val="clear" w:color="auto" w:fill="E6E6E6"/>
          </w:tcPr>
          <w:p>
            <w:pPr>
              <w:ind w:left="60"/>
              <w:spacing w:after="0"/>
              <w:rPr>
                <w:sz w:val="20"/>
                <w:szCs w:val="20"/>
                <w:color w:val="auto"/>
              </w:rPr>
            </w:pPr>
            <w:r>
              <w:rPr>
                <w:rFonts w:ascii="Arial" w:cs="Arial" w:eastAsia="Arial" w:hAnsi="Arial"/>
                <w:sz w:val="20"/>
                <w:szCs w:val="20"/>
                <w:color w:val="auto"/>
              </w:rPr>
              <w:t>Item 6.</w:t>
            </w:r>
          </w:p>
        </w:tc>
        <w:tc>
          <w:tcPr>
            <w:tcW w:w="73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[Reserved]</w:t>
            </w:r>
          </w:p>
        </w:tc>
        <w:tc>
          <w:tcPr>
            <w:tcW w:w="8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79</w:t>
            </w: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60" w:type="dxa"/>
            <w:vAlign w:val="bottom"/>
            <w:vMerge w:val="restart"/>
          </w:tcPr>
          <w:p>
            <w:pPr>
              <w:ind w:left="60"/>
              <w:spacing w:after="0"/>
              <w:rPr>
                <w:sz w:val="20"/>
                <w:szCs w:val="20"/>
                <w:color w:val="auto"/>
              </w:rPr>
            </w:pPr>
            <w:r>
              <w:rPr>
                <w:rFonts w:ascii="Arial" w:cs="Arial" w:eastAsia="Arial" w:hAnsi="Arial"/>
                <w:sz w:val="20"/>
                <w:szCs w:val="20"/>
                <w:color w:val="auto"/>
              </w:rPr>
              <w:t>Item 7.</w:t>
            </w:r>
          </w:p>
        </w:tc>
        <w:tc>
          <w:tcPr>
            <w:tcW w:w="7360" w:type="dxa"/>
            <w:vAlign w:val="bottom"/>
          </w:tcPr>
          <w:p>
            <w:pPr>
              <w:ind w:left="180"/>
              <w:spacing w:after="0" w:line="190" w:lineRule="exact"/>
              <w:rPr>
                <w:sz w:val="20"/>
                <w:szCs w:val="20"/>
                <w:color w:val="auto"/>
              </w:rPr>
            </w:pPr>
            <w:r>
              <w:rPr>
                <w:rFonts w:ascii="Arial" w:cs="Arial" w:eastAsia="Arial" w:hAnsi="Arial"/>
                <w:sz w:val="20"/>
                <w:szCs w:val="20"/>
                <w:color w:val="auto"/>
              </w:rPr>
              <w:t>Management’s Discussion and Analysis of Financial Condition and Results of</w:t>
            </w:r>
          </w:p>
        </w:tc>
        <w:tc>
          <w:tcPr>
            <w:tcW w:w="880" w:type="dxa"/>
            <w:vAlign w:val="bottom"/>
            <w:vMerge w:val="restart"/>
          </w:tcPr>
          <w:p>
            <w:pPr>
              <w:jc w:val="center"/>
              <w:spacing w:after="0"/>
              <w:rPr>
                <w:sz w:val="20"/>
                <w:szCs w:val="20"/>
                <w:color w:val="auto"/>
              </w:rPr>
            </w:pPr>
            <w:r>
              <w:rPr>
                <w:rFonts w:ascii="Arial" w:cs="Arial" w:eastAsia="Arial" w:hAnsi="Arial"/>
                <w:sz w:val="20"/>
                <w:szCs w:val="20"/>
                <w:color w:val="auto"/>
                <w:w w:val="89"/>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60" w:type="dxa"/>
            <w:vAlign w:val="bottom"/>
            <w:vMerge w:val="continue"/>
          </w:tcPr>
          <w:p>
            <w:pPr>
              <w:spacing w:after="0"/>
              <w:rPr>
                <w:sz w:val="21"/>
                <w:szCs w:val="21"/>
                <w:color w:val="auto"/>
              </w:rPr>
            </w:pPr>
          </w:p>
        </w:tc>
        <w:tc>
          <w:tcPr>
            <w:tcW w:w="7360" w:type="dxa"/>
            <w:vAlign w:val="bottom"/>
          </w:tcPr>
          <w:p>
            <w:pPr>
              <w:ind w:left="180"/>
              <w:spacing w:after="0"/>
              <w:rPr>
                <w:sz w:val="20"/>
                <w:szCs w:val="20"/>
                <w:color w:val="auto"/>
              </w:rPr>
            </w:pPr>
            <w:r>
              <w:rPr>
                <w:rFonts w:ascii="Arial" w:cs="Arial" w:eastAsia="Arial" w:hAnsi="Arial"/>
                <w:sz w:val="20"/>
                <w:szCs w:val="20"/>
                <w:color w:val="auto"/>
              </w:rPr>
              <w:t>Operations</w:t>
            </w:r>
          </w:p>
        </w:tc>
        <w:tc>
          <w:tcPr>
            <w:tcW w:w="8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1060" w:type="dxa"/>
            <w:vAlign w:val="bottom"/>
            <w:shd w:val="clear" w:color="auto" w:fill="E6E6E6"/>
          </w:tcPr>
          <w:p>
            <w:pPr>
              <w:ind w:left="60"/>
              <w:spacing w:after="0"/>
              <w:rPr>
                <w:sz w:val="20"/>
                <w:szCs w:val="20"/>
                <w:color w:val="auto"/>
              </w:rPr>
            </w:pPr>
            <w:r>
              <w:rPr>
                <w:rFonts w:ascii="Arial" w:cs="Arial" w:eastAsia="Arial" w:hAnsi="Arial"/>
                <w:sz w:val="20"/>
                <w:szCs w:val="20"/>
                <w:color w:val="auto"/>
              </w:rPr>
              <w:t>Item 7A.</w:t>
            </w:r>
          </w:p>
        </w:tc>
        <w:tc>
          <w:tcPr>
            <w:tcW w:w="73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Quantitative and Qualitative Disclosures about Market Risk</w:t>
            </w:r>
          </w:p>
        </w:tc>
        <w:tc>
          <w:tcPr>
            <w:tcW w:w="8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89</w:t>
            </w: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60" w:type="dxa"/>
            <w:vAlign w:val="bottom"/>
          </w:tcPr>
          <w:p>
            <w:pPr>
              <w:ind w:left="60"/>
              <w:spacing w:after="0"/>
              <w:rPr>
                <w:sz w:val="20"/>
                <w:szCs w:val="20"/>
                <w:color w:val="auto"/>
              </w:rPr>
            </w:pPr>
            <w:r>
              <w:rPr>
                <w:rFonts w:ascii="Arial" w:cs="Arial" w:eastAsia="Arial" w:hAnsi="Arial"/>
                <w:sz w:val="20"/>
                <w:szCs w:val="20"/>
                <w:color w:val="auto"/>
              </w:rPr>
              <w:t>Item 8.</w:t>
            </w:r>
          </w:p>
        </w:tc>
        <w:tc>
          <w:tcPr>
            <w:tcW w:w="7360" w:type="dxa"/>
            <w:vAlign w:val="bottom"/>
          </w:tcPr>
          <w:p>
            <w:pPr>
              <w:ind w:left="180"/>
              <w:spacing w:after="0"/>
              <w:rPr>
                <w:sz w:val="20"/>
                <w:szCs w:val="20"/>
                <w:color w:val="auto"/>
              </w:rPr>
            </w:pPr>
            <w:r>
              <w:rPr>
                <w:rFonts w:ascii="Arial" w:cs="Arial" w:eastAsia="Arial" w:hAnsi="Arial"/>
                <w:sz w:val="20"/>
                <w:szCs w:val="20"/>
                <w:color w:val="auto"/>
              </w:rPr>
              <w:t>Financial Statements and Supplementary Data</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060" w:type="dxa"/>
            <w:vAlign w:val="bottom"/>
            <w:vMerge w:val="restart"/>
            <w:shd w:val="clear" w:color="auto" w:fill="E6E6E6"/>
          </w:tcPr>
          <w:p>
            <w:pPr>
              <w:ind w:left="60"/>
              <w:spacing w:after="0"/>
              <w:rPr>
                <w:sz w:val="20"/>
                <w:szCs w:val="20"/>
                <w:color w:val="auto"/>
              </w:rPr>
            </w:pPr>
            <w:r>
              <w:rPr>
                <w:rFonts w:ascii="Arial" w:cs="Arial" w:eastAsia="Arial" w:hAnsi="Arial"/>
                <w:sz w:val="20"/>
                <w:szCs w:val="20"/>
                <w:color w:val="auto"/>
              </w:rPr>
              <w:t>Item 9.</w:t>
            </w:r>
          </w:p>
        </w:tc>
        <w:tc>
          <w:tcPr>
            <w:tcW w:w="7360" w:type="dxa"/>
            <w:vAlign w:val="bottom"/>
            <w:shd w:val="clear" w:color="auto" w:fill="E6E6E6"/>
          </w:tcPr>
          <w:p>
            <w:pPr>
              <w:ind w:left="180"/>
              <w:spacing w:after="0" w:line="197" w:lineRule="exact"/>
              <w:rPr>
                <w:sz w:val="20"/>
                <w:szCs w:val="20"/>
                <w:color w:val="auto"/>
              </w:rPr>
            </w:pPr>
            <w:r>
              <w:rPr>
                <w:rFonts w:ascii="Arial" w:cs="Arial" w:eastAsia="Arial" w:hAnsi="Arial"/>
                <w:sz w:val="20"/>
                <w:szCs w:val="20"/>
                <w:color w:val="auto"/>
              </w:rPr>
              <w:t>Changes in and Disagreements with Accountants on Accounting and Financial</w:t>
            </w:r>
          </w:p>
        </w:tc>
        <w:tc>
          <w:tcPr>
            <w:tcW w:w="880" w:type="dxa"/>
            <w:vAlign w:val="bottom"/>
            <w:vMerge w:val="restart"/>
            <w:shd w:val="clear" w:color="auto" w:fill="E6E6E6"/>
          </w:tcPr>
          <w:p>
            <w:pPr>
              <w:jc w:val="center"/>
              <w:spacing w:after="0"/>
              <w:rPr>
                <w:sz w:val="20"/>
                <w:szCs w:val="20"/>
                <w:color w:val="auto"/>
              </w:rPr>
            </w:pPr>
            <w:r>
              <w:rPr>
                <w:rFonts w:ascii="Arial" w:cs="Arial" w:eastAsia="Arial" w:hAnsi="Arial"/>
                <w:sz w:val="20"/>
                <w:szCs w:val="20"/>
                <w:color w:val="auto"/>
                <w:w w:val="89"/>
              </w:rPr>
              <w:t>89</w:t>
            </w: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60" w:type="dxa"/>
            <w:vAlign w:val="bottom"/>
            <w:vMerge w:val="continue"/>
            <w:shd w:val="clear" w:color="auto" w:fill="E6E6E6"/>
          </w:tcPr>
          <w:p>
            <w:pPr>
              <w:spacing w:after="0"/>
              <w:rPr>
                <w:sz w:val="21"/>
                <w:szCs w:val="21"/>
                <w:color w:val="auto"/>
              </w:rPr>
            </w:pPr>
          </w:p>
        </w:tc>
        <w:tc>
          <w:tcPr>
            <w:tcW w:w="73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Disclosure</w:t>
            </w:r>
          </w:p>
        </w:tc>
        <w:tc>
          <w:tcPr>
            <w:tcW w:w="880" w:type="dxa"/>
            <w:vAlign w:val="bottom"/>
            <w:vMerge w:val="continue"/>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1060" w:type="dxa"/>
            <w:vAlign w:val="bottom"/>
          </w:tcPr>
          <w:p>
            <w:pPr>
              <w:ind w:left="60"/>
              <w:spacing w:after="0"/>
              <w:rPr>
                <w:sz w:val="20"/>
                <w:szCs w:val="20"/>
                <w:color w:val="auto"/>
              </w:rPr>
            </w:pPr>
            <w:r>
              <w:rPr>
                <w:rFonts w:ascii="Arial" w:cs="Arial" w:eastAsia="Arial" w:hAnsi="Arial"/>
                <w:sz w:val="20"/>
                <w:szCs w:val="20"/>
                <w:color w:val="auto"/>
              </w:rPr>
              <w:t>Item 9A.</w:t>
            </w:r>
          </w:p>
        </w:tc>
        <w:tc>
          <w:tcPr>
            <w:tcW w:w="7360" w:type="dxa"/>
            <w:vAlign w:val="bottom"/>
          </w:tcPr>
          <w:p>
            <w:pPr>
              <w:ind w:left="180"/>
              <w:spacing w:after="0"/>
              <w:rPr>
                <w:sz w:val="20"/>
                <w:szCs w:val="20"/>
                <w:color w:val="auto"/>
              </w:rPr>
            </w:pPr>
            <w:r>
              <w:rPr>
                <w:rFonts w:ascii="Arial" w:cs="Arial" w:eastAsia="Arial" w:hAnsi="Arial"/>
                <w:sz w:val="20"/>
                <w:szCs w:val="20"/>
                <w:color w:val="auto"/>
              </w:rPr>
              <w:t>Controls and Procedures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60" w:type="dxa"/>
            <w:vAlign w:val="bottom"/>
            <w:shd w:val="clear" w:color="auto" w:fill="E6E6E6"/>
          </w:tcPr>
          <w:p>
            <w:pPr>
              <w:ind w:left="60"/>
              <w:spacing w:after="0"/>
              <w:rPr>
                <w:sz w:val="20"/>
                <w:szCs w:val="20"/>
                <w:color w:val="auto"/>
              </w:rPr>
            </w:pPr>
            <w:r>
              <w:rPr>
                <w:rFonts w:ascii="Arial" w:cs="Arial" w:eastAsia="Arial" w:hAnsi="Arial"/>
                <w:sz w:val="20"/>
                <w:szCs w:val="20"/>
                <w:color w:val="auto"/>
              </w:rPr>
              <w:t>Item 9B.</w:t>
            </w:r>
          </w:p>
        </w:tc>
        <w:tc>
          <w:tcPr>
            <w:tcW w:w="73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Other Information</w:t>
            </w:r>
          </w:p>
        </w:tc>
        <w:tc>
          <w:tcPr>
            <w:tcW w:w="8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91</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060" w:type="dxa"/>
            <w:vAlign w:val="bottom"/>
          </w:tcPr>
          <w:p>
            <w:pPr>
              <w:ind w:left="60"/>
              <w:spacing w:after="0"/>
              <w:rPr>
                <w:sz w:val="20"/>
                <w:szCs w:val="20"/>
                <w:color w:val="auto"/>
              </w:rPr>
            </w:pPr>
            <w:r>
              <w:rPr>
                <w:rFonts w:ascii="Arial" w:cs="Arial" w:eastAsia="Arial" w:hAnsi="Arial"/>
                <w:sz w:val="20"/>
                <w:szCs w:val="20"/>
                <w:color w:val="auto"/>
              </w:rPr>
              <w:t>Item 9C.</w:t>
            </w:r>
          </w:p>
        </w:tc>
        <w:tc>
          <w:tcPr>
            <w:tcW w:w="7360" w:type="dxa"/>
            <w:vAlign w:val="bottom"/>
          </w:tcPr>
          <w:p>
            <w:pPr>
              <w:ind w:left="180"/>
              <w:spacing w:after="0"/>
              <w:rPr>
                <w:sz w:val="20"/>
                <w:szCs w:val="20"/>
                <w:color w:val="auto"/>
              </w:rPr>
            </w:pPr>
            <w:r>
              <w:rPr>
                <w:rFonts w:ascii="Arial" w:cs="Arial" w:eastAsia="Arial" w:hAnsi="Arial"/>
                <w:sz w:val="20"/>
                <w:szCs w:val="20"/>
                <w:color w:val="auto"/>
              </w:rPr>
              <w:t>Disclosures Regarding Foreign Jurisdictions that Prevent Inspections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60" w:type="dxa"/>
            <w:vAlign w:val="bottom"/>
            <w:shd w:val="clear" w:color="auto" w:fill="E6E6E6"/>
          </w:tcPr>
          <w:p>
            <w:pPr>
              <w:ind w:left="60"/>
              <w:spacing w:after="0"/>
              <w:rPr>
                <w:sz w:val="20"/>
                <w:szCs w:val="20"/>
                <w:color w:val="auto"/>
              </w:rPr>
            </w:pPr>
            <w:r>
              <w:rPr>
                <w:rFonts w:ascii="Arial" w:cs="Arial" w:eastAsia="Arial" w:hAnsi="Arial"/>
                <w:sz w:val="20"/>
                <w:szCs w:val="20"/>
                <w:color w:val="auto"/>
              </w:rPr>
              <w:t>Part III</w:t>
            </w:r>
          </w:p>
        </w:tc>
        <w:tc>
          <w:tcPr>
            <w:tcW w:w="736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60" w:type="dxa"/>
            <w:vAlign w:val="bottom"/>
          </w:tcPr>
          <w:p>
            <w:pPr>
              <w:ind w:left="60"/>
              <w:spacing w:after="0"/>
              <w:rPr>
                <w:sz w:val="20"/>
                <w:szCs w:val="20"/>
                <w:color w:val="auto"/>
              </w:rPr>
            </w:pPr>
            <w:r>
              <w:rPr>
                <w:rFonts w:ascii="Arial" w:cs="Arial" w:eastAsia="Arial" w:hAnsi="Arial"/>
                <w:sz w:val="20"/>
                <w:szCs w:val="20"/>
                <w:color w:val="auto"/>
              </w:rPr>
              <w:t>Item 10.</w:t>
            </w:r>
          </w:p>
        </w:tc>
        <w:tc>
          <w:tcPr>
            <w:tcW w:w="7360" w:type="dxa"/>
            <w:vAlign w:val="bottom"/>
          </w:tcPr>
          <w:p>
            <w:pPr>
              <w:ind w:left="180"/>
              <w:spacing w:after="0"/>
              <w:rPr>
                <w:sz w:val="20"/>
                <w:szCs w:val="20"/>
                <w:color w:val="auto"/>
              </w:rPr>
            </w:pPr>
            <w:r>
              <w:rPr>
                <w:rFonts w:ascii="Arial" w:cs="Arial" w:eastAsia="Arial" w:hAnsi="Arial"/>
                <w:sz w:val="20"/>
                <w:szCs w:val="20"/>
                <w:color w:val="auto"/>
              </w:rPr>
              <w:t>Directors, Executive Officers and Corporate Governance</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60" w:type="dxa"/>
            <w:vAlign w:val="bottom"/>
            <w:shd w:val="clear" w:color="auto" w:fill="E6E6E6"/>
          </w:tcPr>
          <w:p>
            <w:pPr>
              <w:ind w:left="60"/>
              <w:spacing w:after="0"/>
              <w:rPr>
                <w:sz w:val="20"/>
                <w:szCs w:val="20"/>
                <w:color w:val="auto"/>
              </w:rPr>
            </w:pPr>
            <w:r>
              <w:rPr>
                <w:rFonts w:ascii="Arial" w:cs="Arial" w:eastAsia="Arial" w:hAnsi="Arial"/>
                <w:sz w:val="20"/>
                <w:szCs w:val="20"/>
                <w:color w:val="auto"/>
              </w:rPr>
              <w:t>Item 11.</w:t>
            </w:r>
          </w:p>
        </w:tc>
        <w:tc>
          <w:tcPr>
            <w:tcW w:w="73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Executive Compensation</w:t>
            </w:r>
          </w:p>
        </w:tc>
        <w:tc>
          <w:tcPr>
            <w:tcW w:w="8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92</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60" w:type="dxa"/>
            <w:vAlign w:val="bottom"/>
            <w:vMerge w:val="restart"/>
          </w:tcPr>
          <w:p>
            <w:pPr>
              <w:ind w:left="60"/>
              <w:spacing w:after="0"/>
              <w:rPr>
                <w:sz w:val="20"/>
                <w:szCs w:val="20"/>
                <w:color w:val="auto"/>
              </w:rPr>
            </w:pPr>
            <w:r>
              <w:rPr>
                <w:rFonts w:ascii="Arial" w:cs="Arial" w:eastAsia="Arial" w:hAnsi="Arial"/>
                <w:sz w:val="20"/>
                <w:szCs w:val="20"/>
                <w:color w:val="auto"/>
              </w:rPr>
              <w:t>Item 12.</w:t>
            </w:r>
          </w:p>
        </w:tc>
        <w:tc>
          <w:tcPr>
            <w:tcW w:w="7360" w:type="dxa"/>
            <w:vAlign w:val="bottom"/>
          </w:tcPr>
          <w:p>
            <w:pPr>
              <w:ind w:left="180"/>
              <w:spacing w:after="0" w:line="171" w:lineRule="exact"/>
              <w:rPr>
                <w:sz w:val="20"/>
                <w:szCs w:val="20"/>
                <w:color w:val="auto"/>
              </w:rPr>
            </w:pPr>
            <w:r>
              <w:rPr>
                <w:rFonts w:ascii="Arial" w:cs="Arial" w:eastAsia="Arial" w:hAnsi="Arial"/>
                <w:sz w:val="19"/>
                <w:szCs w:val="19"/>
                <w:color w:val="auto"/>
              </w:rPr>
              <w:t>Security Ownership of Certain Beneficial Owners and Management and Related</w:t>
            </w:r>
          </w:p>
        </w:tc>
        <w:tc>
          <w:tcPr>
            <w:tcW w:w="880" w:type="dxa"/>
            <w:vAlign w:val="bottom"/>
            <w:vMerge w:val="restart"/>
          </w:tcPr>
          <w:p>
            <w:pPr>
              <w:jc w:val="center"/>
              <w:spacing w:after="0"/>
              <w:rPr>
                <w:sz w:val="20"/>
                <w:szCs w:val="20"/>
                <w:color w:val="auto"/>
              </w:rPr>
            </w:pPr>
            <w:r>
              <w:rPr>
                <w:rFonts w:ascii="Arial" w:cs="Arial" w:eastAsia="Arial" w:hAnsi="Arial"/>
                <w:sz w:val="20"/>
                <w:szCs w:val="20"/>
                <w:color w:val="auto"/>
                <w:w w:val="89"/>
              </w:rPr>
              <w:t>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060" w:type="dxa"/>
            <w:vAlign w:val="bottom"/>
            <w:vMerge w:val="continue"/>
          </w:tcPr>
          <w:p>
            <w:pPr>
              <w:spacing w:after="0"/>
              <w:rPr>
                <w:sz w:val="21"/>
                <w:szCs w:val="21"/>
                <w:color w:val="auto"/>
              </w:rPr>
            </w:pPr>
          </w:p>
        </w:tc>
        <w:tc>
          <w:tcPr>
            <w:tcW w:w="7360" w:type="dxa"/>
            <w:vAlign w:val="bottom"/>
          </w:tcPr>
          <w:p>
            <w:pPr>
              <w:ind w:left="180"/>
              <w:spacing w:after="0"/>
              <w:rPr>
                <w:sz w:val="20"/>
                <w:szCs w:val="20"/>
                <w:color w:val="auto"/>
              </w:rPr>
            </w:pPr>
            <w:r>
              <w:rPr>
                <w:rFonts w:ascii="Arial" w:cs="Arial" w:eastAsia="Arial" w:hAnsi="Arial"/>
                <w:sz w:val="20"/>
                <w:szCs w:val="20"/>
                <w:color w:val="auto"/>
              </w:rPr>
              <w:t>Stockholder Matters</w:t>
            </w:r>
          </w:p>
        </w:tc>
        <w:tc>
          <w:tcPr>
            <w:tcW w:w="8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1060" w:type="dxa"/>
            <w:vAlign w:val="bottom"/>
            <w:shd w:val="clear" w:color="auto" w:fill="E6E6E6"/>
          </w:tcPr>
          <w:p>
            <w:pPr>
              <w:ind w:left="60"/>
              <w:spacing w:after="0"/>
              <w:rPr>
                <w:sz w:val="20"/>
                <w:szCs w:val="20"/>
                <w:color w:val="auto"/>
              </w:rPr>
            </w:pPr>
            <w:r>
              <w:rPr>
                <w:rFonts w:ascii="Arial" w:cs="Arial" w:eastAsia="Arial" w:hAnsi="Arial"/>
                <w:sz w:val="20"/>
                <w:szCs w:val="20"/>
                <w:color w:val="auto"/>
              </w:rPr>
              <w:t>Item 13.</w:t>
            </w:r>
          </w:p>
        </w:tc>
        <w:tc>
          <w:tcPr>
            <w:tcW w:w="73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Certain Relationships and Related Transactions, and Director Independence</w:t>
            </w:r>
          </w:p>
        </w:tc>
        <w:tc>
          <w:tcPr>
            <w:tcW w:w="8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92</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060" w:type="dxa"/>
            <w:vAlign w:val="bottom"/>
          </w:tcPr>
          <w:p>
            <w:pPr>
              <w:ind w:left="60"/>
              <w:spacing w:after="0"/>
              <w:rPr>
                <w:sz w:val="20"/>
                <w:szCs w:val="20"/>
                <w:color w:val="auto"/>
              </w:rPr>
            </w:pPr>
            <w:r>
              <w:rPr>
                <w:rFonts w:ascii="Arial" w:cs="Arial" w:eastAsia="Arial" w:hAnsi="Arial"/>
                <w:sz w:val="20"/>
                <w:szCs w:val="20"/>
                <w:color w:val="auto"/>
              </w:rPr>
              <w:t>Item 14.</w:t>
            </w:r>
          </w:p>
        </w:tc>
        <w:tc>
          <w:tcPr>
            <w:tcW w:w="7360" w:type="dxa"/>
            <w:vAlign w:val="bottom"/>
          </w:tcPr>
          <w:p>
            <w:pPr>
              <w:ind w:left="180"/>
              <w:spacing w:after="0"/>
              <w:rPr>
                <w:sz w:val="20"/>
                <w:szCs w:val="20"/>
                <w:color w:val="auto"/>
              </w:rPr>
            </w:pPr>
            <w:r>
              <w:rPr>
                <w:rFonts w:ascii="Arial" w:cs="Arial" w:eastAsia="Arial" w:hAnsi="Arial"/>
                <w:sz w:val="20"/>
                <w:szCs w:val="20"/>
                <w:color w:val="auto"/>
              </w:rPr>
              <w:t>Principal Accounting Fees and Services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60" w:type="dxa"/>
            <w:vAlign w:val="bottom"/>
            <w:shd w:val="clear" w:color="auto" w:fill="E6E6E6"/>
          </w:tcPr>
          <w:p>
            <w:pPr>
              <w:ind w:left="60"/>
              <w:spacing w:after="0"/>
              <w:rPr>
                <w:sz w:val="20"/>
                <w:szCs w:val="20"/>
                <w:color w:val="auto"/>
              </w:rPr>
            </w:pPr>
            <w:r>
              <w:rPr>
                <w:rFonts w:ascii="Arial" w:cs="Arial" w:eastAsia="Arial" w:hAnsi="Arial"/>
                <w:sz w:val="20"/>
                <w:szCs w:val="20"/>
                <w:color w:val="auto"/>
              </w:rPr>
              <w:t>Part IV</w:t>
            </w:r>
          </w:p>
        </w:tc>
        <w:tc>
          <w:tcPr>
            <w:tcW w:w="736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60" w:type="dxa"/>
            <w:vAlign w:val="bottom"/>
          </w:tcPr>
          <w:p>
            <w:pPr>
              <w:ind w:left="60"/>
              <w:spacing w:after="0"/>
              <w:rPr>
                <w:sz w:val="20"/>
                <w:szCs w:val="20"/>
                <w:color w:val="auto"/>
              </w:rPr>
            </w:pPr>
            <w:r>
              <w:rPr>
                <w:rFonts w:ascii="Arial" w:cs="Arial" w:eastAsia="Arial" w:hAnsi="Arial"/>
                <w:sz w:val="20"/>
                <w:szCs w:val="20"/>
                <w:color w:val="auto"/>
              </w:rPr>
              <w:t>Item 15.</w:t>
            </w:r>
          </w:p>
        </w:tc>
        <w:tc>
          <w:tcPr>
            <w:tcW w:w="7360" w:type="dxa"/>
            <w:vAlign w:val="bottom"/>
          </w:tcPr>
          <w:p>
            <w:pPr>
              <w:ind w:left="180"/>
              <w:spacing w:after="0"/>
              <w:rPr>
                <w:sz w:val="20"/>
                <w:szCs w:val="20"/>
                <w:color w:val="auto"/>
              </w:rPr>
            </w:pPr>
            <w:r>
              <w:rPr>
                <w:rFonts w:ascii="Arial" w:cs="Arial" w:eastAsia="Arial" w:hAnsi="Arial"/>
                <w:sz w:val="20"/>
                <w:szCs w:val="20"/>
                <w:color w:val="auto"/>
              </w:rPr>
              <w:t>Exhibits, Financial Statement Schedules</w:t>
            </w: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60" w:type="dxa"/>
            <w:vAlign w:val="bottom"/>
            <w:shd w:val="clear" w:color="auto" w:fill="E6E6E6"/>
          </w:tcPr>
          <w:p>
            <w:pPr>
              <w:ind w:left="60"/>
              <w:spacing w:after="0"/>
              <w:rPr>
                <w:sz w:val="20"/>
                <w:szCs w:val="20"/>
                <w:color w:val="auto"/>
              </w:rPr>
            </w:pPr>
            <w:r>
              <w:rPr>
                <w:rFonts w:ascii="Arial" w:cs="Arial" w:eastAsia="Arial" w:hAnsi="Arial"/>
                <w:sz w:val="20"/>
                <w:szCs w:val="20"/>
                <w:color w:val="auto"/>
              </w:rPr>
              <w:t>Item 16.</w:t>
            </w:r>
          </w:p>
        </w:tc>
        <w:tc>
          <w:tcPr>
            <w:tcW w:w="7360" w:type="dxa"/>
            <w:vAlign w:val="bottom"/>
            <w:shd w:val="clear" w:color="auto" w:fill="E6E6E6"/>
          </w:tcPr>
          <w:p>
            <w:pPr>
              <w:ind w:left="180"/>
              <w:spacing w:after="0"/>
              <w:rPr>
                <w:sz w:val="20"/>
                <w:szCs w:val="20"/>
                <w:color w:val="auto"/>
              </w:rPr>
            </w:pPr>
            <w:r>
              <w:rPr>
                <w:rFonts w:ascii="Arial" w:cs="Arial" w:eastAsia="Arial" w:hAnsi="Arial"/>
                <w:sz w:val="20"/>
                <w:szCs w:val="20"/>
                <w:color w:val="auto"/>
              </w:rPr>
              <w:t>Form 10-K Summary</w:t>
            </w:r>
          </w:p>
        </w:tc>
        <w:tc>
          <w:tcPr>
            <w:tcW w:w="880" w:type="dxa"/>
            <w:vAlign w:val="bottom"/>
            <w:shd w:val="clear" w:color="auto" w:fill="E6E6E6"/>
          </w:tcPr>
          <w:p>
            <w:pPr>
              <w:jc w:val="center"/>
              <w:spacing w:after="0"/>
              <w:rPr>
                <w:sz w:val="20"/>
                <w:szCs w:val="20"/>
                <w:color w:val="auto"/>
              </w:rPr>
            </w:pPr>
            <w:r>
              <w:rPr>
                <w:rFonts w:ascii="Arial" w:cs="Arial" w:eastAsia="Arial" w:hAnsi="Arial"/>
                <w:sz w:val="20"/>
                <w:szCs w:val="20"/>
                <w:color w:val="auto"/>
                <w:w w:val="89"/>
              </w:rPr>
              <w:t>96</w:t>
            </w: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060" w:type="dxa"/>
            <w:vAlign w:val="bottom"/>
          </w:tcPr>
          <w:p>
            <w:pPr>
              <w:ind w:left="60"/>
              <w:spacing w:after="0"/>
              <w:rPr>
                <w:sz w:val="20"/>
                <w:szCs w:val="20"/>
                <w:color w:val="auto"/>
              </w:rPr>
            </w:pPr>
            <w:r>
              <w:rPr>
                <w:rFonts w:ascii="Arial" w:cs="Arial" w:eastAsia="Arial" w:hAnsi="Arial"/>
                <w:sz w:val="20"/>
                <w:szCs w:val="20"/>
                <w:color w:val="auto"/>
              </w:rPr>
              <w:t>Signatures</w:t>
            </w:r>
          </w:p>
        </w:tc>
        <w:tc>
          <w:tcPr>
            <w:tcW w:w="73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0"/>
                <w:szCs w:val="20"/>
                <w:color w:val="auto"/>
                <w:w w:val="89"/>
              </w:rPr>
              <w:t>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6147435</wp:posOffset>
            </wp:positionH>
            <wp:positionV relativeFrom="page">
              <wp:posOffset>807720</wp:posOffset>
            </wp:positionV>
            <wp:extent cx="594360"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4360" cy="38608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-7140575</wp:posOffset>
            </wp:positionV>
            <wp:extent cx="25400" cy="7162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00" cy="7162165"/>
                    </a:xfrm>
                    <a:prstGeom prst="rect">
                      <a:avLst/>
                    </a:prstGeom>
                    <a:noFill/>
                  </pic:spPr>
                </pic:pic>
              </a:graphicData>
            </a:graphic>
          </wp:anchor>
        </w:drawing>
      </w:r>
    </w:p>
    <w:p>
      <w:pPr>
        <w:sectPr>
          <w:pgSz w:w="11880" w:h="15480" w:orient="portrait"/>
          <w:cols w:equalWidth="0" w:num="1">
            <w:col w:w="9320"/>
          </w:cols>
          <w:pgMar w:left="1280" w:top="1292" w:right="1280" w:bottom="1440" w:gutter="0" w:footer="0" w:header="0"/>
        </w:sectPr>
      </w:pPr>
    </w:p>
    <w:bookmarkStart w:id="10" w:name="page11"/>
    <w:bookmarkEnd w:id="10"/>
    <w:p>
      <w:pPr>
        <w:ind w:left="5"/>
        <w:spacing w:after="0"/>
        <w:rPr>
          <w:sz w:val="20"/>
          <w:szCs w:val="20"/>
          <w:color w:val="auto"/>
        </w:rPr>
      </w:pPr>
      <w:r>
        <w:rPr>
          <w:rFonts w:ascii="Arial" w:cs="Arial" w:eastAsia="Arial" w:hAnsi="Arial"/>
          <w:sz w:val="20"/>
          <w:szCs w:val="20"/>
          <w:b w:val="1"/>
          <w:bCs w:val="1"/>
          <w:color w:val="auto"/>
        </w:rPr>
        <w:t>Item 1. Business</w:t>
      </w:r>
    </w:p>
    <w:p>
      <w:pPr>
        <w:spacing w:after="0" w:line="228"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auto"/>
        </w:rPr>
        <w:t>OVERVIEW</w:t>
      </w:r>
    </w:p>
    <w:p>
      <w:pPr>
        <w:spacing w:after="0" w:line="235" w:lineRule="exact"/>
        <w:rPr>
          <w:sz w:val="20"/>
          <w:szCs w:val="20"/>
          <w:color w:val="auto"/>
        </w:rPr>
      </w:pPr>
    </w:p>
    <w:p>
      <w:pPr>
        <w:jc w:val="both"/>
        <w:ind w:left="5"/>
        <w:spacing w:after="0" w:line="255" w:lineRule="auto"/>
        <w:rPr>
          <w:sz w:val="20"/>
          <w:szCs w:val="20"/>
          <w:color w:val="auto"/>
        </w:rPr>
      </w:pPr>
      <w:r>
        <w:rPr>
          <w:rFonts w:ascii="Arial" w:cs="Arial" w:eastAsia="Arial" w:hAnsi="Arial"/>
          <w:sz w:val="19"/>
          <w:szCs w:val="19"/>
          <w:color w:val="auto"/>
        </w:rPr>
        <w:t>We are a clinical-stage biopharmaceutical company focused on developing and commercializing innovative therapeutics for the chronic treatment of respiratory diseases with significant unmet medical needs. Our product candidate, ensifentrine, is an investigational, first-in-class, inhaled, selective, dual inhibitor of the enzymes phosphodiesterase 3 and 4 (“PDE3” and “PDE4”), combining bronchodilator and non-steroidal anti-inflammatory activities in one molecule.</w:t>
      </w:r>
    </w:p>
    <w:p>
      <w:pPr>
        <w:spacing w:after="0" w:line="66" w:lineRule="exact"/>
        <w:rPr>
          <w:sz w:val="20"/>
          <w:szCs w:val="20"/>
          <w:color w:val="auto"/>
        </w:rPr>
      </w:pPr>
    </w:p>
    <w:p>
      <w:pPr>
        <w:jc w:val="both"/>
        <w:ind w:left="5"/>
        <w:spacing w:after="0" w:line="239" w:lineRule="auto"/>
        <w:rPr>
          <w:sz w:val="20"/>
          <w:szCs w:val="20"/>
          <w:color w:val="auto"/>
        </w:rPr>
      </w:pPr>
      <w:r>
        <w:rPr>
          <w:rFonts w:ascii="Arial" w:cs="Arial" w:eastAsia="Arial" w:hAnsi="Arial"/>
          <w:sz w:val="20"/>
          <w:szCs w:val="20"/>
          <w:color w:val="auto"/>
        </w:rPr>
        <w:t>Initially, we are developing inhaled ensifentrine for the maintenance treatment of chronic obstructive pulmonary disease (“COPD”), a common, chronic, progressive, and life-threatening respiratory disease without a cure. If approved, ensifentrine is expected to be the first inhaled therapeutic with a novel mode of action for the maintenance treatment of COPD in over 20 years.</w:t>
      </w:r>
    </w:p>
    <w:p>
      <w:pPr>
        <w:spacing w:after="0" w:line="79" w:lineRule="exact"/>
        <w:rPr>
          <w:sz w:val="20"/>
          <w:szCs w:val="20"/>
          <w:color w:val="auto"/>
        </w:rPr>
      </w:pPr>
    </w:p>
    <w:p>
      <w:pPr>
        <w:jc w:val="both"/>
        <w:ind w:left="5"/>
        <w:spacing w:after="0" w:line="239" w:lineRule="auto"/>
        <w:rPr>
          <w:sz w:val="20"/>
          <w:szCs w:val="20"/>
          <w:color w:val="auto"/>
        </w:rPr>
      </w:pPr>
      <w:r>
        <w:rPr>
          <w:rFonts w:ascii="Arial" w:cs="Arial" w:eastAsia="Arial" w:hAnsi="Arial"/>
          <w:sz w:val="20"/>
          <w:szCs w:val="20"/>
          <w:color w:val="auto"/>
        </w:rPr>
        <w:t>In August 2023, the U.S. Food and Drug Administration (“FDA”) accepted for review our New Drug Application (“NDA”) seeking approval of ensifentrine for the maintenance treatment of COPD and assigned a Prescription Drug User Fee Act (“PDUFA”) target action date of June 26, 2024. The FDA stated it is not currently planning to hold an advisory committee meeting to discuss the application.</w:t>
      </w:r>
    </w:p>
    <w:p>
      <w:pPr>
        <w:spacing w:after="0" w:line="79" w:lineRule="exact"/>
        <w:rPr>
          <w:sz w:val="20"/>
          <w:szCs w:val="20"/>
          <w:color w:val="auto"/>
        </w:rPr>
      </w:pPr>
    </w:p>
    <w:p>
      <w:pPr>
        <w:jc w:val="both"/>
        <w:ind w:left="5"/>
        <w:spacing w:after="0" w:line="234" w:lineRule="auto"/>
        <w:rPr>
          <w:sz w:val="20"/>
          <w:szCs w:val="20"/>
          <w:color w:val="auto"/>
        </w:rPr>
      </w:pPr>
      <w:r>
        <w:rPr>
          <w:rFonts w:ascii="Arial" w:cs="Arial" w:eastAsia="Arial" w:hAnsi="Arial"/>
          <w:sz w:val="20"/>
          <w:szCs w:val="20"/>
          <w:color w:val="auto"/>
        </w:rPr>
        <w:t>Based on the results from our successful Phase 3 ENHANCE (“Ensifentrine as a Novel inHAled Nebulized COPD thErapy”) program, we believe ensifentrine, if approved, has the potential to change the treatment paradigm for COPD. Ensifentrine met the primary endpoint in both the ENHANCE-1 and ENHANCE-2 trials demonstrating statistically significant and clinically meaningful improvements in measures of lung function. In key secondary endpoints, ensifentrine demonstrated early and sustained improvements in symptoms and quality of life. In addition, other endpoint data demonstrated that ensifentrine substantially reduced the rate and risk of COPD exacerbations in ENHANCE-1 and ENHANCE-2. Ensifentrine was well tolerated in both trials.</w:t>
      </w:r>
    </w:p>
    <w:p>
      <w:pPr>
        <w:spacing w:after="0" w:line="82" w:lineRule="exact"/>
        <w:rPr>
          <w:sz w:val="20"/>
          <w:szCs w:val="20"/>
          <w:color w:val="auto"/>
        </w:rPr>
      </w:pPr>
    </w:p>
    <w:p>
      <w:pPr>
        <w:jc w:val="both"/>
        <w:ind w:left="5"/>
        <w:spacing w:after="0" w:line="260" w:lineRule="auto"/>
        <w:rPr>
          <w:sz w:val="20"/>
          <w:szCs w:val="20"/>
          <w:color w:val="auto"/>
        </w:rPr>
      </w:pPr>
      <w:r>
        <w:rPr>
          <w:rFonts w:ascii="Arial" w:cs="Arial" w:eastAsia="Arial" w:hAnsi="Arial"/>
          <w:sz w:val="20"/>
          <w:szCs w:val="20"/>
          <w:color w:val="auto"/>
        </w:rPr>
        <w:t>During 2023, we presented additional analyses of data from the ENHANCE trials at international scientific conferences and the data were published in peer reviewed publications:</w:t>
      </w:r>
    </w:p>
    <w:p>
      <w:pPr>
        <w:spacing w:after="0" w:line="59" w:lineRule="exact"/>
        <w:rPr>
          <w:sz w:val="20"/>
          <w:szCs w:val="20"/>
          <w:color w:val="auto"/>
        </w:rPr>
      </w:pPr>
    </w:p>
    <w:p>
      <w:pPr>
        <w:jc w:val="both"/>
        <w:ind w:left="365" w:hanging="365"/>
        <w:spacing w:after="0" w:line="246" w:lineRule="auto"/>
        <w:tabs>
          <w:tab w:leader="none" w:pos="365" w:val="left"/>
        </w:tabs>
        <w:numPr>
          <w:ilvl w:val="0"/>
          <w:numId w:val="7"/>
        </w:numPr>
        <w:rPr>
          <w:rFonts w:ascii="Arial" w:cs="Arial" w:eastAsia="Arial" w:hAnsi="Arial"/>
          <w:sz w:val="19"/>
          <w:szCs w:val="19"/>
          <w:color w:val="auto"/>
        </w:rPr>
      </w:pPr>
      <w:r>
        <w:rPr>
          <w:rFonts w:ascii="Arial" w:cs="Arial" w:eastAsia="Arial" w:hAnsi="Arial"/>
          <w:sz w:val="19"/>
          <w:szCs w:val="19"/>
          <w:color w:val="auto"/>
        </w:rPr>
        <w:t>In May 2023, we presented 12 abstracts and a symposium on expanded pre-specified and post hoc analyses of the ENHANCE trials including subgroup and pooled data covering exacerbations, use of rescue medication and healthcare utilization, at the American Thoracic Society International Conference ("ATS") 2023. An overview of the ENHANCE trial results was presented as part of the Clinical Trial Symposium reserved for highlighting new innovative medicines. In summary, ensifentrine demonstrated highly consistent results across all the clinically relevant subgroups and pooled analyses assessed including improvements in lung function and reductions in exacerbation rate and risk. Other key analyses demonstrated improvements with ensifentrine in symptoms and quality of life measures, including SGRQ* subdomains, as well as reductions in the use of rescue medication and healthcare utilization. Furthermore, ensifentrine was shown to be well tolerated in an expanded safety analysis.</w:t>
      </w:r>
    </w:p>
    <w:p>
      <w:pPr>
        <w:spacing w:after="0" w:line="74" w:lineRule="exact"/>
        <w:rPr>
          <w:sz w:val="20"/>
          <w:szCs w:val="20"/>
          <w:color w:val="auto"/>
        </w:rPr>
      </w:pPr>
    </w:p>
    <w:p>
      <w:pPr>
        <w:ind w:left="5"/>
        <w:spacing w:after="0"/>
        <w:rPr>
          <w:sz w:val="20"/>
          <w:szCs w:val="20"/>
          <w:color w:val="auto"/>
        </w:rPr>
      </w:pPr>
      <w:r>
        <w:rPr>
          <w:rFonts w:ascii="Arial" w:cs="Arial" w:eastAsia="Arial" w:hAnsi="Arial"/>
          <w:sz w:val="20"/>
          <w:szCs w:val="20"/>
          <w:color w:val="auto"/>
        </w:rPr>
        <w:t>*St. George’s Respiratory Questionnaire is a validated patient reported outcome tool</w:t>
      </w:r>
    </w:p>
    <w:p>
      <w:pPr>
        <w:spacing w:after="0" w:line="108" w:lineRule="exact"/>
        <w:rPr>
          <w:sz w:val="20"/>
          <w:szCs w:val="20"/>
          <w:color w:val="auto"/>
        </w:rPr>
      </w:pPr>
    </w:p>
    <w:p>
      <w:pPr>
        <w:ind w:left="365" w:hanging="365"/>
        <w:spacing w:after="0" w:line="260" w:lineRule="auto"/>
        <w:tabs>
          <w:tab w:leader="none" w:pos="365"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abstracts were published on the ATS website and in the American Journal of Respiratory and Critical Care Medicine ("AJRCCM");</w:t>
      </w:r>
    </w:p>
    <w:p>
      <w:pPr>
        <w:spacing w:after="0" w:line="58" w:lineRule="exact"/>
        <w:rPr>
          <w:rFonts w:ascii="Arial" w:cs="Arial" w:eastAsia="Arial" w:hAnsi="Arial"/>
          <w:sz w:val="20"/>
          <w:szCs w:val="20"/>
          <w:color w:val="auto"/>
        </w:rPr>
      </w:pPr>
    </w:p>
    <w:p>
      <w:pPr>
        <w:ind w:left="365" w:hanging="365"/>
        <w:spacing w:after="0"/>
        <w:tabs>
          <w:tab w:leader="none" w:pos="365" w:val="left"/>
        </w:tabs>
        <w:numPr>
          <w:ilvl w:val="0"/>
          <w:numId w:val="8"/>
        </w:numPr>
        <w:rPr>
          <w:rFonts w:ascii="Arial" w:cs="Arial" w:eastAsia="Arial" w:hAnsi="Arial"/>
          <w:sz w:val="20"/>
          <w:szCs w:val="20"/>
          <w:color w:val="auto"/>
        </w:rPr>
      </w:pPr>
      <w:r>
        <w:rPr>
          <w:rFonts w:ascii="Arial" w:cs="Arial" w:eastAsia="Arial" w:hAnsi="Arial"/>
          <w:sz w:val="20"/>
          <w:szCs w:val="20"/>
          <w:color w:val="auto"/>
        </w:rPr>
        <w:t>In June 2023, the ENHANCE results were published in AJRCCM;</w:t>
      </w:r>
    </w:p>
    <w:p>
      <w:pPr>
        <w:spacing w:after="0" w:line="108" w:lineRule="exact"/>
        <w:rPr>
          <w:rFonts w:ascii="Arial" w:cs="Arial" w:eastAsia="Arial" w:hAnsi="Arial"/>
          <w:sz w:val="20"/>
          <w:szCs w:val="20"/>
          <w:color w:val="auto"/>
        </w:rPr>
      </w:pPr>
    </w:p>
    <w:p>
      <w:pPr>
        <w:jc w:val="both"/>
        <w:ind w:left="365" w:hanging="365"/>
        <w:spacing w:after="0" w:line="263" w:lineRule="auto"/>
        <w:tabs>
          <w:tab w:leader="none" w:pos="365" w:val="left"/>
        </w:tabs>
        <w:numPr>
          <w:ilvl w:val="0"/>
          <w:numId w:val="8"/>
        </w:numPr>
        <w:rPr>
          <w:rFonts w:ascii="Arial" w:cs="Arial" w:eastAsia="Arial" w:hAnsi="Arial"/>
          <w:sz w:val="19"/>
          <w:szCs w:val="19"/>
          <w:color w:val="auto"/>
        </w:rPr>
      </w:pPr>
      <w:r>
        <w:rPr>
          <w:rFonts w:ascii="Arial" w:cs="Arial" w:eastAsia="Arial" w:hAnsi="Arial"/>
          <w:sz w:val="19"/>
          <w:szCs w:val="19"/>
          <w:color w:val="auto"/>
        </w:rPr>
        <w:t>In September 2023, we presented an analysis of the ENHANCE-1 24-week exacerbation data at ERS International Congress 2023, which demonstrated treatment with ensifentrine substantially decreased the rate and risk of moderate and severe COPD exacerbations. The abstract was published in the European Respiratory Journal; and</w:t>
      </w:r>
    </w:p>
    <w:p>
      <w:pPr>
        <w:spacing w:after="0" w:line="57" w:lineRule="exact"/>
        <w:rPr>
          <w:rFonts w:ascii="Arial" w:cs="Arial" w:eastAsia="Arial" w:hAnsi="Arial"/>
          <w:sz w:val="19"/>
          <w:szCs w:val="19"/>
          <w:color w:val="auto"/>
        </w:rPr>
      </w:pPr>
    </w:p>
    <w:p>
      <w:pPr>
        <w:jc w:val="both"/>
        <w:ind w:left="365" w:hanging="365"/>
        <w:spacing w:after="0" w:line="262" w:lineRule="auto"/>
        <w:tabs>
          <w:tab w:leader="none" w:pos="36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October 2023, we gave 4 presentations on pooled and subgroup post-hoc analyses from ENHANCE-1 and ENHANCE-2 covering data related to exacerbations, lung function, symptoms and quality of life endpoints and use of daily rescue medication, at CHEST Annual Meeting 2023. The data demonstrated treatment with ensifentrine substantially reduced the rate and risk of COPD exacerbations regardless of recent exacerbation history and was well tolerated. In addition, subgroup analyses showed treatment with ensifentrine resulted in improvements in lung function, symptoms, and quality of life measures, reductions in the rate and risk of exacerbations regardless of background therapy as well as reductions in daily rescue medication use. The data were published in the CHEST Annual Meeting online supplement. Also, at CHEST, we launched a disease awareness campaign highlighting how many COPD patients struggle to talk about their condition.</w:t>
      </w:r>
    </w:p>
    <w:p>
      <w:pPr>
        <w:spacing w:after="0" w:line="63" w:lineRule="exact"/>
        <w:rPr>
          <w:sz w:val="20"/>
          <w:szCs w:val="20"/>
          <w:color w:val="auto"/>
        </w:rPr>
      </w:pPr>
    </w:p>
    <w:p>
      <w:pPr>
        <w:jc w:val="both"/>
        <w:ind w:left="5"/>
        <w:spacing w:after="0" w:line="263" w:lineRule="auto"/>
        <w:rPr>
          <w:sz w:val="20"/>
          <w:szCs w:val="20"/>
          <w:color w:val="auto"/>
        </w:rPr>
      </w:pPr>
      <w:r>
        <w:rPr>
          <w:rFonts w:ascii="Arial" w:cs="Arial" w:eastAsia="Arial" w:hAnsi="Arial"/>
          <w:sz w:val="19"/>
          <w:szCs w:val="19"/>
          <w:color w:val="auto"/>
        </w:rPr>
        <w:t>While we remain focused on the U.S. commercialization of ensifentrine, we are developing a fixed-dose combination formulation with ensifentrine and glycopyrrolate, a long-acting muscarinic antagonist (“LAMA”), for the maintenance treatment of patients with COPD via delivery in a nebulizer. Following development activities to confirm a feasible</w:t>
      </w:r>
    </w:p>
    <w:p>
      <w:pPr>
        <w:sectPr>
          <w:pgSz w:w="11880" w:h="15480" w:orient="portrait"/>
          <w:cols w:equalWidth="0" w:num="1">
            <w:col w:w="10205"/>
          </w:cols>
          <w:pgMar w:left="835" w:top="122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1</w:t>
      </w:r>
    </w:p>
    <w:p>
      <w:pPr>
        <w:sectPr>
          <w:pgSz w:w="11880" w:h="15480" w:orient="portrait"/>
          <w:cols w:equalWidth="0" w:num="1">
            <w:col w:w="10205"/>
          </w:cols>
          <w:pgMar w:left="835" w:top="1222" w:right="840" w:bottom="0" w:gutter="0" w:footer="0" w:header="0"/>
          <w:type w:val="continuous"/>
        </w:sectPr>
      </w:pPr>
    </w:p>
    <w:bookmarkStart w:id="11" w:name="page12"/>
    <w:bookmarkEnd w:id="11"/>
    <w:p>
      <w:pPr>
        <w:jc w:val="both"/>
        <w:spacing w:after="0" w:line="244" w:lineRule="auto"/>
        <w:rPr>
          <w:sz w:val="20"/>
          <w:szCs w:val="20"/>
          <w:color w:val="auto"/>
        </w:rPr>
      </w:pPr>
      <w:r>
        <w:rPr>
          <w:rFonts w:ascii="Arial" w:cs="Arial" w:eastAsia="Arial" w:hAnsi="Arial"/>
          <w:sz w:val="20"/>
          <w:szCs w:val="20"/>
          <w:color w:val="auto"/>
        </w:rPr>
        <w:t>formulation, in the second half of 2024, we plan to submit an Investigational New Drug application (“IND”) to the FDA and, subject to clearance, initiate a Phase 2 clinical trial assessing the safety and efficacy of the fixed-dose combination formulation in COPD patients.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Also in the second half of 2024, we plan to commence a Phase 2 clinical trial to assess the efficacy and safety of nebulized ensifentrine in patients with non-cystic fibrosis bronchiectasis (“NCFBE”), subject to clearance by the FDA</w:t>
      </w:r>
    </w:p>
    <w:p>
      <w:pPr>
        <w:spacing w:after="0" w:line="3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In Phase 2 clinical trials, ensifentrine has demonstrated positive results in patients with COPD, asthma and cystic fibrosis (“CF”). Two additional formulations of ensifentrine have been evaluated in Phase 2 trials for the treatment of COPD: dry powder inhaler (“DPI”) and pressurized metered-dose inhaler (“pMDI”). Ensifentrine has shown positive Phase 2 data in COPD trials when delivered by each of these formulations.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We believe the development of ensifentrine in cystic fibrosis and asthma as well as the additional formulations of ensifentrine provides pipeline expansion and lifecycle opportunities as well as potential for collaborations outside the US.</w:t>
      </w:r>
    </w:p>
    <w:p>
      <w:pPr>
        <w:spacing w:after="0" w:line="3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If approved, we intend to commercialize inhaled ensifentrine for the maintenance treatment of COPD in the United States (“U.S.”). Although we believe ensifentrine will not be regulated as a drug device combination, patients use a readily available standard jet nebulizer to take ensifentrine. Outside the US, we intend to license ensifentrine to companies with expertise and experience in developing and commercializing products in those regions. To that end, we have entered into a strategic collaboration with Nuance Pharma Limited, a Shanghai-based specialty pharmaceutical company (“Nuance Pharma”), to develop and commercialize ensifentrine in Greater China. In 2023, Nuance enrolled the first subject in its pivotal Phase 3 trial evaluating ensifentrine for the maintenance treatment of COPD in China.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Overview of COPD and current treatments</w:t>
      </w:r>
    </w:p>
    <w:p>
      <w:pPr>
        <w:spacing w:after="0" w:line="1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COPD is a common, progressive, life-threatening respiratory disease without a cure. It causes loss of lung function, leading to debilitating breathlessness, hospitalizations, and death. COPD has a major impact on everyday life. Patients struggle with basic activities such as getting out of bed, showering, eating, and walking. Worldwide, COPD affects approximately 392 million people and is the third leading cause of death, according to the Global Initiative for Chronic Obstructive Lung Disease.</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goal of COPD pharmacological therapy is to improve patients’ quality of life by reducing symptoms, decreasing the quantity and severity of exacerbations (often an escalation of symptoms) and to improve patients’ ability to function.</w:t>
      </w:r>
    </w:p>
    <w:p>
      <w:pPr>
        <w:spacing w:after="0" w:line="3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For approximately 40 years, the treatment of COPD has been dominated by three classes of inhaled therapies approved for use by the FDA and the European Commission based on the European Medicines Agency’s (“EMA”) opinion: anti-muscarinics, beta-agonists and inhaled corticosteroids (“ICSs”). COPD patients are frequently treated with bronchodilators, including LAMAs and long-acting beta-agonists (“LABAs”), to relieve airway constriction and make it easier to breathe. In addition, patients at risk for exacerbations may be prescribed ICSs to prevent them.</w:t>
      </w:r>
    </w:p>
    <w:p>
      <w:pPr>
        <w:spacing w:after="0" w:line="6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Certain COPD patients are treated with the oral PDE4 inhibitor, roflumilast (Daliresp</w:t>
      </w:r>
      <w:r>
        <w:rPr>
          <w:rFonts w:ascii="Arial" w:cs="Arial" w:eastAsia="Arial" w:hAnsi="Arial"/>
          <w:sz w:val="25"/>
          <w:szCs w:val="25"/>
          <w:color w:val="auto"/>
          <w:vertAlign w:val="superscript"/>
        </w:rPr>
        <w:t>®</w:t>
      </w:r>
      <w:r>
        <w:rPr>
          <w:rFonts w:ascii="Arial" w:cs="Arial" w:eastAsia="Arial" w:hAnsi="Arial"/>
          <w:sz w:val="20"/>
          <w:szCs w:val="20"/>
          <w:color w:val="auto"/>
        </w:rPr>
        <w:t>), which has demonstrated a reduction in exacerbation risk in patients with severe chronic bronchitis. However, oral PDE4 therapy results in systemic exposure, which has been associated with unfavorable gastrointestinal side-effects such as nausea, emesis, diarrhea, abdominal pain, loss of appetite and weight loss.</w:t>
      </w:r>
    </w:p>
    <w:p>
      <w:pPr>
        <w:spacing w:after="0" w:line="8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Approximately 8.6 million COPD patients in the U.S. receive LAMA, LABA, or ICS treatments alone or in combination regardless of COPD severity. Despite these medications and the earlier use of dual (LAMA / LABA) and triple (LAMA / LABA / ICS) therapies, many patients continue to suffer debilitating symptoms. According to a December 2022 study by Phreesia, 49% of patients continue to have symptoms more than 24 days a month. This burden leaves a significant opportunity for new inhaled therapies that offer additional benefit added to the three main classes of treatment. New treatment options are urgently needed to help improve lung function and symptoms, reduce exacerbations and improve overall quality of life in these patients.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Ensifentrine</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Ensifentrine is an investigational, first-in-class, inhaled, small molecule and selective, dual PDE3 and PDE4 inhibitor. This dual inhibition enables it to act as a bronchodilator and a non-steroidal anti-inflammatory agent in a single compound. Importantly, ensifentrine’s therapeutic profile differentiates it from existing classes of bronchodilator and anti-inflammatory treatments. We are not aware of any other single compound in clinical development in the U.S. or Europe or approved by the FDA nor the European Commission for the treatment of respiratory diseases that acts both as a bronchodilator and anti-inflammatory agent. If successfully developed and approved, inhaled ensifentrine has the potential to be the first novel class of therapeutic in COPD in over 20 years and to become the only bronchodilator option that could be added to existing classes of inhaled therapies including LAMA, LABA and ICS.</w:t>
      </w:r>
    </w:p>
    <w:p>
      <w:pPr>
        <w:sectPr>
          <w:pgSz w:w="11880" w:h="15480" w:orient="portrait"/>
          <w:cols w:equalWidth="0" w:num="1">
            <w:col w:w="10200"/>
          </w:cols>
          <w:pgMar w:left="840" w:top="122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10200"/>
          </w:cols>
          <w:pgMar w:left="840" w:top="1229" w:right="840" w:bottom="0"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i w:val="1"/>
          <w:iCs w:val="1"/>
          <w:color w:val="auto"/>
        </w:rPr>
        <w:t>Safety profile</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Ensifentrine has been well tolerated in clinical trials involving approximately 3,000 subjects to date. Additionally, ensifentrine did not prolong the QT interval or impact other cardiac conduction parameters in a thorough QT study in healthy volunteers. It is delivered directly to the lungs by inhalation to maximize pulmonary exposure to ensifentrine while minimizing systemic exposure. This feature minimizes any systemic side-effects such as the gastrointestinal disturbance associated with oral PDE4 inhibitors. In addition, in non-clinical trials ensifentrine has demonstrated high selectivity for PDE3 and PDE4 over other enzymes and receptors, which is believed to minimize off-target effects.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Differentiated profile</w:t>
      </w:r>
    </w:p>
    <w:p>
      <w:pPr>
        <w:spacing w:after="0" w:line="11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By selectively inhibiting PDE3 and PDE4, ensifentrine impacts three key mechanisms in respiratory disease: bronchodilation, inflammation and mucociliary clearance. Ensifentrine is designed to increase the levels of cellular cAMP and cGMP in smooth muscle cells and inflammatory cells, resulting in bronchodilator and anti-inflammatory effects. Ensifentrine has also been shown to stimulate the cystic fibrosis transmembrane conductance regulator (“CFTR”), which is an ion channel in the epithelial cells lining the airways. Mutations in the CFTR protein result in poorly or non-functioning ion channels, which cause CF. CFTR dysfunction is also potentially important in COPD. CFTR stimulation leads to improved electrolyte balance in the lung and thinning of the mucus, which facilitates mucociliary clearance and leads to improved lung function and potentially a reduction in lung infections.</w:t>
      </w:r>
    </w:p>
    <w:p>
      <w:pPr>
        <w:spacing w:after="0" w:line="8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Dual inhibition of PDE3 and PDE4 has shown enhanced or synergistic effects compared with inhibition of either PDE alone on contraction of airway smooth muscle and suppression of inflammatory mediator release in several preclinical studies. We believe these enhanced effects may increase the utility of ensifentrine in the treatment of respiratory diseases including COPD, NCFBE, asthma and 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271780</wp:posOffset>
            </wp:positionV>
            <wp:extent cx="6914515" cy="3658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14515" cy="3658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believe ensifentrine has the potential to address the large unmet need in treating COPD with its improvements in lung function, COPD symptoms and quality of life.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Development of ensifentrine</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Clinical development of ensifentrine in COPD</w:t>
      </w:r>
    </w:p>
    <w:p>
      <w:pPr>
        <w:sectPr>
          <w:pgSz w:w="11880" w:h="15480" w:orient="portrait"/>
          <w:cols w:equalWidth="0" w:num="1">
            <w:col w:w="10200"/>
          </w:cols>
          <w:pgMar w:left="840" w:top="122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10200"/>
          </w:cols>
          <w:pgMar w:left="840" w:top="1226" w:right="840" w:bottom="0" w:gutter="0" w:footer="0" w:header="0"/>
          <w:type w:val="continuous"/>
        </w:sectPr>
      </w:pPr>
    </w:p>
    <w:bookmarkStart w:id="13" w:name="page14"/>
    <w:bookmarkEnd w:id="13"/>
    <w:p>
      <w:pPr>
        <w:ind w:left="5"/>
        <w:spacing w:after="0"/>
        <w:rPr>
          <w:sz w:val="20"/>
          <w:szCs w:val="20"/>
          <w:color w:val="auto"/>
        </w:rPr>
      </w:pPr>
      <w:r>
        <w:rPr>
          <w:rFonts w:ascii="Arial" w:cs="Arial" w:eastAsia="Arial" w:hAnsi="Arial"/>
          <w:sz w:val="20"/>
          <w:szCs w:val="20"/>
          <w:color w:val="auto"/>
        </w:rPr>
        <w:t>Phase 3 ENHANCE program</w:t>
      </w:r>
    </w:p>
    <w:p>
      <w:pPr>
        <w:spacing w:after="0" w:line="108" w:lineRule="exact"/>
        <w:rPr>
          <w:sz w:val="20"/>
          <w:szCs w:val="20"/>
          <w:color w:val="auto"/>
        </w:rPr>
      </w:pPr>
    </w:p>
    <w:p>
      <w:pPr>
        <w:jc w:val="both"/>
        <w:ind w:left="5"/>
        <w:spacing w:after="0" w:line="251" w:lineRule="auto"/>
        <w:rPr>
          <w:sz w:val="20"/>
          <w:szCs w:val="20"/>
          <w:color w:val="auto"/>
        </w:rPr>
      </w:pPr>
      <w:r>
        <w:rPr>
          <w:rFonts w:ascii="Arial" w:cs="Arial" w:eastAsia="Arial" w:hAnsi="Arial"/>
          <w:sz w:val="19"/>
          <w:szCs w:val="19"/>
          <w:color w:val="auto"/>
        </w:rPr>
        <w:t>Ensifentrine has successfully met the primary endpoints in two randomized, double-blind, placebo-controlled Phase 3 trials, ENHANCE-1 and ENHANCE-2, demonstrating statistically significant and clinically meaningful improvements in measures of lung function in moderate to severe COPD patients. Improvements in symptoms and quality of life measures were shown in both trials, which reached statistical significance in ENHANCE-1. Ensifentrine substantially reduced the rate and risk of moderate to severe COPD exacerbations in both trials. Ensifentrine was well tolerated in both trials.</w:t>
      </w:r>
    </w:p>
    <w:p>
      <w:pPr>
        <w:spacing w:after="0" w:line="71" w:lineRule="exact"/>
        <w:rPr>
          <w:sz w:val="20"/>
          <w:szCs w:val="20"/>
          <w:color w:val="auto"/>
        </w:rPr>
      </w:pPr>
    </w:p>
    <w:p>
      <w:pPr>
        <w:jc w:val="both"/>
        <w:ind w:left="5"/>
        <w:spacing w:after="0" w:line="244" w:lineRule="auto"/>
        <w:rPr>
          <w:sz w:val="20"/>
          <w:szCs w:val="20"/>
          <w:color w:val="auto"/>
        </w:rPr>
      </w:pPr>
      <w:r>
        <w:rPr>
          <w:rFonts w:ascii="Arial" w:cs="Arial" w:eastAsia="Arial" w:hAnsi="Arial"/>
          <w:sz w:val="20"/>
          <w:szCs w:val="20"/>
          <w:color w:val="auto"/>
        </w:rPr>
        <w:t>The ENHANCE trials were designed to evaluate ensifentrine as monotherapy and added onto a single bronchodilator with approximately 50% of subjects receiving either a LAMA or a LABA. Additionally, approximately 20% of subjects received ICSs with their concomitant LAMA or LABA.</w:t>
      </w:r>
    </w:p>
    <w:p>
      <w:pPr>
        <w:spacing w:after="0" w:line="75" w:lineRule="exact"/>
        <w:rPr>
          <w:sz w:val="20"/>
          <w:szCs w:val="20"/>
          <w:color w:val="auto"/>
        </w:rPr>
      </w:pPr>
    </w:p>
    <w:p>
      <w:pPr>
        <w:jc w:val="both"/>
        <w:ind w:left="5"/>
        <w:spacing w:after="0" w:line="244" w:lineRule="auto"/>
        <w:rPr>
          <w:sz w:val="20"/>
          <w:szCs w:val="20"/>
          <w:color w:val="auto"/>
        </w:rPr>
      </w:pPr>
      <w:r>
        <w:rPr>
          <w:rFonts w:ascii="Arial" w:cs="Arial" w:eastAsia="Arial" w:hAnsi="Arial"/>
          <w:sz w:val="20"/>
          <w:szCs w:val="20"/>
          <w:color w:val="auto"/>
        </w:rPr>
        <w:t>Each trial enrolled approximately 800 subjects, for a total of approximately 1,600 subjects, at sites primarily in the U.S. and Europe. The two trials provided replicate evidence of efficacy and safety data over 24 weeks and ENHANCE-1 also evaluated longer-term safety in approximately 400 subjects over 48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86995</wp:posOffset>
            </wp:positionV>
            <wp:extent cx="6634480" cy="4556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34480" cy="455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
        <w:spacing w:after="0"/>
        <w:rPr>
          <w:sz w:val="20"/>
          <w:szCs w:val="20"/>
          <w:color w:val="auto"/>
        </w:rPr>
      </w:pPr>
      <w:r>
        <w:rPr>
          <w:rFonts w:ascii="Arial" w:cs="Arial" w:eastAsia="Arial" w:hAnsi="Arial"/>
          <w:sz w:val="20"/>
          <w:szCs w:val="20"/>
          <w:color w:val="auto"/>
        </w:rPr>
        <w:t>Subject demographics and disease characteristics were well balanced between treatment groups in both trials.</w:t>
      </w:r>
    </w:p>
    <w:p>
      <w:pPr>
        <w:spacing w:after="0" w:line="128" w:lineRule="exact"/>
        <w:rPr>
          <w:sz w:val="20"/>
          <w:szCs w:val="20"/>
          <w:color w:val="auto"/>
        </w:rPr>
      </w:pPr>
    </w:p>
    <w:p>
      <w:pPr>
        <w:ind w:left="365" w:hanging="365"/>
        <w:spacing w:after="0" w:line="260" w:lineRule="auto"/>
        <w:tabs>
          <w:tab w:leader="none" w:pos="365"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ENHANCE-1 approximately 69% of subjects received background COPD therapy, either LAMA or a LABA. Additionally, approximately 20% of all subjects received ICS with concomitant LAMA or LABA.</w:t>
      </w:r>
    </w:p>
    <w:p>
      <w:pPr>
        <w:spacing w:after="0" w:line="58" w:lineRule="exact"/>
        <w:rPr>
          <w:rFonts w:ascii="Arial" w:cs="Arial" w:eastAsia="Arial" w:hAnsi="Arial"/>
          <w:sz w:val="20"/>
          <w:szCs w:val="20"/>
          <w:color w:val="auto"/>
        </w:rPr>
      </w:pPr>
    </w:p>
    <w:p>
      <w:pPr>
        <w:ind w:left="365" w:hanging="365"/>
        <w:spacing w:after="0" w:line="260" w:lineRule="auto"/>
        <w:tabs>
          <w:tab w:leader="none" w:pos="365" w:val="left"/>
        </w:tabs>
        <w:numPr>
          <w:ilvl w:val="0"/>
          <w:numId w:val="9"/>
        </w:numPr>
        <w:rPr>
          <w:rFonts w:ascii="Arial" w:cs="Arial" w:eastAsia="Arial" w:hAnsi="Arial"/>
          <w:sz w:val="20"/>
          <w:szCs w:val="20"/>
          <w:color w:val="auto"/>
        </w:rPr>
      </w:pPr>
      <w:r>
        <w:rPr>
          <w:rFonts w:ascii="Arial" w:cs="Arial" w:eastAsia="Arial" w:hAnsi="Arial"/>
          <w:sz w:val="20"/>
          <w:szCs w:val="20"/>
          <w:color w:val="auto"/>
        </w:rPr>
        <w:t>In ENHANCE-2 approximately 55% of subjects received background COPD therapy, either a LAMA or a LABA. Additionally, approximately 15% of all subjects received ICS with concomitant LAMA or LABA.</w:t>
      </w:r>
    </w:p>
    <w:p>
      <w:pPr>
        <w:sectPr>
          <w:pgSz w:w="11880" w:h="15480" w:orient="portrait"/>
          <w:cols w:equalWidth="0" w:num="1">
            <w:col w:w="10205"/>
          </w:cols>
          <w:pgMar w:left="835" w:top="122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10205"/>
          </w:cols>
          <w:pgMar w:left="835" w:top="1229" w:right="840" w:bottom="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217805</wp:posOffset>
            </wp:positionH>
            <wp:positionV relativeFrom="page">
              <wp:posOffset>820420</wp:posOffset>
            </wp:positionV>
            <wp:extent cx="7108190" cy="37655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108190" cy="376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5"/>
        <w:spacing w:after="0" w:line="269" w:lineRule="auto"/>
        <w:rPr>
          <w:sz w:val="20"/>
          <w:szCs w:val="20"/>
          <w:color w:val="auto"/>
        </w:rPr>
      </w:pPr>
      <w:r>
        <w:rPr>
          <w:rFonts w:ascii="Arial" w:cs="Arial" w:eastAsia="Arial" w:hAnsi="Arial"/>
          <w:sz w:val="18"/>
          <w:szCs w:val="18"/>
          <w:color w:val="auto"/>
        </w:rPr>
        <w:t>We reported positive top-line results from ENHANCE-2 and ENHANCE-1, in August and December 2022, respectively. Ensifentrine successfully met the primary endpoints in both trials, demonstrating statistically significant and clinically meaningful improvements in measures of lung function in moderate to severe COPD patients. Improvements in symptoms and quality of life measures were shown in both trials, which reached statistical significance in ENHANCE-1. Ensifentrine substantially reduced the rate and risk of moderate to severe COPD exacerbations and was well tolerated in both trials.</w:t>
      </w:r>
    </w:p>
    <w:p>
      <w:pPr>
        <w:spacing w:after="0" w:line="51"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auto"/>
        </w:rPr>
        <w:t>Highlights</w:t>
      </w:r>
    </w:p>
    <w:p>
      <w:pPr>
        <w:spacing w:after="0" w:line="34"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auto"/>
        </w:rPr>
        <w:t>Primary endpoint met (FEV</w:t>
      </w:r>
      <w:r>
        <w:rPr>
          <w:rFonts w:ascii="Arial" w:cs="Arial" w:eastAsia="Arial" w:hAnsi="Arial"/>
          <w:sz w:val="25"/>
          <w:szCs w:val="25"/>
          <w:b w:val="1"/>
          <w:bCs w:val="1"/>
          <w:color w:val="auto"/>
          <w:vertAlign w:val="subscript"/>
        </w:rPr>
        <w:t>1</w:t>
      </w:r>
      <w:r>
        <w:rPr>
          <w:rFonts w:ascii="Arial" w:cs="Arial" w:eastAsia="Arial" w:hAnsi="Arial"/>
          <w:sz w:val="20"/>
          <w:szCs w:val="20"/>
          <w:b w:val="1"/>
          <w:bCs w:val="1"/>
          <w:color w:val="auto"/>
        </w:rPr>
        <w:t xml:space="preserve"> AUC 0-12 hr)</w:t>
      </w:r>
    </w:p>
    <w:p>
      <w:pPr>
        <w:spacing w:after="0" w:line="58" w:lineRule="exact"/>
        <w:rPr>
          <w:sz w:val="20"/>
          <w:szCs w:val="20"/>
          <w:color w:val="auto"/>
        </w:rPr>
      </w:pPr>
    </w:p>
    <w:p>
      <w:pPr>
        <w:ind w:left="365" w:hanging="365"/>
        <w:spacing w:after="0" w:line="314" w:lineRule="auto"/>
        <w:tabs>
          <w:tab w:leader="none" w:pos="365" w:val="left"/>
        </w:tabs>
        <w:numPr>
          <w:ilvl w:val="0"/>
          <w:numId w:val="10"/>
        </w:numPr>
        <w:rPr>
          <w:rFonts w:ascii="Arial" w:cs="Arial" w:eastAsia="Arial" w:hAnsi="Arial"/>
          <w:sz w:val="19"/>
          <w:szCs w:val="19"/>
          <w:color w:val="auto"/>
        </w:rPr>
      </w:pPr>
      <w:r>
        <w:rPr>
          <w:rFonts w:ascii="Arial" w:cs="Arial" w:eastAsia="Arial" w:hAnsi="Arial"/>
          <w:sz w:val="19"/>
          <w:szCs w:val="19"/>
          <w:color w:val="auto"/>
        </w:rPr>
        <w:t>Placebo corrected, change from baseline in average FEV</w:t>
      </w:r>
      <w:r>
        <w:rPr>
          <w:rFonts w:ascii="Arial" w:cs="Arial" w:eastAsia="Arial" w:hAnsi="Arial"/>
          <w:sz w:val="24"/>
          <w:szCs w:val="24"/>
          <w:color w:val="auto"/>
          <w:vertAlign w:val="subscript"/>
        </w:rPr>
        <w:t>1</w:t>
      </w:r>
      <w:r>
        <w:rPr>
          <w:rFonts w:ascii="Arial" w:cs="Arial" w:eastAsia="Arial" w:hAnsi="Arial"/>
          <w:sz w:val="19"/>
          <w:szCs w:val="19"/>
          <w:color w:val="auto"/>
        </w:rPr>
        <w:t xml:space="preserve"> area under the curve 0-12 hours post dose at week 12 was 87 mL (p&lt;0.0001) for ensifentrine in ENHANCE-1 and 94 mL (p&lt;0.0001) for ensifentrine in ENHANCE-2.</w:t>
      </w:r>
    </w:p>
    <w:p>
      <w:pPr>
        <w:ind w:left="365" w:hanging="365"/>
        <w:spacing w:after="0" w:line="237" w:lineRule="auto"/>
        <w:tabs>
          <w:tab w:leader="none" w:pos="365" w:val="left"/>
        </w:tabs>
        <w:numPr>
          <w:ilvl w:val="0"/>
          <w:numId w:val="10"/>
        </w:numPr>
        <w:rPr>
          <w:rFonts w:ascii="Arial" w:cs="Arial" w:eastAsia="Arial" w:hAnsi="Arial"/>
          <w:sz w:val="19"/>
          <w:szCs w:val="19"/>
          <w:color w:val="auto"/>
        </w:rPr>
      </w:pPr>
      <w:r>
        <w:rPr>
          <w:rFonts w:ascii="Arial" w:cs="Arial" w:eastAsia="Arial" w:hAnsi="Arial"/>
          <w:sz w:val="19"/>
          <w:szCs w:val="19"/>
          <w:color w:val="auto"/>
        </w:rPr>
        <w:t>Demonstrated consistent improvements with ensifentrine in all subgroups including gender, age, smoking status, COPD severity, background medication, ICS use, chronic bronchitis, FEV</w:t>
      </w:r>
      <w:r>
        <w:rPr>
          <w:rFonts w:ascii="Arial" w:cs="Arial" w:eastAsia="Arial" w:hAnsi="Arial"/>
          <w:sz w:val="24"/>
          <w:szCs w:val="24"/>
          <w:color w:val="auto"/>
          <w:vertAlign w:val="subscript"/>
        </w:rPr>
        <w:t>1</w:t>
      </w:r>
      <w:r>
        <w:rPr>
          <w:rFonts w:ascii="Arial" w:cs="Arial" w:eastAsia="Arial" w:hAnsi="Arial"/>
          <w:sz w:val="19"/>
          <w:szCs w:val="19"/>
          <w:color w:val="auto"/>
        </w:rPr>
        <w:t xml:space="preserve"> reversibility and geographic region.</w:t>
      </w:r>
    </w:p>
    <w:p>
      <w:pPr>
        <w:spacing w:after="0" w:line="62"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auto"/>
        </w:rPr>
        <w:t>Secondary endpoints evaluating lung function met:</w:t>
      </w:r>
    </w:p>
    <w:p>
      <w:pPr>
        <w:spacing w:after="0" w:line="42" w:lineRule="exact"/>
        <w:rPr>
          <w:sz w:val="20"/>
          <w:szCs w:val="20"/>
          <w:color w:val="auto"/>
        </w:rPr>
      </w:pPr>
    </w:p>
    <w:p>
      <w:pPr>
        <w:ind w:left="365" w:hanging="365"/>
        <w:spacing w:after="0" w:line="265" w:lineRule="auto"/>
        <w:tabs>
          <w:tab w:leader="none" w:pos="365" w:val="left"/>
        </w:tabs>
        <w:numPr>
          <w:ilvl w:val="0"/>
          <w:numId w:val="11"/>
        </w:numPr>
        <w:rPr>
          <w:rFonts w:ascii="Arial" w:cs="Arial" w:eastAsia="Arial" w:hAnsi="Arial"/>
          <w:sz w:val="20"/>
          <w:szCs w:val="20"/>
          <w:color w:val="auto"/>
        </w:rPr>
      </w:pPr>
      <w:r>
        <w:rPr>
          <w:rFonts w:ascii="Arial" w:cs="Arial" w:eastAsia="Arial" w:hAnsi="Arial"/>
          <w:sz w:val="20"/>
          <w:szCs w:val="20"/>
          <w:color w:val="auto"/>
        </w:rPr>
        <w:t>Placebo corrected, increase in peak FEV</w:t>
      </w:r>
      <w:r>
        <w:rPr>
          <w:rFonts w:ascii="Arial" w:cs="Arial" w:eastAsia="Arial" w:hAnsi="Arial"/>
          <w:sz w:val="25"/>
          <w:szCs w:val="25"/>
          <w:color w:val="auto"/>
          <w:vertAlign w:val="subscript"/>
        </w:rPr>
        <w:t>1</w:t>
      </w:r>
      <w:r>
        <w:rPr>
          <w:rFonts w:ascii="Arial" w:cs="Arial" w:eastAsia="Arial" w:hAnsi="Arial"/>
          <w:sz w:val="20"/>
          <w:szCs w:val="20"/>
          <w:color w:val="auto"/>
        </w:rPr>
        <w:t xml:space="preserve"> of 147 mL (p&lt;0.0001) 0-4 hours post dose at week 12 in ENHANCE-1 and 146 mL (p&lt;0.0001) in ENHANCE-2.</w:t>
      </w:r>
    </w:p>
    <w:p>
      <w:pPr>
        <w:ind w:left="365" w:hanging="365"/>
        <w:spacing w:after="0" w:line="281" w:lineRule="auto"/>
        <w:tabs>
          <w:tab w:leader="none" w:pos="365" w:val="left"/>
        </w:tabs>
        <w:numPr>
          <w:ilvl w:val="0"/>
          <w:numId w:val="11"/>
        </w:numPr>
        <w:rPr>
          <w:rFonts w:ascii="Arial" w:cs="Arial" w:eastAsia="Arial" w:hAnsi="Arial"/>
          <w:sz w:val="20"/>
          <w:szCs w:val="20"/>
          <w:color w:val="auto"/>
        </w:rPr>
      </w:pPr>
      <w:r>
        <w:rPr>
          <w:rFonts w:ascii="Arial" w:cs="Arial" w:eastAsia="Arial" w:hAnsi="Arial"/>
          <w:sz w:val="20"/>
          <w:szCs w:val="20"/>
          <w:color w:val="auto"/>
        </w:rPr>
        <w:t>Placebo corrected, increase in morning trough FEV</w:t>
      </w:r>
      <w:r>
        <w:rPr>
          <w:rFonts w:ascii="Arial" w:cs="Arial" w:eastAsia="Arial" w:hAnsi="Arial"/>
          <w:sz w:val="25"/>
          <w:szCs w:val="25"/>
          <w:color w:val="auto"/>
          <w:vertAlign w:val="subscript"/>
        </w:rPr>
        <w:t>1</w:t>
      </w:r>
      <w:r>
        <w:rPr>
          <w:rFonts w:ascii="Arial" w:cs="Arial" w:eastAsia="Arial" w:hAnsi="Arial"/>
          <w:sz w:val="20"/>
          <w:szCs w:val="20"/>
          <w:color w:val="auto"/>
        </w:rPr>
        <w:t xml:space="preserve"> of 35 mL (p=0.0413) at week 12 in ENHANCE-1 and 49 mL (p=0.0016) in ENHANCE-2, supporting twice daily dosing regimen.</w:t>
      </w:r>
    </w:p>
    <w:p>
      <w:pPr>
        <w:sectPr>
          <w:pgSz w:w="11880" w:h="15480" w:orient="portrait"/>
          <w:cols w:equalWidth="0" w:num="1">
            <w:col w:w="10205"/>
          </w:cols>
          <w:pgMar w:left="835"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10205"/>
          </w:cols>
          <w:pgMar w:left="835" w:top="1440" w:right="840" w:bottom="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217805</wp:posOffset>
            </wp:positionH>
            <wp:positionV relativeFrom="page">
              <wp:posOffset>820420</wp:posOffset>
            </wp:positionV>
            <wp:extent cx="7108190" cy="3566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108190"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auto"/>
        </w:rPr>
        <w:t>Exacerbation rate and risk reduced</w:t>
      </w:r>
    </w:p>
    <w:p>
      <w:pPr>
        <w:spacing w:after="0" w:line="135" w:lineRule="exact"/>
        <w:rPr>
          <w:sz w:val="20"/>
          <w:szCs w:val="20"/>
          <w:color w:val="auto"/>
        </w:rPr>
      </w:pPr>
    </w:p>
    <w:p>
      <w:pPr>
        <w:jc w:val="both"/>
        <w:ind w:left="365" w:hanging="365"/>
        <w:spacing w:after="0" w:line="244" w:lineRule="auto"/>
        <w:tabs>
          <w:tab w:leader="none" w:pos="365" w:val="left"/>
        </w:tabs>
        <w:numPr>
          <w:ilvl w:val="0"/>
          <w:numId w:val="12"/>
        </w:numPr>
        <w:rPr>
          <w:rFonts w:ascii="Arial" w:cs="Arial" w:eastAsia="Arial" w:hAnsi="Arial"/>
          <w:sz w:val="20"/>
          <w:szCs w:val="20"/>
          <w:color w:val="auto"/>
        </w:rPr>
      </w:pPr>
      <w:r>
        <w:rPr>
          <w:rFonts w:ascii="Arial" w:cs="Arial" w:eastAsia="Arial" w:hAnsi="Arial"/>
          <w:sz w:val="20"/>
          <w:szCs w:val="20"/>
          <w:color w:val="auto"/>
        </w:rPr>
        <w:t>Subjects receiving ensifentrine demonstrated a 36% reduction in the rate of moderate to severe COPD exacerbations over 24 weeks (p=0.0503) compared to those receiving placebo in ENHANCE-1 and a 43% reduction (p=0.0090) in ENHANCE-2.</w:t>
      </w:r>
    </w:p>
    <w:p>
      <w:pPr>
        <w:sectPr>
          <w:pgSz w:w="11880" w:h="15480" w:orient="portrait"/>
          <w:cols w:equalWidth="0" w:num="1">
            <w:col w:w="10205"/>
          </w:cols>
          <w:pgMar w:left="835"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10205"/>
          </w:cols>
          <w:pgMar w:left="835" w:top="1440" w:right="840" w:bottom="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217805</wp:posOffset>
            </wp:positionH>
            <wp:positionV relativeFrom="page">
              <wp:posOffset>820420</wp:posOffset>
            </wp:positionV>
            <wp:extent cx="7108190" cy="35267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108190" cy="3526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5" w:hanging="365"/>
        <w:spacing w:after="0" w:line="286" w:lineRule="auto"/>
        <w:tabs>
          <w:tab w:leader="none" w:pos="365" w:val="left"/>
        </w:tabs>
        <w:numPr>
          <w:ilvl w:val="0"/>
          <w:numId w:val="13"/>
        </w:numPr>
        <w:rPr>
          <w:rFonts w:ascii="Arial" w:cs="Arial" w:eastAsia="Arial" w:hAnsi="Arial"/>
          <w:sz w:val="19"/>
          <w:szCs w:val="19"/>
          <w:color w:val="auto"/>
        </w:rPr>
      </w:pPr>
      <w:r>
        <w:rPr>
          <w:rFonts w:ascii="Arial" w:cs="Arial" w:eastAsia="Arial" w:hAnsi="Arial"/>
          <w:sz w:val="19"/>
          <w:szCs w:val="19"/>
          <w:color w:val="auto"/>
        </w:rPr>
        <w:t>In pooled exacerbation data from ENHANCE-1 and ENHANCE-2, ensifentrine demonstrated a 40% reduction in the rate of moderate to severe COPD exacerbations over 24 weeks (p=0.0012) compared to those receiving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62865</wp:posOffset>
            </wp:positionV>
            <wp:extent cx="6634480" cy="2501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34480" cy="250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65" w:hanging="365"/>
        <w:spacing w:after="0" w:line="315" w:lineRule="auto"/>
        <w:tabs>
          <w:tab w:leader="none" w:pos="3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Treatment with ensifentrine significantly decreased the risk of a moderate/severe exacerbation as measured by time to first exacerbation when compared with placebo by 38% (p=0.0382) in ENHANCE-1 and by 42% (p=0.0089) in ENHANCE-2.</w:t>
      </w:r>
    </w:p>
    <w:p>
      <w:pPr>
        <w:sectPr>
          <w:pgSz w:w="11880" w:h="15480" w:orient="portrait"/>
          <w:cols w:equalWidth="0" w:num="1">
            <w:col w:w="10205"/>
          </w:cols>
          <w:pgMar w:left="835"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10205"/>
          </w:cols>
          <w:pgMar w:left="835" w:top="1440" w:right="840" w:bottom="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217805</wp:posOffset>
            </wp:positionH>
            <wp:positionV relativeFrom="page">
              <wp:posOffset>820420</wp:posOffset>
            </wp:positionV>
            <wp:extent cx="7108190" cy="4345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108190" cy="434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5" w:hanging="365"/>
        <w:spacing w:after="0" w:line="315" w:lineRule="auto"/>
        <w:tabs>
          <w:tab w:leader="none" w:pos="3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pooled exacerbation data from ENHANCE-1 and ENHANCE-2, ensifentrine significantly decreased the risk of a moderate/severe exacerbation as measured by time to first exacerbation when compared with placebo by 41% (p=0.0009).</w:t>
      </w:r>
    </w:p>
    <w:p>
      <w:pPr>
        <w:sectPr>
          <w:pgSz w:w="11880" w:h="15480" w:orient="portrait"/>
          <w:cols w:equalWidth="0" w:num="1">
            <w:col w:w="10205"/>
          </w:cols>
          <w:pgMar w:left="835"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10205"/>
          </w:cols>
          <w:pgMar w:left="835" w:top="1440" w:right="840" w:bottom="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454660</wp:posOffset>
            </wp:positionH>
            <wp:positionV relativeFrom="page">
              <wp:posOffset>820420</wp:posOffset>
            </wp:positionV>
            <wp:extent cx="6634480" cy="3778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634480" cy="377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auto"/>
        </w:rPr>
        <w:t xml:space="preserve">COPD symptoms and Quality of Life </w:t>
      </w:r>
      <w:r>
        <w:rPr>
          <w:rFonts w:ascii="Arial" w:cs="Arial" w:eastAsia="Arial" w:hAnsi="Arial"/>
          <w:sz w:val="20"/>
          <w:szCs w:val="20"/>
          <w:color w:val="auto"/>
        </w:rPr>
        <w:t>(“QOL”)</w:t>
      </w:r>
    </w:p>
    <w:p>
      <w:pPr>
        <w:spacing w:after="0" w:line="132" w:lineRule="exact"/>
        <w:rPr>
          <w:sz w:val="20"/>
          <w:szCs w:val="20"/>
          <w:color w:val="auto"/>
        </w:rPr>
      </w:pPr>
    </w:p>
    <w:p>
      <w:pPr>
        <w:jc w:val="both"/>
        <w:ind w:left="365" w:hanging="365"/>
        <w:spacing w:after="0" w:line="251" w:lineRule="auto"/>
        <w:tabs>
          <w:tab w:leader="none" w:pos="365" w:val="left"/>
        </w:tabs>
        <w:numPr>
          <w:ilvl w:val="0"/>
          <w:numId w:val="16"/>
        </w:numPr>
        <w:rPr>
          <w:rFonts w:ascii="Arial" w:cs="Arial" w:eastAsia="Arial" w:hAnsi="Arial"/>
          <w:sz w:val="19"/>
          <w:szCs w:val="19"/>
          <w:color w:val="auto"/>
        </w:rPr>
      </w:pPr>
      <w:r>
        <w:rPr>
          <w:rFonts w:ascii="Arial" w:cs="Arial" w:eastAsia="Arial" w:hAnsi="Arial"/>
          <w:sz w:val="19"/>
          <w:szCs w:val="19"/>
          <w:color w:val="auto"/>
        </w:rPr>
        <w:t>In ENHANCE-1, daily symptoms as measured by E-RS* Total Score in the ensifentrine group improved from baseline to greater than the minimal clinically important difference (“MCID”) of -2 units with a statistically significant improvement compared to placebo at week 24. Improvements in symptoms were early and sustained with statistical significance versus placebo at weeks 6, 12 and 24. Similar improvements were demonstrated in ENHANCE-2 but statistical significance was not achieved due to improvements observed in the placebo group over time.</w:t>
      </w:r>
    </w:p>
    <w:p>
      <w:pPr>
        <w:sectPr>
          <w:pgSz w:w="11880" w:h="15480" w:orient="portrait"/>
          <w:cols w:equalWidth="0" w:num="1">
            <w:col w:w="10205"/>
          </w:cols>
          <w:pgMar w:left="835"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10205"/>
          </w:cols>
          <w:pgMar w:left="835" w:top="1440" w:right="840" w:bottom="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454660</wp:posOffset>
            </wp:positionH>
            <wp:positionV relativeFrom="page">
              <wp:posOffset>820420</wp:posOffset>
            </wp:positionV>
            <wp:extent cx="6634480" cy="3437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634480"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365" w:hanging="365"/>
        <w:spacing w:after="0" w:line="249" w:lineRule="auto"/>
        <w:tabs>
          <w:tab w:leader="none" w:pos="365" w:val="left"/>
        </w:tabs>
        <w:numPr>
          <w:ilvl w:val="0"/>
          <w:numId w:val="17"/>
        </w:numPr>
        <w:rPr>
          <w:rFonts w:ascii="Arial" w:cs="Arial" w:eastAsia="Arial" w:hAnsi="Arial"/>
          <w:sz w:val="19"/>
          <w:szCs w:val="19"/>
          <w:color w:val="auto"/>
        </w:rPr>
      </w:pPr>
      <w:r>
        <w:rPr>
          <w:rFonts w:ascii="Arial" w:cs="Arial" w:eastAsia="Arial" w:hAnsi="Arial"/>
          <w:sz w:val="19"/>
          <w:szCs w:val="19"/>
          <w:color w:val="auto"/>
        </w:rPr>
        <w:t>In ENHANCE-1, QOL as measured by SGRQ* Total Score in the ensifentrine group improved from baseline to greater than the MCID of -4 units with a statistically significant improvement compared to placebo at week 24. Improvements in QOL were early and sustained with statistical significance versus placebo at weeks 6, 12 and 24. In ENHANCE-2, QOL as measured by SGRQ* Total Score in the ensifentrine group also improved from baseline to greater than the MCID of -4 units at weeks 12 and 24, numerically exceeding placebo at each measurement, but statistical significance was not achieved due to improvements observed in the placebo group over time.</w:t>
      </w:r>
    </w:p>
    <w:p>
      <w:pPr>
        <w:spacing w:after="0" w:line="73" w:lineRule="exact"/>
        <w:rPr>
          <w:sz w:val="20"/>
          <w:szCs w:val="20"/>
          <w:color w:val="auto"/>
        </w:rPr>
      </w:pPr>
    </w:p>
    <w:p>
      <w:pPr>
        <w:ind w:left="5"/>
        <w:spacing w:after="0" w:line="260" w:lineRule="auto"/>
        <w:rPr>
          <w:sz w:val="20"/>
          <w:szCs w:val="20"/>
          <w:color w:val="auto"/>
        </w:rPr>
      </w:pPr>
      <w:r>
        <w:rPr>
          <w:rFonts w:ascii="Arial" w:cs="Arial" w:eastAsia="Arial" w:hAnsi="Arial"/>
          <w:sz w:val="20"/>
          <w:szCs w:val="20"/>
          <w:color w:val="auto"/>
        </w:rPr>
        <w:t>*E-RS, Evaluating Respiratory Symptoms, and SGRQ, St. George’s Respiratory Questionnaire, are validated patient reported outcome tools</w:t>
      </w:r>
    </w:p>
    <w:p>
      <w:pPr>
        <w:sectPr>
          <w:pgSz w:w="11880" w:h="15480" w:orient="portrait"/>
          <w:cols w:equalWidth="0" w:num="1">
            <w:col w:w="10205"/>
          </w:cols>
          <w:pgMar w:left="835"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0205"/>
          </w:cols>
          <w:pgMar w:left="835" w:top="1440" w:right="840" w:bottom="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454660</wp:posOffset>
            </wp:positionH>
            <wp:positionV relativeFrom="page">
              <wp:posOffset>820420</wp:posOffset>
            </wp:positionV>
            <wp:extent cx="6634480" cy="3576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634480"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
        <w:spacing w:after="0"/>
        <w:rPr>
          <w:sz w:val="20"/>
          <w:szCs w:val="20"/>
          <w:color w:val="auto"/>
        </w:rPr>
      </w:pPr>
      <w:r>
        <w:rPr>
          <w:rFonts w:ascii="Arial" w:cs="Arial" w:eastAsia="Arial" w:hAnsi="Arial"/>
          <w:sz w:val="20"/>
          <w:szCs w:val="20"/>
          <w:b w:val="1"/>
          <w:bCs w:val="1"/>
          <w:color w:val="auto"/>
        </w:rPr>
        <w:t>Favorable safety profile</w:t>
      </w:r>
    </w:p>
    <w:p>
      <w:pPr>
        <w:spacing w:after="0" w:line="135" w:lineRule="exact"/>
        <w:rPr>
          <w:sz w:val="20"/>
          <w:szCs w:val="20"/>
          <w:color w:val="auto"/>
        </w:rPr>
      </w:pPr>
    </w:p>
    <w:p>
      <w:pPr>
        <w:ind w:left="365" w:hanging="365"/>
        <w:spacing w:after="0" w:line="260" w:lineRule="auto"/>
        <w:tabs>
          <w:tab w:leader="none" w:pos="365" w:val="left"/>
        </w:tabs>
        <w:numPr>
          <w:ilvl w:val="0"/>
          <w:numId w:val="18"/>
        </w:numPr>
        <w:rPr>
          <w:rFonts w:ascii="Arial" w:cs="Arial" w:eastAsia="Arial" w:hAnsi="Arial"/>
          <w:sz w:val="20"/>
          <w:szCs w:val="20"/>
          <w:color w:val="auto"/>
        </w:rPr>
      </w:pPr>
      <w:r>
        <w:rPr>
          <w:rFonts w:ascii="Arial" w:cs="Arial" w:eastAsia="Arial" w:hAnsi="Arial"/>
          <w:sz w:val="20"/>
          <w:szCs w:val="20"/>
          <w:color w:val="auto"/>
        </w:rPr>
        <w:t>Ensifentrine was well tolerated with very few adverse events occurring in more than 1% of subjects and greater than placebo over 24 and 48 weeks.</w:t>
      </w:r>
    </w:p>
    <w:p>
      <w:pPr>
        <w:sectPr>
          <w:pgSz w:w="11880" w:h="15480" w:orient="portrait"/>
          <w:cols w:equalWidth="0" w:num="1">
            <w:col w:w="10205"/>
          </w:cols>
          <w:pgMar w:left="835"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205"/>
          </w:cols>
          <w:pgMar w:left="835" w:top="1440" w:right="840" w:bottom="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925195</wp:posOffset>
            </wp:positionV>
            <wp:extent cx="7138035" cy="3354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138035" cy="335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believe ensifentrine, if approved, has the potential to change the treatment paradigm for COPD. The totality of data from clinical trials, in particular the top-line results from the ENHANCE program, including improvements in measures of lung function, symptoms, quality of life measures, and exacerbation reductions, coupled with the consistent safety results, support our belief.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89535</wp:posOffset>
            </wp:positionV>
            <wp:extent cx="6823710" cy="3632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23710" cy="3632200"/>
                    </a:xfrm>
                    <a:prstGeom prst="rect">
                      <a:avLst/>
                    </a:prstGeom>
                    <a:noFill/>
                  </pic:spPr>
                </pic:pic>
              </a:graphicData>
            </a:graphic>
          </wp:anchor>
        </w:drawing>
      </w:r>
    </w:p>
    <w:p>
      <w:pPr>
        <w:sectPr>
          <w:pgSz w:w="11880" w:h="15480" w:orient="portrait"/>
          <w:cols w:equalWidth="0" w:num="1">
            <w:col w:w="10200"/>
          </w:cols>
          <w:pgMar w:left="84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200"/>
          </w:cols>
          <w:pgMar w:left="840" w:top="1440" w:right="840" w:bottom="0" w:gutter="0" w:footer="0" w:header="0"/>
          <w:type w:val="continuous"/>
        </w:sectPr>
      </w:pPr>
    </w:p>
    <w:bookmarkStart w:id="22" w:name="page23"/>
    <w:bookmarkEnd w:id="22"/>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Formulations</w:t>
      </w:r>
    </w:p>
    <w:p>
      <w:pPr>
        <w:spacing w:after="0" w:line="11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We have developed formulations of ensifentrine for the three most widely used inhalation devices: nebulizer, DPI and pMDI. The nebulized formulation of ensifentrine is designed to be suitable for use in a standard jet nebulizer, not a proprietary device. Delivery of COPD medications by nebulizer is important because such medications can be used by adults of almost any age and dexterity and regardless of peak inspiratory flow, offering advantages to patients who struggle to operate handheld inhaler devices or have low peak inspiratory flow. DPI and pMDI handheld inhaler formats are relatively portable and convenient and are also important delivery mechanisms.</w:t>
      </w:r>
    </w:p>
    <w:p>
      <w:pPr>
        <w:spacing w:after="0" w:line="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continue to focus on development of the nebulized formulation of ensifentrine, we believe the development of pMDI and DPI formulations of ensifentrine provides additional lifecycle opportunities including new potential indications, formulation combinations and collaborations. In February 2021, we reported positive results from the second, multiple dose part of a Phase 2 trial with pMDI ensifentrine in patients with moderate to severe COPD. Ensifentrine delivered by pMDI met all of the primary and secondary lung function endpoints. The improvement in lung function was dose-ordered and statistically significant at peak and over the 12-hour dosing interval compared with placebo, and supports twice-daily dosing of ensifentrine via pMDI for the treatment of COPD. Data from the single dose part of the study were reported in March 2020.</w:t>
      </w:r>
    </w:p>
    <w:p>
      <w:pPr>
        <w:spacing w:after="0" w:line="58"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have successfully demonstrated proof of concept in Phase 2 COPD trials with all three formulations. In addition, the data from Phase 2 trials were consistent across the three formulations. All three dosage forms have demonstrated statistically significant and clinically meaningful improvements in lung function and duration of action, supporting twice-daily dosing and a safety profile similar to placebo.</w:t>
      </w:r>
    </w:p>
    <w:p>
      <w:pPr>
        <w:sectPr>
          <w:pgSz w:w="11880" w:h="15480" w:orient="portrait"/>
          <w:cols w:equalWidth="0" w:num="1">
            <w:col w:w="10200"/>
          </w:cols>
          <w:pgMar w:left="84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200"/>
          </w:cols>
          <w:pgMar w:left="840" w:top="1440" w:right="840" w:bottom="0" w:gutter="0" w:footer="0" w:header="0"/>
          <w:type w:val="continuous"/>
        </w:sectPr>
      </w:pPr>
    </w:p>
    <w:bookmarkStart w:id="23" w:name="page24"/>
    <w:bookmarkEnd w:id="23"/>
    <w:p>
      <w:pPr>
        <w:spacing w:after="0"/>
        <w:rPr>
          <w:sz w:val="20"/>
          <w:szCs w:val="20"/>
          <w:color w:val="auto"/>
        </w:rPr>
      </w:pPr>
      <w:r>
        <w:rPr>
          <w:rFonts w:ascii="Arial" w:cs="Arial" w:eastAsia="Arial" w:hAnsi="Arial"/>
          <w:sz w:val="20"/>
          <w:szCs w:val="20"/>
          <w:b w:val="1"/>
          <w:bCs w:val="1"/>
          <w:i w:val="1"/>
          <w:iCs w:val="1"/>
          <w:color w:val="auto"/>
        </w:rPr>
        <w:t>Pipeline</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our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6823710" cy="3695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23710" cy="369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Planned Clinical Development Activities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Ensifentrine / LAMA fixed-dose combination</w:t>
      </w:r>
    </w:p>
    <w:p>
      <w:pPr>
        <w:spacing w:after="0" w:line="11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Fixed-dose combination therapies such as LABA / LAMA, LABA / ICS and LABA / LAMA / ICS are commonly used in the treatment of COPD and, based on our market research, an unmet need exists for a nebulized fixed-dose combination therapy. We believe the combination of ensifentrine with a LAMA could provide COPD patients with the first nebulized fixed-dosed combination with the potential to provide bronchodilation through a dual mechanism and also non-steroidal anti-inflammatory effects via PDE inhibition. We are developing a fixed-dose combination formulation with ensifentrine and glycopyrrolate, a LAMA, for the maintenance treatment of patients with COPD via delivery in a nebulizer. We have filed patent applications in multiple jurisdictions including the US.</w:t>
      </w:r>
    </w:p>
    <w:p>
      <w:pPr>
        <w:spacing w:after="0" w:line="8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a feasible formulation is developed, in the second half of 2024, we plan to submit an IND application to the FDA and, if allowed to proceed, initiate a Phase 2 clinical trial assessing the safety and efficacy of the fixed-dose combination formulation in COPD patients.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Non-cystic fibrosis bronchiectasis</w:t>
      </w:r>
    </w:p>
    <w:p>
      <w:pPr>
        <w:spacing w:after="0" w:line="11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NCFBE is a chronic lung disease characterized by persistent cough, excess sputum production and frequent respiratory infections with more severe patients suffering exacerbations. The condition affects up to 500,000 adults in the U.S. and no therapies are specifically approved to treat it. Physicians currently use bronchodilators, antibiotics, steroids, mucus thinners and surgery.</w:t>
      </w:r>
    </w:p>
    <w:p>
      <w:pPr>
        <w:spacing w:after="0" w:line="7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Based on the clinical results of ensifentrine observed in patients with COPD, including improvements in lung function and symptoms of cough and sputum, we believe that ensifentrine could potentially be an effective treatment for NCFBE. We plan to commence a Phase 2 clinical trial to assess the efficacy and safety of nebulized ensifentrine in patients with NCFBE in the second half of 2024, if allowed to proceed by the FDA.</w:t>
      </w:r>
    </w:p>
    <w:p>
      <w:pPr>
        <w:sectPr>
          <w:pgSz w:w="11880" w:h="15480" w:orient="portrait"/>
          <w:cols w:equalWidth="0" w:num="1">
            <w:col w:w="10200"/>
          </w:cols>
          <w:pgMar w:left="840" w:top="1221"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200"/>
          </w:cols>
          <w:pgMar w:left="840" w:top="1221" w:right="840" w:bottom="0"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i w:val="1"/>
          <w:iCs w:val="1"/>
          <w:color w:val="auto"/>
        </w:rPr>
        <w:t>Potential additional indications for ensifentrine</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Cystic fibrosis and asthma</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 addition to COPD and NCFBE, we believe ensifentrine has potential applications in other respiratory diseases including CF and asthma providing pipeline expansion opportunities and the potential for collaborations outside the US.</w:t>
      </w:r>
    </w:p>
    <w:p>
      <w:pPr>
        <w:spacing w:after="0" w:line="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CF is a progressive, fatal genetic disease without a cure and a median age of death of 46 years. The condition is characterized by thick, sticky mucus that damages many of the body’s organs. It causes repeat and persistent lung infections that result in frequent exacerbations and hospitalizations. Other symptoms include malnutrition, constipation and diarrhea, and some adults develop diabetes, arthritis and liver problems.</w:t>
      </w:r>
    </w:p>
    <w:p>
      <w:pPr>
        <w:spacing w:after="0" w:line="79"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CF is the most common fatal inherited disease in the U.S. and Europe. Approximately 40,000 people in the U.S. and an estimated 105,000 people worldwide have been diagnosed with CF across more than 90 countries and approximately 1,000 new cases are diagnosed each year, according to the Cystic Fibrosis Foundation. The U.S. and European regulatory authorities consider CF to be a rare, or orphan, disease and provide incentives to encourage development of effective new treatments. CF patients endure multiple daily medications, frequent exacerbations and hospitalizations. Ultimately, selected patients have lung transplants.</w:t>
      </w:r>
    </w:p>
    <w:p>
      <w:pPr>
        <w:spacing w:after="0" w:line="8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In a Phase 2a clinical trial, a single dose of nebulized ensifentrine demonstrated an improvement in lung function in patients with CF. In addition, in preclinical studies, ensifentrine activated the cystic fibrosis transmembrane conductance regulator (“CFTR”), which is beneficial in reducing mucous viscosity and improving mucociliary clearance. We believe these data support the continued development of ensifentrine as a potential therapy for CF.</w:t>
      </w:r>
    </w:p>
    <w:p>
      <w:pPr>
        <w:spacing w:after="0" w:line="7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Asthma is a common chronic inflammatory lung condition that causes sporadic breathing difficulties. The disease causes narrowing and swelling of the airways leading to symptoms including difficulty breathing, wheezing, coughing and tightness in the chest. Exposure to triggers such as allergens or irritants can lead to asthma attacks.</w:t>
      </w:r>
    </w:p>
    <w:p>
      <w:pPr>
        <w:spacing w:after="0" w:line="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Asthma attacks vary in severity and frequency. More than 260 million people worldwide suffer from asthma and it is the most common chronic disease among children, according to estimates from the World Health Organization. Approximately 60% of adult asthmatics in the U.S. have uncontrolled asthma despite regularly taking medication. Although there is no cure, symptoms may be prevented by avoiding triggers and through established maintenance therapies including bronchodilators, ICS, anti-IgE agents and leukotriene inhibitors.</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Ensifentrine has shown potential in a Phase 2a clinical trial in asthma. The data from this trial, published in October 2019 in the journal </w:t>
      </w:r>
      <w:r>
        <w:rPr>
          <w:rFonts w:ascii="Arial" w:cs="Arial" w:eastAsia="Arial" w:hAnsi="Arial"/>
          <w:sz w:val="18"/>
          <w:szCs w:val="18"/>
          <w:b w:val="1"/>
          <w:bCs w:val="1"/>
          <w:i w:val="1"/>
          <w:iCs w:val="1"/>
          <w:color w:val="auto"/>
        </w:rPr>
        <w:t>Pulmonary Pharmacology &amp; Therapeutic</w:t>
      </w:r>
      <w:r>
        <w:rPr>
          <w:rFonts w:ascii="Arial" w:cs="Arial" w:eastAsia="Arial" w:hAnsi="Arial"/>
          <w:sz w:val="18"/>
          <w:szCs w:val="18"/>
          <w:color w:val="auto"/>
        </w:rPr>
        <w:t>s, demonstrated that ensifentrine produced dose-dependent improvements in lung function that were comparable to current rescue medication, high dose nebulized albuterol. Importantly, ensifentrine was well tolerated and patients experienced fewer systemic effects than those receiving albuterol.</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team</w:t>
      </w:r>
    </w:p>
    <w:p>
      <w:pPr>
        <w:spacing w:after="0" w:line="116"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Our expert team has decades of experience in developing and commercializing respiratory therapeutics including the following COPD therapeutics: Advair</w:t>
      </w:r>
      <w:r>
        <w:rPr>
          <w:rFonts w:ascii="Arial" w:cs="Arial" w:eastAsia="Arial" w:hAnsi="Arial"/>
          <w:sz w:val="25"/>
          <w:szCs w:val="25"/>
          <w:color w:val="auto"/>
          <w:vertAlign w:val="superscript"/>
        </w:rPr>
        <w:t>®</w:t>
      </w:r>
      <w:r>
        <w:rPr>
          <w:rFonts w:ascii="Arial" w:cs="Arial" w:eastAsia="Arial" w:hAnsi="Arial"/>
          <w:sz w:val="20"/>
          <w:szCs w:val="20"/>
          <w:color w:val="auto"/>
        </w:rPr>
        <w:t>; Anoro Ellipta</w:t>
      </w:r>
      <w:r>
        <w:rPr>
          <w:rFonts w:ascii="Arial" w:cs="Arial" w:eastAsia="Arial" w:hAnsi="Arial"/>
          <w:sz w:val="25"/>
          <w:szCs w:val="25"/>
          <w:color w:val="auto"/>
          <w:vertAlign w:val="superscript"/>
        </w:rPr>
        <w:t>®</w:t>
      </w:r>
      <w:r>
        <w:rPr>
          <w:rFonts w:ascii="Arial" w:cs="Arial" w:eastAsia="Arial" w:hAnsi="Arial"/>
          <w:sz w:val="20"/>
          <w:szCs w:val="20"/>
          <w:color w:val="auto"/>
        </w:rPr>
        <w:t>; Breo</w:t>
      </w:r>
      <w:r>
        <w:rPr>
          <w:rFonts w:ascii="Arial" w:cs="Arial" w:eastAsia="Arial" w:hAnsi="Arial"/>
          <w:sz w:val="25"/>
          <w:szCs w:val="25"/>
          <w:color w:val="auto"/>
          <w:vertAlign w:val="superscript"/>
        </w:rPr>
        <w:t>®</w:t>
      </w:r>
      <w:r>
        <w:rPr>
          <w:rFonts w:ascii="Arial" w:cs="Arial" w:eastAsia="Arial" w:hAnsi="Arial"/>
          <w:sz w:val="20"/>
          <w:szCs w:val="20"/>
          <w:color w:val="auto"/>
        </w:rPr>
        <w:t>; Flovent</w:t>
      </w:r>
      <w:r>
        <w:rPr>
          <w:rFonts w:ascii="Arial" w:cs="Arial" w:eastAsia="Arial" w:hAnsi="Arial"/>
          <w:sz w:val="25"/>
          <w:szCs w:val="25"/>
          <w:color w:val="auto"/>
          <w:vertAlign w:val="superscript"/>
        </w:rPr>
        <w:t>®</w:t>
      </w:r>
      <w:r>
        <w:rPr>
          <w:rFonts w:ascii="Arial" w:cs="Arial" w:eastAsia="Arial" w:hAnsi="Arial"/>
          <w:sz w:val="20"/>
          <w:szCs w:val="20"/>
          <w:color w:val="auto"/>
        </w:rPr>
        <w:t>; Flutiform</w:t>
      </w:r>
      <w:r>
        <w:rPr>
          <w:rFonts w:ascii="Arial" w:cs="Arial" w:eastAsia="Arial" w:hAnsi="Arial"/>
          <w:sz w:val="25"/>
          <w:szCs w:val="25"/>
          <w:color w:val="auto"/>
          <w:vertAlign w:val="superscript"/>
        </w:rPr>
        <w:t>®</w:t>
      </w:r>
      <w:r>
        <w:rPr>
          <w:rFonts w:ascii="Arial" w:cs="Arial" w:eastAsia="Arial" w:hAnsi="Arial"/>
          <w:sz w:val="20"/>
          <w:szCs w:val="20"/>
          <w:color w:val="auto"/>
        </w:rPr>
        <w:t>; Incruse Ellipta</w:t>
      </w:r>
      <w:r>
        <w:rPr>
          <w:rFonts w:ascii="Arial" w:cs="Arial" w:eastAsia="Arial" w:hAnsi="Arial"/>
          <w:sz w:val="25"/>
          <w:szCs w:val="25"/>
          <w:color w:val="auto"/>
          <w:vertAlign w:val="superscript"/>
        </w:rPr>
        <w:t>®</w:t>
      </w:r>
      <w:r>
        <w:rPr>
          <w:rFonts w:ascii="Arial" w:cs="Arial" w:eastAsia="Arial" w:hAnsi="Arial"/>
          <w:sz w:val="20"/>
          <w:szCs w:val="20"/>
          <w:color w:val="auto"/>
        </w:rPr>
        <w:t>; Serevent</w:t>
      </w:r>
      <w:r>
        <w:rPr>
          <w:rFonts w:ascii="Arial" w:cs="Arial" w:eastAsia="Arial" w:hAnsi="Arial"/>
          <w:sz w:val="25"/>
          <w:szCs w:val="25"/>
          <w:color w:val="auto"/>
          <w:vertAlign w:val="superscript"/>
        </w:rPr>
        <w:t>®</w:t>
      </w:r>
      <w:r>
        <w:rPr>
          <w:rFonts w:ascii="Arial" w:cs="Arial" w:eastAsia="Arial" w:hAnsi="Arial"/>
          <w:sz w:val="20"/>
          <w:szCs w:val="20"/>
          <w:color w:val="auto"/>
        </w:rPr>
        <w:t>; Symbicort</w:t>
      </w:r>
      <w:r>
        <w:rPr>
          <w:rFonts w:ascii="Arial" w:cs="Arial" w:eastAsia="Arial" w:hAnsi="Arial"/>
          <w:sz w:val="25"/>
          <w:szCs w:val="25"/>
          <w:color w:val="auto"/>
          <w:vertAlign w:val="superscript"/>
        </w:rPr>
        <w:t>®</w:t>
      </w:r>
      <w:r>
        <w:rPr>
          <w:rFonts w:ascii="Arial" w:cs="Arial" w:eastAsia="Arial" w:hAnsi="Arial"/>
          <w:sz w:val="20"/>
          <w:szCs w:val="20"/>
          <w:color w:val="auto"/>
        </w:rPr>
        <w:t>; Tudorza Pressair</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Ventolin</w:t>
      </w:r>
      <w:r>
        <w:rPr>
          <w:rFonts w:ascii="Arial" w:cs="Arial" w:eastAsia="Arial" w:hAnsi="Arial"/>
          <w:sz w:val="25"/>
          <w:szCs w:val="25"/>
          <w:color w:val="auto"/>
          <w:vertAlign w:val="superscript"/>
        </w:rPr>
        <w:t>®</w:t>
      </w:r>
      <w:r>
        <w:rPr>
          <w:rFonts w:ascii="Arial" w:cs="Arial" w:eastAsia="Arial" w:hAnsi="Arial"/>
          <w:sz w:val="20"/>
          <w:szCs w:val="20"/>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do not have manufacturing facilities and rely on, and expect to continue to rely on, third-party contract manufacturing organizations (“CMOs”) for the supply of current good manufacturing practices (“cGMP”) compliant clinical trial materials of ensifentrine, and any future product candidates, as well as for commercial quantities of ensifentrine and any future product candidates, if approved.</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While we may contract with other CMOs in the future, we currently have one CMO for the manufacture of ensifentrine drug substance and one CMO for each formulation of ensifentrine.</w:t>
      </w:r>
    </w:p>
    <w:p>
      <w:pPr>
        <w:spacing w:after="0" w:line="5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All of our current CMOs have commercial scale manufacturing capabilities. We believe that the ensifentrine drug substance and drug product manufacturing processes can be transferred to other CMOs to produce clinical and commercial supplies in the ordinary course of business.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COMMERCIALIZATION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During 2023, we continued to build our commercial capabilities and launch readiness in preparation for the potential approval of ensifentrine. Key pre-commercialization activities included the addition of experienced executives, launch of a disease awareness campaign, continued refinement and implementation of our patient support and distribution strategy as well as beginning development of our ensifentrine launch materials all supported by extensive market research.</w:t>
      </w:r>
    </w:p>
    <w:p>
      <w:pPr>
        <w:sectPr>
          <w:pgSz w:w="11880" w:h="15480" w:orient="portrait"/>
          <w:cols w:equalWidth="0" w:num="1">
            <w:col w:w="10200"/>
          </w:cols>
          <w:pgMar w:left="840" w:top="1210" w:right="84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200"/>
          </w:cols>
          <w:pgMar w:left="840" w:top="1210" w:right="840" w:bottom="0" w:gutter="0" w:footer="0" w:header="0"/>
          <w:type w:val="continuous"/>
        </w:sectPr>
      </w:pPr>
    </w:p>
    <w:bookmarkStart w:id="25" w:name="page26"/>
    <w:bookmarkEnd w:id="25"/>
    <w:p>
      <w:pPr>
        <w:jc w:val="both"/>
        <w:spacing w:after="0" w:line="239" w:lineRule="auto"/>
        <w:rPr>
          <w:sz w:val="20"/>
          <w:szCs w:val="20"/>
          <w:color w:val="auto"/>
        </w:rPr>
      </w:pPr>
      <w:r>
        <w:rPr>
          <w:rFonts w:ascii="Arial" w:cs="Arial" w:eastAsia="Arial" w:hAnsi="Arial"/>
          <w:sz w:val="20"/>
          <w:szCs w:val="20"/>
          <w:color w:val="auto"/>
        </w:rPr>
        <w:t>We significantly expanded our headcount to 79 employees adding key leadership positions across medical affairs, compliance, manufacturing, finance and IT and deepened our commercial teams in marketing, market access and commercial operations. These appointments included Senior Vice President, Medical Affairs, Vice President, Compliance and Vice President, Pharmacovigilance.</w:t>
      </w:r>
    </w:p>
    <w:p>
      <w:pPr>
        <w:spacing w:after="0" w:line="7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we launched the disease awareness campaign, titled “Unspoken COPD”. This campaign highlights how many patients still suffer from persistent symptoms that effect everyday life. The campaign encourages healthcare professionals (“HCPs”) to enquire further to understand how their patients are coping with COPD.</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Looking ahead, we will continue to progress our go-to-market strategy with the finalization of many key tactics including pricing, distribution and patient support services, HCP and patient engagement plans and the continued rollout of our disease awareness campaign.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United States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In the United States, we are preparing to commercialize nebulized ensifentrine ourselves, if approved. Current maintenance COPD treatments in the U.S. generate approximately $10 billion in sales. In the U.S., approximately 8.6 million patients receive chronic maintenance treatment for COPD. These patients receive LAMAs, LABAs, and ICS products alone or in combination across all COPD severities. Despite the use of these therapies, approximately 50% of patients report having symptoms for more than 24 days a month. This burden is significant and highlights the need for new and novel mechanisms of actions to treat COPD patients. These patients need therapies that can help improve their lung function and symptoms. In addition to the number of patients that remain symptomatic, COPD places a tremendous burden on the U.S. healthcare system with approximately $50 billion in direct and indirect costs.</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Based on our market research, conducted with U.S. healthcare providers and payers, we believe ensifentrine would be widely adopted with use as an add on therapy across all symptomatic patients regardless of COPD severity and treatment. Most of ensifentrine’s use would be as an add on therapy to current patients who are on LAMA, LABA / ICS, LAMA / LABA, or triple therapy. This is due to the urgent unmet need for new therapies to help improve lung function, symptoms and quality of life in these patients. Our market research also suggests the majority of ensifentrine usage would be initially commenced by pulmonologists. Due to this focused prescriber base, we anticipate a field sales force of approximately 100 representatives would be able to reach the potential ensifentrine opportunity.</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International</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COPD affects approximately 392 million people worldwide with many patients remaining undiagnosed. Our strategy outside of the U.S. including Asia, Europe and Latin America, is to establish partnerships with leading companies that can support the further development and commercialization of ensifentrine in those regions.</w:t>
      </w:r>
    </w:p>
    <w:p>
      <w:pPr>
        <w:spacing w:after="0" w:line="7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In June 2021, we executed on this strategy by entering into a strategic collaboration with Nuance Pharma, a Shanghai-based specialty pharmaceutical company, with a potential value of up to $219.0 million to develop and commercialize ensifentrine in Greater China. Under the terms of the agreement, we granted Nuance Pharma the exclusive rights to develop and commercialize ensifentrine in Greater China. In return, we received an aggregate $40.0 million upfront payment consisting of $25.0 million in cash and an equity interest valued at $15.0 million, as of June 9, 2021, in Nuance Biotech, the parent company of Nuance Pharma. We are eligible to receive further milestone payments of up to $179.0 million that are triggered upon achievement of certain clinical, regulatory and commercial milestones as well as tiered double-digit royalties on net sales in Greater China.</w:t>
      </w:r>
    </w:p>
    <w:p>
      <w:pPr>
        <w:spacing w:after="0" w:line="8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Nuance Pharma is responsible for all costs related to clinical development and commercialization in Greater China. A joint steering committee has been established to ensure ensifentrine’s clinical development in the region aligns with our global development and commercialization strategy. In April 2023, Nuance Pharma announced it had enrolled the first subject in its pivotal Phase 3 trial evaluating ensifentrine for the maintenance treatment of COPD in mainland China. Nuance Pharma initiated a Phase 1 trial with ensifentrine in healthy volunteers in March 2023. These studies follow clearance from China’s Center for Drug Evaluation for Nuance Pharma to begin Phase 1 and Phase 3 studies of ensifentrine for COPD in mainland China.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3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pharmaceutical industry is characterized by rapidly advancing technologies, intense competition and a strong emphasis on proprietary drugs. We face potential competition from many different sources, including major pharmaceutical, specialty pharmaceutical and biotechnology companies, academic institutions, governmental agencies and public and private research</w:t>
      </w:r>
    </w:p>
    <w:p>
      <w:pPr>
        <w:sectPr>
          <w:pgSz w:w="11880" w:h="15480" w:orient="portrait"/>
          <w:cols w:equalWidth="0" w:num="1">
            <w:col w:w="10200"/>
          </w:cols>
          <w:pgMar w:left="840" w:top="122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200"/>
          </w:cols>
          <w:pgMar w:left="840" w:top="1229" w:right="840" w:bottom="0" w:gutter="0" w:footer="0" w:header="0"/>
          <w:type w:val="continuous"/>
        </w:sectPr>
      </w:pPr>
    </w:p>
    <w:bookmarkStart w:id="26" w:name="page27"/>
    <w:bookmarkEnd w:id="26"/>
    <w:p>
      <w:pPr>
        <w:jc w:val="both"/>
        <w:spacing w:after="0" w:line="260" w:lineRule="auto"/>
        <w:rPr>
          <w:sz w:val="20"/>
          <w:szCs w:val="20"/>
          <w:color w:val="auto"/>
        </w:rPr>
      </w:pPr>
      <w:r>
        <w:rPr>
          <w:rFonts w:ascii="Arial" w:cs="Arial" w:eastAsia="Arial" w:hAnsi="Arial"/>
          <w:sz w:val="20"/>
          <w:szCs w:val="20"/>
          <w:color w:val="auto"/>
        </w:rPr>
        <w:t>institutions. If successfully developed and commercialized, ensifentrine will compete with existing treatments and new treatments that may become available in the future.</w:t>
      </w:r>
    </w:p>
    <w:p>
      <w:pPr>
        <w:spacing w:after="0" w:line="59"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Ensifentrine is a unique, first-in-class therapeutic candidate with both bronchodilator and non-steroidal anti-inflammatory properties in a single molecule. As far as we are aware, no other dual PDE3 and PDE4 inhibitor is on the market nor in clinical development in the U.S. or Europe. Based on our market research, we expect ensifentrine to be used across the patient spectrum regardless of severity. We expect it will mainly be used as an add on therapy in symptomatic patients across all existing classes of therapies (LAMA, LABA, ICS). Some healthcare providers have indicated that they would use ensifentrine as a monotherapy based on ensifentrine’s clinical profile.</w:t>
      </w:r>
    </w:p>
    <w:p>
      <w:pPr>
        <w:spacing w:after="0" w:line="8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Consequently, we believe that, if approved, nebulized ensifentrine’s unique profile will enable it to compete with all approved COPD therapies including nebulized and handheld inhaler formulations, DPI and pMDI. Furthermore, because ensifentrine’s mechanism of action is complementary to available therapies, we believe it could be used in addition to these treatments.</w:t>
      </w:r>
    </w:p>
    <w:p>
      <w:pPr>
        <w:spacing w:after="0" w:line="41" w:lineRule="exact"/>
        <w:rPr>
          <w:sz w:val="20"/>
          <w:szCs w:val="20"/>
          <w:color w:val="auto"/>
        </w:rPr>
      </w:pPr>
    </w:p>
    <w:p>
      <w:pPr>
        <w:jc w:val="both"/>
        <w:spacing w:after="0" w:line="261" w:lineRule="auto"/>
        <w:rPr>
          <w:sz w:val="20"/>
          <w:szCs w:val="20"/>
          <w:color w:val="auto"/>
        </w:rPr>
      </w:pPr>
      <w:r>
        <w:rPr>
          <w:rFonts w:ascii="Arial" w:cs="Arial" w:eastAsia="Arial" w:hAnsi="Arial"/>
          <w:sz w:val="19"/>
          <w:szCs w:val="19"/>
          <w:color w:val="auto"/>
        </w:rPr>
        <w:t>Within the currently approved nebulizer products for the maintenance treatment of COPD, we consider ensifentrine’s potential competitors in the U.S. market to be LABAs (Brovana</w:t>
      </w:r>
      <w:r>
        <w:rPr>
          <w:rFonts w:ascii="Arial" w:cs="Arial" w:eastAsia="Arial" w:hAnsi="Arial"/>
          <w:sz w:val="24"/>
          <w:szCs w:val="24"/>
          <w:color w:val="auto"/>
          <w:vertAlign w:val="superscript"/>
        </w:rPr>
        <w:t>®</w:t>
      </w:r>
      <w:r>
        <w:rPr>
          <w:rFonts w:ascii="Arial" w:cs="Arial" w:eastAsia="Arial" w:hAnsi="Arial"/>
          <w:sz w:val="19"/>
          <w:szCs w:val="19"/>
          <w:color w:val="auto"/>
        </w:rPr>
        <w:t xml:space="preserve"> and Perforomist</w:t>
      </w:r>
      <w:r>
        <w:rPr>
          <w:rFonts w:ascii="Arial" w:cs="Arial" w:eastAsia="Arial" w:hAnsi="Arial"/>
          <w:sz w:val="24"/>
          <w:szCs w:val="24"/>
          <w:color w:val="auto"/>
          <w:vertAlign w:val="superscript"/>
        </w:rPr>
        <w:t>®</w:t>
      </w:r>
      <w:r>
        <w:rPr>
          <w:rFonts w:ascii="Arial" w:cs="Arial" w:eastAsia="Arial" w:hAnsi="Arial"/>
          <w:sz w:val="19"/>
          <w:szCs w:val="19"/>
          <w:color w:val="auto"/>
        </w:rPr>
        <w:t>) and LAMAs (Yupelri</w:t>
      </w:r>
      <w:r>
        <w:rPr>
          <w:rFonts w:ascii="Arial" w:cs="Arial" w:eastAsia="Arial" w:hAnsi="Arial"/>
          <w:sz w:val="24"/>
          <w:szCs w:val="24"/>
          <w:color w:val="auto"/>
          <w:vertAlign w:val="superscript"/>
        </w:rPr>
        <w:t>®</w:t>
      </w:r>
      <w:r>
        <w:rPr>
          <w:rFonts w:ascii="Arial" w:cs="Arial" w:eastAsia="Arial" w:hAnsi="Arial"/>
          <w:sz w:val="19"/>
          <w:szCs w:val="19"/>
          <w:color w:val="auto"/>
        </w:rPr>
        <w:t>).</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In the DPI/pMDI maintenance treatment of COPD market, ensifentrine’s current closest potential competitors are Symbicort</w:t>
      </w:r>
      <w:r>
        <w:rPr>
          <w:rFonts w:ascii="Arial" w:cs="Arial" w:eastAsia="Arial" w:hAnsi="Arial"/>
          <w:sz w:val="23"/>
          <w:szCs w:val="23"/>
          <w:color w:val="auto"/>
          <w:vertAlign w:val="superscript"/>
        </w:rPr>
        <w:t>®</w:t>
      </w:r>
      <w:r>
        <w:rPr>
          <w:rFonts w:ascii="Arial" w:cs="Arial" w:eastAsia="Arial" w:hAnsi="Arial"/>
          <w:sz w:val="18"/>
          <w:szCs w:val="18"/>
          <w:color w:val="auto"/>
        </w:rPr>
        <w:t>, a combination of a long-acting beta2-agonist bronchodilator and ICS marketed by AstraZeneca plc, Spiriva</w:t>
      </w:r>
      <w:r>
        <w:rPr>
          <w:rFonts w:ascii="Arial" w:cs="Arial" w:eastAsia="Arial" w:hAnsi="Arial"/>
          <w:sz w:val="23"/>
          <w:szCs w:val="23"/>
          <w:color w:val="auto"/>
          <w:vertAlign w:val="superscript"/>
        </w:rPr>
        <w:t>®</w:t>
      </w:r>
      <w:r>
        <w:rPr>
          <w:rFonts w:ascii="Arial" w:cs="Arial" w:eastAsia="Arial" w:hAnsi="Arial"/>
          <w:sz w:val="18"/>
          <w:szCs w:val="18"/>
          <w:color w:val="auto"/>
        </w:rPr>
        <w:t>, a long-acting anti-muscarinic bronchodilator marketed by Boehringer Ingelheim GmbH, Advair</w:t>
      </w:r>
      <w:r>
        <w:rPr>
          <w:rFonts w:ascii="Arial" w:cs="Arial" w:eastAsia="Arial" w:hAnsi="Arial"/>
          <w:sz w:val="23"/>
          <w:szCs w:val="23"/>
          <w:color w:val="auto"/>
          <w:vertAlign w:val="superscript"/>
        </w:rPr>
        <w:t>®</w:t>
      </w:r>
      <w:r>
        <w:rPr>
          <w:rFonts w:ascii="Arial" w:cs="Arial" w:eastAsia="Arial" w:hAnsi="Arial"/>
          <w:sz w:val="18"/>
          <w:szCs w:val="18"/>
          <w:color w:val="auto"/>
        </w:rPr>
        <w:t>, a combination of a long-acting beta2-agonist bronchodilator and ICS marketed by GlaxoSmithKline plc, Breo</w:t>
      </w:r>
      <w:r>
        <w:rPr>
          <w:rFonts w:ascii="Arial" w:cs="Arial" w:eastAsia="Arial" w:hAnsi="Arial"/>
          <w:sz w:val="23"/>
          <w:szCs w:val="23"/>
          <w:color w:val="auto"/>
          <w:vertAlign w:val="superscript"/>
        </w:rPr>
        <w:t>®</w:t>
      </w:r>
      <w:r>
        <w:rPr>
          <w:rFonts w:ascii="Arial" w:cs="Arial" w:eastAsia="Arial" w:hAnsi="Arial"/>
          <w:sz w:val="18"/>
          <w:szCs w:val="18"/>
          <w:color w:val="auto"/>
        </w:rPr>
        <w:t>, a combination of a long-acting beta2-agonist bronchodilator and ICS marketed by GlaxoSmithKline, and Anoro</w:t>
      </w:r>
      <w:r>
        <w:rPr>
          <w:rFonts w:ascii="Arial" w:cs="Arial" w:eastAsia="Arial" w:hAnsi="Arial"/>
          <w:sz w:val="23"/>
          <w:szCs w:val="23"/>
          <w:color w:val="auto"/>
          <w:vertAlign w:val="superscript"/>
        </w:rPr>
        <w:t>®</w:t>
      </w:r>
      <w:r>
        <w:rPr>
          <w:rFonts w:ascii="Arial" w:cs="Arial" w:eastAsia="Arial" w:hAnsi="Arial"/>
          <w:sz w:val="18"/>
          <w:szCs w:val="18"/>
          <w:color w:val="auto"/>
        </w:rPr>
        <w:t>, a combination of a long-acting beta2-agonist bronchodilator and long-acting anti-muscarinic bronchodilator marketed by GlaxoSmithKline. A triple-combination therapy of a LAMA, a LABA and ICS, developed by GlaxoSmithKline, Trelegy Ellipta</w:t>
      </w:r>
      <w:r>
        <w:rPr>
          <w:rFonts w:ascii="Arial" w:cs="Arial" w:eastAsia="Arial" w:hAnsi="Arial"/>
          <w:sz w:val="23"/>
          <w:szCs w:val="23"/>
          <w:color w:val="auto"/>
          <w:vertAlign w:val="superscript"/>
        </w:rPr>
        <w:t>®</w:t>
      </w:r>
      <w:r>
        <w:rPr>
          <w:rFonts w:ascii="Arial" w:cs="Arial" w:eastAsia="Arial" w:hAnsi="Arial"/>
          <w:sz w:val="18"/>
          <w:szCs w:val="18"/>
          <w:color w:val="auto"/>
        </w:rPr>
        <w:t>, has been approved in the U.S. and the European Union and AstraZeneca also has a triple-therapy combination product (LAMA / LABA / ICS), Breztri Aerosphere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was approved in the U.S. in July 2020, in the European Union in December 2020 and in China in December 2019. In addition, Chiesi’s triple-therapy combination product, Trimbow</w:t>
      </w:r>
      <w:r>
        <w:rPr>
          <w:rFonts w:ascii="Arial" w:cs="Arial" w:eastAsia="Arial" w:hAnsi="Arial"/>
          <w:sz w:val="23"/>
          <w:szCs w:val="23"/>
          <w:color w:val="auto"/>
          <w:vertAlign w:val="superscript"/>
        </w:rPr>
        <w:t>®</w:t>
      </w:r>
      <w:r>
        <w:rPr>
          <w:rFonts w:ascii="Arial" w:cs="Arial" w:eastAsia="Arial" w:hAnsi="Arial"/>
          <w:sz w:val="18"/>
          <w:szCs w:val="18"/>
          <w:color w:val="auto"/>
        </w:rPr>
        <w:t>, was approved in the European Union in 2017 and is in Phase 3 trials in the US.</w:t>
      </w:r>
    </w:p>
    <w:p>
      <w:pPr>
        <w:spacing w:after="0" w:line="8" w:lineRule="exact"/>
        <w:rPr>
          <w:sz w:val="20"/>
          <w:szCs w:val="20"/>
          <w:color w:val="auto"/>
        </w:rPr>
      </w:pPr>
    </w:p>
    <w:p>
      <w:pPr>
        <w:jc w:val="both"/>
        <w:spacing w:after="0" w:line="225" w:lineRule="auto"/>
        <w:rPr>
          <w:sz w:val="20"/>
          <w:szCs w:val="20"/>
          <w:color w:val="auto"/>
        </w:rPr>
      </w:pPr>
      <w:r>
        <w:rPr>
          <w:rFonts w:ascii="Arial" w:cs="Arial" w:eastAsia="Arial" w:hAnsi="Arial"/>
          <w:sz w:val="19"/>
          <w:szCs w:val="19"/>
          <w:color w:val="auto"/>
        </w:rPr>
        <w:t>Other potential therapies in clinical development for the prevention of COPD exacerbations include injectable biologics. Sanofi’s anti-IL4, Dupixent</w:t>
      </w:r>
      <w:r>
        <w:rPr>
          <w:rFonts w:ascii="Arial" w:cs="Arial" w:eastAsia="Arial" w:hAnsi="Arial"/>
          <w:sz w:val="24"/>
          <w:szCs w:val="24"/>
          <w:color w:val="auto"/>
          <w:vertAlign w:val="superscript"/>
        </w:rPr>
        <w:t>®</w:t>
      </w:r>
      <w:r>
        <w:rPr>
          <w:rFonts w:ascii="Arial" w:cs="Arial" w:eastAsia="Arial" w:hAnsi="Arial"/>
          <w:sz w:val="19"/>
          <w:szCs w:val="19"/>
          <w:color w:val="auto"/>
        </w:rPr>
        <w:t>, has successfully completed a Phase 3 program and submitted a supplemental Biologics License Application for COPD in the US. AstraZeneca’s anti-IL33, tozorakimab, GlaxoSmithKline’s anti-IL5, Nucala</w:t>
      </w:r>
      <w:r>
        <w:rPr>
          <w:rFonts w:ascii="Arial" w:cs="Arial" w:eastAsia="Arial" w:hAnsi="Arial"/>
          <w:sz w:val="24"/>
          <w:szCs w:val="24"/>
          <w:color w:val="auto"/>
          <w:vertAlign w:val="superscript"/>
        </w:rPr>
        <w:t>®</w:t>
      </w:r>
      <w:r>
        <w:rPr>
          <w:rFonts w:ascii="Arial" w:cs="Arial" w:eastAsia="Arial" w:hAnsi="Arial"/>
          <w:sz w:val="19"/>
          <w:szCs w:val="19"/>
          <w:color w:val="auto"/>
        </w:rPr>
        <w:t>, and Chiesi’s PDE4 inhibitor, tanimilast, are in Phase 3 trials. We are also aware of several anti-inflammatories and bronchodilators that are in Phase 2 clinical trials for the treatment of COPD.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U.S. and in jurisdictions outside of the U.S. related to our proprietary technology, inventions, improvements, platforms and our product candidates that are important to the development and implementation of our business.</w:t>
      </w:r>
    </w:p>
    <w:p>
      <w:pPr>
        <w:spacing w:after="0" w:line="5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As of December 31, 2023, our patent portfolio included eleven issued U.S. patents, seven pending U.S. patent applications (including four U.S. provisional patent applications), seventy-nine issued foreign patents and seventy-five pending foreign applications (including six international PCT applications). These patents and patent applications include claims directed to certain respirable formulations comprising ensifentrine, a crystalline form of ensifentrine, combinations of ensifentrine with certain respiratory drugs, certain salts of ensifentrine, ensifentrine for use in the treatment of cystic fibrosis and non-cystic fibrosis bronchiectasis and for use in the treatment of certain aspects of some other respiratory disorders, and a method of making ensifentrine, with expected expiry dates up to 2044.</w:t>
      </w:r>
    </w:p>
    <w:p>
      <w:pPr>
        <w:spacing w:after="0" w:line="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have registered “Verona Pharma” as a trademark in the United States and certain other key jurisdictions. We have also made applications to register potential trademarks in the United States for ensifentrine, if approved.</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U.S. are granted a term of 20 years from the earliest effective non</w:t>
      </w:r>
      <w:r>
        <w:rPr>
          <w:rFonts w:ascii="Arial" w:cs="Arial" w:eastAsia="Arial" w:hAnsi="Arial"/>
          <w:sz w:val="18"/>
          <w:szCs w:val="18"/>
          <w:b w:val="1"/>
          <w:bCs w:val="1"/>
          <w:color w:val="auto"/>
        </w:rPr>
        <w:t>-</w:t>
      </w:r>
      <w:r>
        <w:rPr>
          <w:rFonts w:ascii="Arial" w:cs="Arial" w:eastAsia="Arial" w:hAnsi="Arial"/>
          <w:sz w:val="18"/>
          <w:szCs w:val="18"/>
          <w:color w:val="auto"/>
        </w:rPr>
        <w:t>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product-by-product basis, from country to country and depends upon many factors,</w:t>
      </w:r>
    </w:p>
    <w:p>
      <w:pPr>
        <w:sectPr>
          <w:pgSz w:w="11880" w:h="15480" w:orient="portrait"/>
          <w:cols w:equalWidth="0" w:num="1">
            <w:col w:w="10200"/>
          </w:cols>
          <w:pgMar w:left="840" w:top="122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200"/>
          </w:cols>
          <w:pgMar w:left="840" w:top="1229" w:right="840" w:bottom="0" w:gutter="0" w:footer="0" w:header="0"/>
          <w:type w:val="continuous"/>
        </w:sectPr>
      </w:pPr>
    </w:p>
    <w:bookmarkStart w:id="27" w:name="page28"/>
    <w:bookmarkEnd w:id="27"/>
    <w:p>
      <w:pPr>
        <w:jc w:val="both"/>
        <w:spacing w:after="0" w:line="275" w:lineRule="auto"/>
        <w:rPr>
          <w:sz w:val="20"/>
          <w:szCs w:val="20"/>
          <w:color w:val="auto"/>
        </w:rPr>
      </w:pPr>
      <w:r>
        <w:rPr>
          <w:rFonts w:ascii="Arial" w:cs="Arial" w:eastAsia="Arial" w:hAnsi="Arial"/>
          <w:sz w:val="20"/>
          <w:szCs w:val="20"/>
          <w:color w:val="auto"/>
        </w:rPr>
        <w:t>including the type of patent, the scope of its coverage, the availability of regulatory</w:t>
      </w:r>
      <w:r>
        <w:rPr>
          <w:rFonts w:ascii="Arial" w:cs="Arial" w:eastAsia="Arial" w:hAnsi="Arial"/>
          <w:sz w:val="20"/>
          <w:szCs w:val="20"/>
          <w:b w:val="1"/>
          <w:bCs w:val="1"/>
          <w:color w:val="auto"/>
        </w:rPr>
        <w:t>-</w:t>
      </w:r>
      <w:r>
        <w:rPr>
          <w:rFonts w:ascii="Arial" w:cs="Arial" w:eastAsia="Arial" w:hAnsi="Arial"/>
          <w:sz w:val="20"/>
          <w:szCs w:val="20"/>
          <w:color w:val="auto"/>
        </w:rPr>
        <w:t>related extensions, the availability of legal remedies in a particular country and the validity and enforceability of the patent.</w:t>
      </w:r>
    </w:p>
    <w:p>
      <w:pPr>
        <w:spacing w:after="0" w:line="3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Furthermore, we rely upon trade secrets and know</w:t>
      </w:r>
      <w:r>
        <w:rPr>
          <w:rFonts w:ascii="Arial" w:cs="Arial" w:eastAsia="Arial" w:hAnsi="Arial"/>
          <w:sz w:val="20"/>
          <w:szCs w:val="20"/>
          <w:b w:val="1"/>
          <w:bCs w:val="1"/>
          <w:color w:val="auto"/>
        </w:rPr>
        <w:t>-</w:t>
      </w:r>
      <w:r>
        <w:rPr>
          <w:rFonts w:ascii="Arial" w:cs="Arial" w:eastAsia="Arial" w:hAnsi="Arial"/>
          <w:sz w:val="20"/>
          <w:szCs w:val="20"/>
          <w:color w:val="auto"/>
        </w:rPr>
        <w:t>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w:t>
      </w:r>
      <w:r>
        <w:rPr>
          <w:rFonts w:ascii="Arial" w:cs="Arial" w:eastAsia="Arial" w:hAnsi="Arial"/>
          <w:sz w:val="20"/>
          <w:szCs w:val="20"/>
          <w:b w:val="1"/>
          <w:bCs w:val="1"/>
          <w:color w:val="auto"/>
        </w:rPr>
        <w:t>-</w:t>
      </w:r>
      <w:r>
        <w:rPr>
          <w:rFonts w:ascii="Arial" w:cs="Arial" w:eastAsia="Arial" w:hAnsi="Arial"/>
          <w:sz w:val="20"/>
          <w:szCs w:val="20"/>
          <w:color w:val="auto"/>
        </w:rPr>
        <w:t>how and inventions.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commercial success will also depend in part on not infringing upon the proprietary rights of third parties. It is uncertain whether the issuance of any third</w:t>
      </w:r>
      <w:r>
        <w:rPr>
          <w:rFonts w:ascii="Arial" w:cs="Arial" w:eastAsia="Arial" w:hAnsi="Arial"/>
          <w:sz w:val="18"/>
          <w:szCs w:val="18"/>
          <w:b w:val="1"/>
          <w:bCs w:val="1"/>
          <w:color w:val="auto"/>
        </w:rPr>
        <w:t>-</w:t>
      </w:r>
      <w:r>
        <w:rPr>
          <w:rFonts w:ascii="Arial" w:cs="Arial" w:eastAsia="Arial" w:hAnsi="Arial"/>
          <w:sz w:val="18"/>
          <w:szCs w:val="18"/>
          <w:color w:val="auto"/>
        </w:rPr>
        <w:t>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our future drugs may have an adverse impact on us. If third parties have prepared and filed patent applications prior to March 16, 2013 in the U.S. that also claim technology to which we have rights, we may have to participate in interference proceedings in the USPTO, to determine priority of invention. For more information, please see “Item 1A. Risk Factors - Risks Related to Intellectual Property and Information Technology.”</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License agreement with Ligand (formerly Vernalis)</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In February 2005, Rhinopharma Limited (“Rhinopharma”) entered into an assignment and license agreement with Ligand UK Development Limited (formerly Vernalis Development Limited) (“Ligand”), which since October 2018 has been a wholly owned subsidiary of Ligand Pharmaceuticals, Inc. In 2006, we acquired Rhinopharma and all its rights and liabilities under the assignment and license agreement. On March 24, 2022, we entered into an agreement with Ligand to amend the assignment and license agreement. We refer to the assignment and license agreement and the amendment agreement together as the Ligand Agreement. Pursuant to the Ligand Agreement, Ligand has assigned to us all its rights to certain patents and patent applications relating to ensifentrine and related compounds, or the Ligand Patents. We cannot further assign the Ligand Patents to a third party without Ligand’s prior consent. Ligand also granted to us an exclusive, worldwide, royalty-bearing license under certain Ligand know-how to develop, manufacture and commercialize products, or the Licensed Products, based on PDE inhibitors developed using Ligand Patents, Ligand know-how and the physical stock of certain compounds, including ensifentrine, which we refer to as the Program IP, in the treatment of human or animal allergic or inflammatory disorders. Pursuant to the Ligand Agreement, we must maintain the Ligand Patents and use commercially reasonable and diligent efforts to develop and commercialize the Licensed Products.</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March 2022, we entered into an Amendment Agreement (the “Amendment”) with Ligand whereby the Ligand Agreement was amended to clarify certain ambiguous terms in the Ligand Agreement. Pursuant to the Amendment we agreed to pay to Ligand (i) $2.0 million within five business days of the date of the Amendment and (ii) $15.0 million upon the first commercial sale of ensifentrine by us or a sub-licensee, which amount is payable in cash or, at the our discretion, by the issuance of Company equity of equivalent value, as determined based on the volume-weighted average price of the our American Depositary Shares on the Nasdaq Global Market over the ten (10) trading days including and prior to such milestone event.</w:t>
      </w:r>
    </w:p>
    <w:p>
      <w:pPr>
        <w:spacing w:after="0" w:line="56"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We paid the $2.0 million to Ligand in March, 2022 and accounted for the $2.0 million payment at execution as selling, general and administrative expense in the consolidated statements of operations as the payment is related to a contract modification.</w:t>
      </w:r>
    </w:p>
    <w:p>
      <w:pPr>
        <w:spacing w:after="0" w:line="1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Ligand Agreement expires on March 24, 2042, unless terminated earlier by either party in accordance with its terms. Either party may terminate the Ligand Agreement for bankruptcy or insolvency of the other party, or for an uncured material breach of the other party, conditional upon the party seeking to terminate obtaining a final judgment of the English High Court declaring that the other party is in material breach of its obligations under the Ligand Agreement. We may terminate the Ligand Agreement upon 90 days' prior written notice. Ligand may terminate the Ligand Agreement if we notify Ligand of our intention to abandon any Ligand Patents or allow any Ligand Patents to lapse. Upon termination of the Ligand Agreement, we must cease use of any Program IP and assign the Ligand Patents and any improvements thereto back to Ligand, provided however, that any of our sublicensees shall have the right to enter into a direct license agreement with Ligand for the portion of the Program IP that was sub-licensed by such sub-licensee.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35"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w:t>
      </w:r>
    </w:p>
    <w:p>
      <w:pPr>
        <w:sectPr>
          <w:pgSz w:w="11880" w:h="15480" w:orient="portrait"/>
          <w:cols w:equalWidth="0" w:num="1">
            <w:col w:w="10200"/>
          </w:cols>
          <w:pgMar w:left="840" w:top="1215"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200"/>
          </w:cols>
          <w:pgMar w:left="840" w:top="1215" w:right="840" w:bottom="0" w:gutter="0" w:footer="0" w:header="0"/>
          <w:type w:val="continuous"/>
        </w:sectPr>
      </w:pPr>
    </w:p>
    <w:bookmarkStart w:id="28" w:name="page29"/>
    <w:bookmarkEnd w:id="28"/>
    <w:p>
      <w:pPr>
        <w:jc w:val="both"/>
        <w:ind w:left="5"/>
        <w:spacing w:after="0" w:line="239" w:lineRule="auto"/>
        <w:rPr>
          <w:sz w:val="20"/>
          <w:szCs w:val="20"/>
          <w:color w:val="auto"/>
        </w:rPr>
      </w:pPr>
      <w:r>
        <w:rPr>
          <w:rFonts w:ascii="Arial" w:cs="Arial" w:eastAsia="Arial" w:hAnsi="Arial"/>
          <w:sz w:val="20"/>
          <w:szCs w:val="20"/>
          <w:color w:val="auto"/>
        </w:rPr>
        <w:t>drugs such as those we are developing. These agencies and other federal, state and local and foreign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76"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auto"/>
        </w:rPr>
        <w:t>FDA drug approval process</w:t>
      </w:r>
    </w:p>
    <w:p>
      <w:pPr>
        <w:spacing w:after="0" w:line="111" w:lineRule="exact"/>
        <w:rPr>
          <w:sz w:val="20"/>
          <w:szCs w:val="20"/>
          <w:color w:val="auto"/>
        </w:rPr>
      </w:pPr>
    </w:p>
    <w:p>
      <w:pPr>
        <w:jc w:val="both"/>
        <w:ind w:left="5"/>
        <w:spacing w:after="0" w:line="262" w:lineRule="auto"/>
        <w:rPr>
          <w:sz w:val="20"/>
          <w:szCs w:val="20"/>
          <w:color w:val="auto"/>
        </w:rPr>
      </w:pPr>
      <w:r>
        <w:rPr>
          <w:rFonts w:ascii="Arial" w:cs="Arial" w:eastAsia="Arial" w:hAnsi="Arial"/>
          <w:sz w:val="18"/>
          <w:szCs w:val="18"/>
          <w:color w:val="auto"/>
        </w:rPr>
        <w:t>In the U.S., the FDA regulates drugs under the Federal Food, Drug, and Cosmetic Act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file an application for review or non-approval of a pending new drug applications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process required by the FDA before a drug may be marketed in the United States generally involves the following:</w:t>
      </w:r>
    </w:p>
    <w:p>
      <w:pPr>
        <w:spacing w:after="0" w:line="120" w:lineRule="exact"/>
        <w:rPr>
          <w:sz w:val="20"/>
          <w:szCs w:val="20"/>
          <w:color w:val="auto"/>
        </w:rPr>
      </w:pPr>
    </w:p>
    <w:p>
      <w:pPr>
        <w:ind w:left="365" w:hanging="365"/>
        <w:spacing w:after="0" w:line="260" w:lineRule="auto"/>
        <w:tabs>
          <w:tab w:leader="none" w:pos="365" w:val="left"/>
        </w:tabs>
        <w:numPr>
          <w:ilvl w:val="0"/>
          <w:numId w:val="19"/>
        </w:numPr>
        <w:rPr>
          <w:rFonts w:ascii="Arial" w:cs="Arial" w:eastAsia="Arial" w:hAnsi="Arial"/>
          <w:sz w:val="20"/>
          <w:szCs w:val="20"/>
          <w:color w:val="auto"/>
        </w:rPr>
      </w:pPr>
      <w:r>
        <w:rPr>
          <w:rFonts w:ascii="Arial" w:cs="Arial" w:eastAsia="Arial" w:hAnsi="Arial"/>
          <w:sz w:val="20"/>
          <w:szCs w:val="20"/>
          <w:color w:val="auto"/>
        </w:rPr>
        <w:t>Completion of non-clinical laboratory tests, animal studies, certain of which must be conducted and formulation studies in compliance with the FDA's good laboratory practice (“GLP”) regulations;</w:t>
      </w:r>
    </w:p>
    <w:p>
      <w:pPr>
        <w:spacing w:after="0" w:line="58" w:lineRule="exact"/>
        <w:rPr>
          <w:rFonts w:ascii="Arial" w:cs="Arial" w:eastAsia="Arial" w:hAnsi="Arial"/>
          <w:sz w:val="20"/>
          <w:szCs w:val="20"/>
          <w:color w:val="auto"/>
        </w:rPr>
      </w:pPr>
    </w:p>
    <w:p>
      <w:pPr>
        <w:ind w:left="365" w:hanging="365"/>
        <w:spacing w:after="0"/>
        <w:tabs>
          <w:tab w:leader="none" w:pos="365" w:val="left"/>
        </w:tabs>
        <w:numPr>
          <w:ilvl w:val="0"/>
          <w:numId w:val="19"/>
        </w:numPr>
        <w:rPr>
          <w:rFonts w:ascii="Arial" w:cs="Arial" w:eastAsia="Arial" w:hAnsi="Arial"/>
          <w:sz w:val="19"/>
          <w:szCs w:val="19"/>
          <w:color w:val="auto"/>
        </w:rPr>
      </w:pPr>
      <w:r>
        <w:rPr>
          <w:rFonts w:ascii="Arial" w:cs="Arial" w:eastAsia="Arial" w:hAnsi="Arial"/>
          <w:sz w:val="19"/>
          <w:szCs w:val="19"/>
          <w:color w:val="auto"/>
        </w:rPr>
        <w:t>Submission to the FDA of an IND, which must become effective before human clinical trials may begin in the U.S.;</w:t>
      </w:r>
    </w:p>
    <w:p>
      <w:pPr>
        <w:spacing w:after="0" w:line="119" w:lineRule="exact"/>
        <w:rPr>
          <w:rFonts w:ascii="Arial" w:cs="Arial" w:eastAsia="Arial" w:hAnsi="Arial"/>
          <w:sz w:val="19"/>
          <w:szCs w:val="19"/>
          <w:color w:val="auto"/>
        </w:rPr>
      </w:pPr>
    </w:p>
    <w:p>
      <w:pPr>
        <w:ind w:left="365" w:hanging="365"/>
        <w:spacing w:after="0" w:line="260" w:lineRule="auto"/>
        <w:tabs>
          <w:tab w:leader="none" w:pos="365" w:val="left"/>
        </w:tabs>
        <w:numPr>
          <w:ilvl w:val="0"/>
          <w:numId w:val="19"/>
        </w:numPr>
        <w:rPr>
          <w:rFonts w:ascii="Arial" w:cs="Arial" w:eastAsia="Arial" w:hAnsi="Arial"/>
          <w:sz w:val="20"/>
          <w:szCs w:val="20"/>
          <w:color w:val="auto"/>
        </w:rPr>
      </w:pPr>
      <w:r>
        <w:rPr>
          <w:rFonts w:ascii="Arial" w:cs="Arial" w:eastAsia="Arial" w:hAnsi="Arial"/>
          <w:sz w:val="20"/>
          <w:szCs w:val="20"/>
          <w:color w:val="auto"/>
        </w:rPr>
        <w:t>Approval by an independent institutional review board (“IRB”) or ethics committee at each clinical site before each trial may be initiated;</w:t>
      </w:r>
    </w:p>
    <w:p>
      <w:pPr>
        <w:spacing w:after="0" w:line="58" w:lineRule="exact"/>
        <w:rPr>
          <w:rFonts w:ascii="Arial" w:cs="Arial" w:eastAsia="Arial" w:hAnsi="Arial"/>
          <w:sz w:val="20"/>
          <w:szCs w:val="20"/>
          <w:color w:val="auto"/>
        </w:rPr>
      </w:pPr>
    </w:p>
    <w:p>
      <w:pPr>
        <w:ind w:left="365" w:hanging="365"/>
        <w:spacing w:after="0" w:line="260" w:lineRule="auto"/>
        <w:tabs>
          <w:tab w:leader="none" w:pos="365" w:val="left"/>
        </w:tabs>
        <w:numPr>
          <w:ilvl w:val="0"/>
          <w:numId w:val="19"/>
        </w:numPr>
        <w:rPr>
          <w:rFonts w:ascii="Arial" w:cs="Arial" w:eastAsia="Arial" w:hAnsi="Arial"/>
          <w:sz w:val="20"/>
          <w:szCs w:val="20"/>
          <w:color w:val="auto"/>
        </w:rPr>
      </w:pPr>
      <w:r>
        <w:rPr>
          <w:rFonts w:ascii="Arial" w:cs="Arial" w:eastAsia="Arial" w:hAnsi="Arial"/>
          <w:sz w:val="20"/>
          <w:szCs w:val="20"/>
          <w:color w:val="auto"/>
        </w:rPr>
        <w:t>Performance of adequate and well-controlled human clinical trials in accordance with good clinical practice (“GCP”) requirements to establish the safety and efficacy of the proposed drug product for each indication;</w:t>
      </w:r>
    </w:p>
    <w:p>
      <w:pPr>
        <w:spacing w:after="0" w:line="58" w:lineRule="exact"/>
        <w:rPr>
          <w:rFonts w:ascii="Arial" w:cs="Arial" w:eastAsia="Arial" w:hAnsi="Arial"/>
          <w:sz w:val="20"/>
          <w:szCs w:val="20"/>
          <w:color w:val="auto"/>
        </w:rPr>
      </w:pPr>
    </w:p>
    <w:p>
      <w:pPr>
        <w:ind w:left="365" w:hanging="365"/>
        <w:spacing w:after="0"/>
        <w:tabs>
          <w:tab w:leader="none" w:pos="365" w:val="left"/>
        </w:tabs>
        <w:numPr>
          <w:ilvl w:val="0"/>
          <w:numId w:val="19"/>
        </w:numPr>
        <w:rPr>
          <w:rFonts w:ascii="Arial" w:cs="Arial" w:eastAsia="Arial" w:hAnsi="Arial"/>
          <w:sz w:val="20"/>
          <w:szCs w:val="20"/>
          <w:color w:val="auto"/>
        </w:rPr>
      </w:pPr>
      <w:r>
        <w:rPr>
          <w:rFonts w:ascii="Arial" w:cs="Arial" w:eastAsia="Arial" w:hAnsi="Arial"/>
          <w:sz w:val="20"/>
          <w:szCs w:val="20"/>
          <w:color w:val="auto"/>
        </w:rPr>
        <w:t>Submission to the FDA of an NDA after completion of all pivotal trials;</w:t>
      </w:r>
    </w:p>
    <w:p>
      <w:pPr>
        <w:spacing w:after="0" w:line="108" w:lineRule="exact"/>
        <w:rPr>
          <w:rFonts w:ascii="Arial" w:cs="Arial" w:eastAsia="Arial" w:hAnsi="Arial"/>
          <w:sz w:val="20"/>
          <w:szCs w:val="20"/>
          <w:color w:val="auto"/>
        </w:rPr>
      </w:pPr>
    </w:p>
    <w:p>
      <w:pPr>
        <w:ind w:left="365" w:hanging="365"/>
        <w:spacing w:after="0"/>
        <w:tabs>
          <w:tab w:leader="none" w:pos="365" w:val="left"/>
        </w:tabs>
        <w:numPr>
          <w:ilvl w:val="0"/>
          <w:numId w:val="19"/>
        </w:numPr>
        <w:rPr>
          <w:rFonts w:ascii="Arial" w:cs="Arial" w:eastAsia="Arial" w:hAnsi="Arial"/>
          <w:sz w:val="20"/>
          <w:szCs w:val="20"/>
          <w:color w:val="auto"/>
        </w:rPr>
      </w:pPr>
      <w:r>
        <w:rPr>
          <w:rFonts w:ascii="Arial" w:cs="Arial" w:eastAsia="Arial" w:hAnsi="Arial"/>
          <w:sz w:val="20"/>
          <w:szCs w:val="20"/>
          <w:color w:val="auto"/>
        </w:rPr>
        <w:t>Completion of an FDA advisory committee review, if required by the FDA;</w:t>
      </w:r>
    </w:p>
    <w:p>
      <w:pPr>
        <w:spacing w:after="0" w:line="108" w:lineRule="exact"/>
        <w:rPr>
          <w:rFonts w:ascii="Arial" w:cs="Arial" w:eastAsia="Arial" w:hAnsi="Arial"/>
          <w:sz w:val="20"/>
          <w:szCs w:val="20"/>
          <w:color w:val="auto"/>
        </w:rPr>
      </w:pPr>
    </w:p>
    <w:p>
      <w:pPr>
        <w:jc w:val="both"/>
        <w:ind w:left="365" w:hanging="365"/>
        <w:spacing w:after="0" w:line="239" w:lineRule="auto"/>
        <w:tabs>
          <w:tab w:leader="none" w:pos="365" w:val="left"/>
        </w:tabs>
        <w:numPr>
          <w:ilvl w:val="0"/>
          <w:numId w:val="19"/>
        </w:numPr>
        <w:rPr>
          <w:rFonts w:ascii="Arial" w:cs="Arial" w:eastAsia="Arial" w:hAnsi="Arial"/>
          <w:sz w:val="20"/>
          <w:szCs w:val="20"/>
          <w:color w:val="auto"/>
        </w:rPr>
      </w:pPr>
      <w:r>
        <w:rPr>
          <w:rFonts w:ascii="Arial" w:cs="Arial" w:eastAsia="Arial" w:hAnsi="Arial"/>
          <w:sz w:val="20"/>
          <w:szCs w:val="20"/>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identity, strength, quality and purity, and potential inspection of selected clinical investigation sites to assess compliance with GCP; and</w:t>
      </w:r>
    </w:p>
    <w:p>
      <w:pPr>
        <w:spacing w:after="0" w:line="78" w:lineRule="exact"/>
        <w:rPr>
          <w:rFonts w:ascii="Arial" w:cs="Arial" w:eastAsia="Arial" w:hAnsi="Arial"/>
          <w:sz w:val="20"/>
          <w:szCs w:val="20"/>
          <w:color w:val="auto"/>
        </w:rPr>
      </w:pPr>
    </w:p>
    <w:p>
      <w:pPr>
        <w:ind w:left="365" w:hanging="365"/>
        <w:spacing w:after="0" w:line="260" w:lineRule="auto"/>
        <w:tabs>
          <w:tab w:leader="none" w:pos="365" w:val="left"/>
        </w:tabs>
        <w:numPr>
          <w:ilvl w:val="0"/>
          <w:numId w:val="19"/>
        </w:numPr>
        <w:rPr>
          <w:rFonts w:ascii="Arial" w:cs="Arial" w:eastAsia="Arial" w:hAnsi="Arial"/>
          <w:sz w:val="20"/>
          <w:szCs w:val="20"/>
          <w:color w:val="auto"/>
        </w:rPr>
      </w:pPr>
      <w:r>
        <w:rPr>
          <w:rFonts w:ascii="Arial" w:cs="Arial" w:eastAsia="Arial" w:hAnsi="Arial"/>
          <w:sz w:val="20"/>
          <w:szCs w:val="20"/>
          <w:color w:val="auto"/>
        </w:rPr>
        <w:t>FDA review and approval of the NDA and U.S. Prescribing Information to permit commercial marketing of the product for particular indications for use in the U.S.</w:t>
      </w:r>
    </w:p>
    <w:p>
      <w:pPr>
        <w:spacing w:after="0" w:line="56"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auto"/>
        </w:rPr>
        <w:t>Non-clinical Studies</w:t>
      </w:r>
    </w:p>
    <w:p>
      <w:pPr>
        <w:spacing w:after="0" w:line="111" w:lineRule="exact"/>
        <w:rPr>
          <w:sz w:val="20"/>
          <w:szCs w:val="20"/>
          <w:color w:val="auto"/>
        </w:rPr>
      </w:pPr>
    </w:p>
    <w:p>
      <w:pPr>
        <w:jc w:val="both"/>
        <w:ind w:left="5"/>
        <w:spacing w:after="0" w:line="262" w:lineRule="auto"/>
        <w:rPr>
          <w:sz w:val="20"/>
          <w:szCs w:val="20"/>
          <w:color w:val="auto"/>
        </w:rPr>
      </w:pPr>
      <w:r>
        <w:rPr>
          <w:rFonts w:ascii="Arial" w:cs="Arial" w:eastAsia="Arial" w:hAnsi="Arial"/>
          <w:sz w:val="18"/>
          <w:szCs w:val="18"/>
          <w:color w:val="auto"/>
        </w:rPr>
        <w:t>Non-clinical studies include laboratory evaluation of product chemistry, toxicity and formulation, as well as animal studies to assess potential safety and efficacy. An IND sponsor must submit the results of the non-clinical tests, together with manufacturing information, analytical data and any available clinical data or literature, among other things, to the FDA as part of an IND. An IND is a request for allowance from the FDA to ship in interstate commerce and administer an investigational drug product to humans.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60"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auto"/>
        </w:rPr>
        <w:t>Clinical Trials</w:t>
      </w:r>
    </w:p>
    <w:p>
      <w:pPr>
        <w:spacing w:after="0" w:line="111" w:lineRule="exact"/>
        <w:rPr>
          <w:sz w:val="20"/>
          <w:szCs w:val="20"/>
          <w:color w:val="auto"/>
        </w:rPr>
      </w:pPr>
    </w:p>
    <w:p>
      <w:pPr>
        <w:jc w:val="both"/>
        <w:ind w:left="5"/>
        <w:spacing w:after="0" w:line="260"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in accordance with GCP requirements, which among other things, include the requirement that all research subjects or a legal representative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w:t>
      </w:r>
    </w:p>
    <w:p>
      <w:pPr>
        <w:sectPr>
          <w:pgSz w:w="11880" w:h="15480" w:orient="portrait"/>
          <w:cols w:equalWidth="0" w:num="1">
            <w:col w:w="10205"/>
          </w:cols>
          <w:pgMar w:left="835" w:top="122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205"/>
          </w:cols>
          <w:pgMar w:left="835" w:top="1229" w:right="840" w:bottom="0" w:gutter="0" w:footer="0" w:header="0"/>
          <w:type w:val="continuous"/>
        </w:sectPr>
      </w:pPr>
    </w:p>
    <w:bookmarkStart w:id="29" w:name="page30"/>
    <w:bookmarkEnd w:id="29"/>
    <w:p>
      <w:pPr>
        <w:jc w:val="both"/>
        <w:ind w:left="5"/>
        <w:spacing w:after="0" w:line="260" w:lineRule="auto"/>
        <w:rPr>
          <w:sz w:val="20"/>
          <w:szCs w:val="20"/>
          <w:color w:val="auto"/>
        </w:rPr>
      </w:pPr>
      <w:r>
        <w:rPr>
          <w:rFonts w:ascii="Arial" w:cs="Arial" w:eastAsia="Arial" w:hAnsi="Arial"/>
          <w:sz w:val="20"/>
          <w:szCs w:val="20"/>
          <w:color w:val="auto"/>
        </w:rPr>
        <w:t>important increased incidence of a serious suspected adverse reaction compared to that listed in the protocol or investigator brochure.</w:t>
      </w:r>
    </w:p>
    <w:p>
      <w:pPr>
        <w:spacing w:after="0" w:line="59" w:lineRule="exact"/>
        <w:rPr>
          <w:sz w:val="20"/>
          <w:szCs w:val="20"/>
          <w:color w:val="auto"/>
        </w:rPr>
      </w:pPr>
    </w:p>
    <w:p>
      <w:pPr>
        <w:jc w:val="both"/>
        <w:ind w:left="5"/>
        <w:spacing w:after="0" w:line="246" w:lineRule="auto"/>
        <w:rPr>
          <w:sz w:val="20"/>
          <w:szCs w:val="20"/>
          <w:color w:val="auto"/>
        </w:rPr>
      </w:pPr>
      <w:r>
        <w:rPr>
          <w:rFonts w:ascii="Arial" w:cs="Arial" w:eastAsia="Arial" w:hAnsi="Arial"/>
          <w:sz w:val="19"/>
          <w:szCs w:val="19"/>
          <w:color w:val="auto"/>
        </w:rPr>
        <w:t>In addition, an IRB at each institution participating in the clinical trial must review and approve the plan for any clinical trial before it commences at that institution.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reviews the data and recommends whether or not a study may move forward at designated checkpoints. It may halt the clinical trial if it determines that there is an unacceptable safety risk or on other grounds, such as no demonstration of efficacy. Information about certain clinical trials must be submitted within specific timeframes to the National Institutes of Health, or NIH, for public dissemination on their www.clinicaltrials.gov website.</w:t>
      </w:r>
    </w:p>
    <w:p>
      <w:pPr>
        <w:spacing w:after="0" w:line="74" w:lineRule="exact"/>
        <w:rPr>
          <w:sz w:val="20"/>
          <w:szCs w:val="20"/>
          <w:color w:val="auto"/>
        </w:rPr>
      </w:pPr>
    </w:p>
    <w:p>
      <w:pPr>
        <w:ind w:left="5"/>
        <w:spacing w:after="0"/>
        <w:rPr>
          <w:sz w:val="20"/>
          <w:szCs w:val="20"/>
          <w:color w:val="auto"/>
        </w:rPr>
      </w:pPr>
      <w:r>
        <w:rPr>
          <w:rFonts w:ascii="Arial" w:cs="Arial" w:eastAsia="Arial" w:hAnsi="Arial"/>
          <w:sz w:val="20"/>
          <w:szCs w:val="20"/>
          <w:color w:val="auto"/>
        </w:rPr>
        <w:t>Human clinical trials are typically conducted in three phases, which may overlap or be combined:</w:t>
      </w:r>
    </w:p>
    <w:p>
      <w:pPr>
        <w:spacing w:after="0" w:line="108" w:lineRule="exact"/>
        <w:rPr>
          <w:sz w:val="20"/>
          <w:szCs w:val="20"/>
          <w:color w:val="auto"/>
        </w:rPr>
      </w:pPr>
    </w:p>
    <w:p>
      <w:pPr>
        <w:jc w:val="both"/>
        <w:ind w:left="365" w:hanging="365"/>
        <w:spacing w:after="0" w:line="244" w:lineRule="auto"/>
        <w:tabs>
          <w:tab w:leader="none" w:pos="365" w:val="left"/>
        </w:tabs>
        <w:numPr>
          <w:ilvl w:val="0"/>
          <w:numId w:val="20"/>
        </w:numPr>
        <w:rPr>
          <w:rFonts w:ascii="Arial" w:cs="Arial" w:eastAsia="Arial" w:hAnsi="Arial"/>
          <w:sz w:val="20"/>
          <w:szCs w:val="20"/>
          <w:color w:val="auto"/>
        </w:rPr>
      </w:pPr>
      <w:r>
        <w:rPr>
          <w:rFonts w:ascii="Arial" w:cs="Arial" w:eastAsia="Arial" w:hAnsi="Arial"/>
          <w:sz w:val="20"/>
          <w:szCs w:val="20"/>
          <w:color w:val="auto"/>
        </w:rPr>
        <w:t>Phase 1: The drug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74" w:lineRule="exact"/>
        <w:rPr>
          <w:rFonts w:ascii="Arial" w:cs="Arial" w:eastAsia="Arial" w:hAnsi="Arial"/>
          <w:sz w:val="20"/>
          <w:szCs w:val="20"/>
          <w:color w:val="auto"/>
        </w:rPr>
      </w:pPr>
    </w:p>
    <w:p>
      <w:pPr>
        <w:jc w:val="both"/>
        <w:ind w:left="365" w:hanging="365"/>
        <w:spacing w:after="0" w:line="244" w:lineRule="auto"/>
        <w:tabs>
          <w:tab w:leader="none" w:pos="365" w:val="left"/>
        </w:tabs>
        <w:numPr>
          <w:ilvl w:val="0"/>
          <w:numId w:val="20"/>
        </w:numPr>
        <w:rPr>
          <w:rFonts w:ascii="Arial" w:cs="Arial" w:eastAsia="Arial" w:hAnsi="Arial"/>
          <w:sz w:val="20"/>
          <w:szCs w:val="20"/>
          <w:color w:val="auto"/>
        </w:rPr>
      </w:pPr>
      <w:r>
        <w:rPr>
          <w:rFonts w:ascii="Arial" w:cs="Arial" w:eastAsia="Arial" w:hAnsi="Arial"/>
          <w:sz w:val="20"/>
          <w:szCs w:val="20"/>
          <w:color w:val="auto"/>
        </w:rPr>
        <w:t>Phase 2: The drug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74" w:lineRule="exact"/>
        <w:rPr>
          <w:rFonts w:ascii="Arial" w:cs="Arial" w:eastAsia="Arial" w:hAnsi="Arial"/>
          <w:sz w:val="20"/>
          <w:szCs w:val="20"/>
          <w:color w:val="auto"/>
        </w:rPr>
      </w:pPr>
    </w:p>
    <w:p>
      <w:pPr>
        <w:jc w:val="both"/>
        <w:ind w:left="365" w:hanging="365"/>
        <w:spacing w:after="0" w:line="239" w:lineRule="auto"/>
        <w:tabs>
          <w:tab w:leader="none" w:pos="365" w:val="left"/>
        </w:tabs>
        <w:numPr>
          <w:ilvl w:val="0"/>
          <w:numId w:val="20"/>
        </w:numPr>
        <w:rPr>
          <w:rFonts w:ascii="Arial" w:cs="Arial" w:eastAsia="Arial" w:hAnsi="Arial"/>
          <w:sz w:val="20"/>
          <w:szCs w:val="20"/>
          <w:color w:val="auto"/>
        </w:rPr>
      </w:pPr>
      <w:r>
        <w:rPr>
          <w:rFonts w:ascii="Arial" w:cs="Arial" w:eastAsia="Arial" w:hAnsi="Arial"/>
          <w:sz w:val="20"/>
          <w:szCs w:val="20"/>
          <w:color w:val="auto"/>
        </w:rPr>
        <w:t>Phase 3: The drug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79" w:lineRule="exact"/>
        <w:rPr>
          <w:sz w:val="20"/>
          <w:szCs w:val="20"/>
          <w:color w:val="auto"/>
        </w:rPr>
      </w:pPr>
    </w:p>
    <w:p>
      <w:pPr>
        <w:jc w:val="both"/>
        <w:ind w:left="5"/>
        <w:spacing w:after="0" w:line="263" w:lineRule="auto"/>
        <w:rPr>
          <w:sz w:val="20"/>
          <w:szCs w:val="20"/>
          <w:color w:val="auto"/>
        </w:rPr>
      </w:pPr>
      <w:r>
        <w:rPr>
          <w:rFonts w:ascii="Arial" w:cs="Arial" w:eastAsia="Arial" w:hAnsi="Arial"/>
          <w:sz w:val="19"/>
          <w:szCs w:val="19"/>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58" w:lineRule="exact"/>
        <w:rPr>
          <w:sz w:val="20"/>
          <w:szCs w:val="20"/>
          <w:color w:val="auto"/>
        </w:rPr>
      </w:pPr>
    </w:p>
    <w:p>
      <w:pPr>
        <w:jc w:val="both"/>
        <w:ind w:left="5"/>
        <w:spacing w:after="0" w:line="274"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w:t>
      </w:r>
    </w:p>
    <w:p>
      <w:pPr>
        <w:spacing w:after="0" w:line="50" w:lineRule="exact"/>
        <w:rPr>
          <w:sz w:val="20"/>
          <w:szCs w:val="20"/>
          <w:color w:val="auto"/>
        </w:rPr>
      </w:pPr>
    </w:p>
    <w:p>
      <w:pPr>
        <w:jc w:val="both"/>
        <w:ind w:left="5"/>
        <w:spacing w:after="0" w:line="234" w:lineRule="auto"/>
        <w:rPr>
          <w:sz w:val="20"/>
          <w:szCs w:val="20"/>
          <w:color w:val="auto"/>
        </w:rPr>
      </w:pPr>
      <w:r>
        <w:rPr>
          <w:rFonts w:ascii="Arial" w:cs="Arial" w:eastAsia="Arial" w:hAnsi="Arial"/>
          <w:sz w:val="20"/>
          <w:szCs w:val="20"/>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79"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auto"/>
        </w:rPr>
        <w:t>Marketing Approval</w:t>
      </w:r>
    </w:p>
    <w:p>
      <w:pPr>
        <w:spacing w:after="0" w:line="111" w:lineRule="exact"/>
        <w:rPr>
          <w:sz w:val="20"/>
          <w:szCs w:val="20"/>
          <w:color w:val="auto"/>
        </w:rPr>
      </w:pPr>
    </w:p>
    <w:p>
      <w:pPr>
        <w:jc w:val="both"/>
        <w:ind w:left="5"/>
        <w:spacing w:after="0" w:line="258"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In addition, the Pediatric Research Equity Act (PREA), requires a sponsor to conduct pediatric clinical trials for most drugs, for a new active ingredient, new indication, new dosage form, new dosing regimen or new route of administration. Under PREA, original NDAs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69" w:lineRule="exact"/>
        <w:rPr>
          <w:sz w:val="20"/>
          <w:szCs w:val="20"/>
          <w:color w:val="auto"/>
        </w:rPr>
      </w:pPr>
    </w:p>
    <w:p>
      <w:pPr>
        <w:jc w:val="both"/>
        <w:ind w:left="5"/>
        <w:spacing w:after="0" w:line="315" w:lineRule="auto"/>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w:t>
      </w:r>
    </w:p>
    <w:p>
      <w:pPr>
        <w:sectPr>
          <w:pgSz w:w="11880" w:h="15480" w:orient="portrait"/>
          <w:cols w:equalWidth="0" w:num="1">
            <w:col w:w="10205"/>
          </w:cols>
          <w:pgMar w:left="835" w:top="122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205"/>
          </w:cols>
          <w:pgMar w:left="835" w:top="1229" w:right="840" w:bottom="0" w:gutter="0" w:footer="0" w:header="0"/>
          <w:type w:val="continuous"/>
        </w:sectPr>
      </w:pPr>
    </w:p>
    <w:bookmarkStart w:id="30" w:name="page31"/>
    <w:bookmarkEnd w:id="30"/>
    <w:p>
      <w:pPr>
        <w:jc w:val="both"/>
        <w:spacing w:after="0" w:line="260" w:lineRule="auto"/>
        <w:rPr>
          <w:sz w:val="20"/>
          <w:szCs w:val="20"/>
          <w:color w:val="auto"/>
        </w:rPr>
      </w:pPr>
      <w:r>
        <w:rPr>
          <w:rFonts w:ascii="Arial" w:cs="Arial" w:eastAsia="Arial" w:hAnsi="Arial"/>
          <w:sz w:val="20"/>
          <w:szCs w:val="20"/>
          <w:color w:val="auto"/>
        </w:rPr>
        <w:t>rather than accept an NDA for filing. In this event, the application must be resubmitted with the additional information. The resubmitted application is also subject to review before the FDA accepts it for filing.</w:t>
      </w:r>
    </w:p>
    <w:p>
      <w:pPr>
        <w:spacing w:after="0" w:line="5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 Under the Prescription Drug User Fee Act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it the application is submitted.</w:t>
      </w:r>
    </w:p>
    <w:p>
      <w:pPr>
        <w:spacing w:after="0" w:line="8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5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50"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a resubmitted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7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Expedited Development and Review Programs</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FDA offers a number of expedited development and review programs for qualifying product candidates. For example, the fast track program is intended to expedite or facilitate the process for reviewing products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ectPr>
          <w:pgSz w:w="11880" w:h="15480" w:orient="portrait"/>
          <w:cols w:equalWidth="0" w:num="1">
            <w:col w:w="10200"/>
          </w:cols>
          <w:pgMar w:left="840" w:top="122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200"/>
          </w:cols>
          <w:pgMar w:left="840" w:top="1229" w:right="840" w:bottom="0" w:gutter="0" w:footer="0" w:header="0"/>
          <w:type w:val="continuous"/>
        </w:sectPr>
      </w:pPr>
    </w:p>
    <w:bookmarkStart w:id="31" w:name="page32"/>
    <w:bookmarkEnd w:id="31"/>
    <w:p>
      <w:pPr>
        <w:jc w:val="both"/>
        <w:spacing w:after="0" w:line="248" w:lineRule="auto"/>
        <w:rPr>
          <w:sz w:val="20"/>
          <w:szCs w:val="20"/>
          <w:color w:val="auto"/>
        </w:rPr>
      </w:pPr>
      <w:r>
        <w:rPr>
          <w:rFonts w:ascii="Arial" w:cs="Arial" w:eastAsia="Arial" w:hAnsi="Arial"/>
          <w:sz w:val="19"/>
          <w:szCs w:val="19"/>
          <w:color w:val="auto"/>
        </w:rPr>
        <w:t>Any marketing application for a drug submitted to the FDA for approval, including a product candidate with a fast track designation and/or breakthrough therapy designation, may be eligible for other types of FDA programs to expedite the FDA review and approval process, such as priority review. An NDA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 molecular entity NDAs, priority review designation means the FDA’s goal is to take action on the marketing application within six months of the 60-day filing date (as compared to ten months under standard review).</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depending on the design of the applicable clinical studies,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and may require that such confirmatory studies be underway prior to granting accelerated approval. Products receiving accelerated approval may be subject to expedited withdrawal procedures if the sponsor fails to conduct the required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6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Orphan drug designation and exclusivity</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an NDA. After the FDA grants orphan drug designation, the generic identity of the therapeutic agent and its potential orphan use are disclosed publicly by the FDA.</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or condition for which it has such designation, the product is entitled to orphan product exclusivity, which means that the FDA may not approve any other applications, including a full NDA, to market the same drug for the same disease or condition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64"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A designated orphan drug many not receive orphan drug exclusivity if it is approved for a use that is broader than the disease or condition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Post-Approval Requirements</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under which NDA applicants must pay a substantial “program fee” for each prescription drug product approved in an NDA.</w:t>
      </w:r>
    </w:p>
    <w:p>
      <w:pPr>
        <w:spacing w:after="0" w:line="73"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w:t>
      </w:r>
    </w:p>
    <w:p>
      <w:pPr>
        <w:sectPr>
          <w:pgSz w:w="11880" w:h="15480" w:orient="portrait"/>
          <w:cols w:equalWidth="0" w:num="1">
            <w:col w:w="10200"/>
          </w:cols>
          <w:pgMar w:left="840" w:top="122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200"/>
          </w:cols>
          <w:pgMar w:left="840" w:top="1229" w:right="840" w:bottom="0" w:gutter="0" w:footer="0" w:header="0"/>
          <w:type w:val="continuous"/>
        </w:sectPr>
      </w:pPr>
    </w:p>
    <w:bookmarkStart w:id="32" w:name="page33"/>
    <w:bookmarkEnd w:id="32"/>
    <w:p>
      <w:pPr>
        <w:jc w:val="both"/>
        <w:ind w:left="5"/>
        <w:spacing w:after="0" w:line="269" w:lineRule="auto"/>
        <w:rPr>
          <w:sz w:val="20"/>
          <w:szCs w:val="20"/>
          <w:color w:val="auto"/>
        </w:rPr>
      </w:pPr>
      <w:r>
        <w:rPr>
          <w:rFonts w:ascii="Arial" w:cs="Arial" w:eastAsia="Arial" w:hAnsi="Arial"/>
          <w:sz w:val="18"/>
          <w:szCs w:val="18"/>
          <w:color w:val="auto"/>
        </w:rPr>
        <w:t>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54" w:lineRule="exact"/>
        <w:rPr>
          <w:sz w:val="20"/>
          <w:szCs w:val="20"/>
          <w:color w:val="auto"/>
        </w:rPr>
      </w:pPr>
    </w:p>
    <w:p>
      <w:pPr>
        <w:jc w:val="both"/>
        <w:ind w:left="5"/>
        <w:spacing w:after="0" w:line="249" w:lineRule="auto"/>
        <w:rPr>
          <w:sz w:val="20"/>
          <w:szCs w:val="20"/>
          <w:color w:val="auto"/>
        </w:rPr>
      </w:pPr>
      <w:r>
        <w:rPr>
          <w:rFonts w:ascii="Arial" w:cs="Arial" w:eastAsia="Arial" w:hAnsi="Arial"/>
          <w:sz w:val="19"/>
          <w:szCs w:val="19"/>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3" w:lineRule="exact"/>
        <w:rPr>
          <w:sz w:val="20"/>
          <w:szCs w:val="20"/>
          <w:color w:val="auto"/>
        </w:rPr>
      </w:pPr>
    </w:p>
    <w:p>
      <w:pPr>
        <w:ind w:left="365" w:hanging="365"/>
        <w:spacing w:after="0" w:line="260" w:lineRule="auto"/>
        <w:tabs>
          <w:tab w:leader="none" w:pos="365"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Restrictions on the marketing or manufacturing of the product, complete withdrawal of the product from the market or product recalls;</w:t>
      </w:r>
    </w:p>
    <w:p>
      <w:pPr>
        <w:spacing w:after="0" w:line="58" w:lineRule="exact"/>
        <w:rPr>
          <w:rFonts w:ascii="Arial" w:cs="Arial" w:eastAsia="Arial" w:hAnsi="Arial"/>
          <w:sz w:val="20"/>
          <w:szCs w:val="20"/>
          <w:color w:val="auto"/>
        </w:rPr>
      </w:pPr>
    </w:p>
    <w:p>
      <w:pPr>
        <w:ind w:left="365" w:hanging="365"/>
        <w:spacing w:after="0"/>
        <w:tabs>
          <w:tab w:leader="none" w:pos="365" w:val="left"/>
        </w:tabs>
        <w:numPr>
          <w:ilvl w:val="0"/>
          <w:numId w:val="21"/>
        </w:numPr>
        <w:rPr>
          <w:rFonts w:ascii="Arial" w:cs="Arial" w:eastAsia="Arial" w:hAnsi="Arial"/>
          <w:sz w:val="20"/>
          <w:szCs w:val="20"/>
          <w:color w:val="auto"/>
        </w:rPr>
      </w:pPr>
      <w:r>
        <w:rPr>
          <w:rFonts w:ascii="Arial" w:cs="Arial" w:eastAsia="Arial" w:hAnsi="Arial"/>
          <w:sz w:val="20"/>
          <w:szCs w:val="20"/>
          <w:color w:val="auto"/>
        </w:rPr>
        <w:t>Fines, warning letters or holds on post-approval clinical trials;</w:t>
      </w:r>
    </w:p>
    <w:p>
      <w:pPr>
        <w:spacing w:after="0" w:line="108" w:lineRule="exact"/>
        <w:rPr>
          <w:rFonts w:ascii="Arial" w:cs="Arial" w:eastAsia="Arial" w:hAnsi="Arial"/>
          <w:sz w:val="20"/>
          <w:szCs w:val="20"/>
          <w:color w:val="auto"/>
        </w:rPr>
      </w:pPr>
    </w:p>
    <w:p>
      <w:pPr>
        <w:ind w:left="365" w:hanging="365"/>
        <w:spacing w:after="0" w:line="260" w:lineRule="auto"/>
        <w:tabs>
          <w:tab w:leader="none" w:pos="365"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Refusal of the FDA to approve pending NDAs or supplements to approved NDAs, or suspension or revocation of product approvals;</w:t>
      </w:r>
    </w:p>
    <w:p>
      <w:pPr>
        <w:spacing w:after="0" w:line="58" w:lineRule="exact"/>
        <w:rPr>
          <w:rFonts w:ascii="Arial" w:cs="Arial" w:eastAsia="Arial" w:hAnsi="Arial"/>
          <w:sz w:val="20"/>
          <w:szCs w:val="20"/>
          <w:color w:val="auto"/>
        </w:rPr>
      </w:pPr>
    </w:p>
    <w:p>
      <w:pPr>
        <w:ind w:left="365" w:hanging="365"/>
        <w:spacing w:after="0"/>
        <w:tabs>
          <w:tab w:leader="none" w:pos="365" w:val="left"/>
        </w:tabs>
        <w:numPr>
          <w:ilvl w:val="0"/>
          <w:numId w:val="21"/>
        </w:numPr>
        <w:rPr>
          <w:rFonts w:ascii="Arial" w:cs="Arial" w:eastAsia="Arial" w:hAnsi="Arial"/>
          <w:sz w:val="20"/>
          <w:szCs w:val="20"/>
          <w:color w:val="auto"/>
        </w:rPr>
      </w:pPr>
      <w:r>
        <w:rPr>
          <w:rFonts w:ascii="Arial" w:cs="Arial" w:eastAsia="Arial" w:hAnsi="Arial"/>
          <w:sz w:val="20"/>
          <w:szCs w:val="20"/>
          <w:color w:val="auto"/>
        </w:rPr>
        <w:t>Product seizure or detention, or refusal to permit the import or export of products; or</w:t>
      </w:r>
    </w:p>
    <w:p>
      <w:pPr>
        <w:spacing w:after="0" w:line="108" w:lineRule="exact"/>
        <w:rPr>
          <w:rFonts w:ascii="Arial" w:cs="Arial" w:eastAsia="Arial" w:hAnsi="Arial"/>
          <w:sz w:val="20"/>
          <w:szCs w:val="20"/>
          <w:color w:val="auto"/>
        </w:rPr>
      </w:pPr>
    </w:p>
    <w:p>
      <w:pPr>
        <w:ind w:left="365" w:hanging="365"/>
        <w:spacing w:after="0"/>
        <w:tabs>
          <w:tab w:leader="none" w:pos="365"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Injunctions or the imposition of civil or criminal penalties.</w:t>
      </w:r>
    </w:p>
    <w:p>
      <w:pPr>
        <w:spacing w:after="0" w:line="108" w:lineRule="exact"/>
        <w:rPr>
          <w:sz w:val="20"/>
          <w:szCs w:val="20"/>
          <w:color w:val="auto"/>
        </w:rPr>
      </w:pPr>
    </w:p>
    <w:p>
      <w:pPr>
        <w:jc w:val="both"/>
        <w:ind w:left="5"/>
        <w:spacing w:after="0" w:line="26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w:t>
      </w:r>
    </w:p>
    <w:p>
      <w:pPr>
        <w:spacing w:after="0" w:line="51"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auto"/>
        </w:rPr>
        <w:t>Drug Product Marketing Exclusivity</w:t>
      </w:r>
    </w:p>
    <w:p>
      <w:pPr>
        <w:spacing w:after="0" w:line="111" w:lineRule="exact"/>
        <w:rPr>
          <w:sz w:val="20"/>
          <w:szCs w:val="20"/>
          <w:color w:val="auto"/>
        </w:rPr>
      </w:pPr>
    </w:p>
    <w:p>
      <w:pPr>
        <w:jc w:val="both"/>
        <w:ind w:left="5"/>
        <w:spacing w:after="0" w:line="260" w:lineRule="auto"/>
        <w:rPr>
          <w:sz w:val="20"/>
          <w:szCs w:val="20"/>
          <w:color w:val="auto"/>
        </w:rPr>
      </w:pPr>
      <w:r>
        <w:rPr>
          <w:rFonts w:ascii="Arial" w:cs="Arial" w:eastAsia="Arial" w:hAnsi="Arial"/>
          <w:sz w:val="18"/>
          <w:szCs w:val="18"/>
          <w:color w:val="auto"/>
        </w:rPr>
        <w:t>Market exclusivity provisions authorized under the FDCA can delay the submission or the approval of certain marketing applications. For example,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(a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66" w:lineRule="exact"/>
        <w:rPr>
          <w:sz w:val="20"/>
          <w:szCs w:val="20"/>
          <w:color w:val="auto"/>
        </w:rPr>
      </w:pPr>
    </w:p>
    <w:p>
      <w:pPr>
        <w:jc w:val="both"/>
        <w:ind w:left="5"/>
        <w:spacing w:after="0" w:line="262" w:lineRule="auto"/>
        <w:rPr>
          <w:sz w:val="20"/>
          <w:szCs w:val="20"/>
          <w:color w:val="auto"/>
        </w:rPr>
      </w:pPr>
      <w:r>
        <w:rPr>
          <w:rFonts w:ascii="Arial" w:cs="Arial" w:eastAsia="Arial" w:hAnsi="Arial"/>
          <w:sz w:val="18"/>
          <w:szCs w:val="18"/>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63" w:lineRule="exact"/>
        <w:rPr>
          <w:sz w:val="20"/>
          <w:szCs w:val="20"/>
          <w:color w:val="auto"/>
        </w:rPr>
      </w:pPr>
    </w:p>
    <w:p>
      <w:pPr>
        <w:jc w:val="both"/>
        <w:ind w:left="5"/>
        <w:spacing w:after="0" w:line="269"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existing exclusivity or an available patent term if a sponsor conducts clinical trials in children in response to a “written request” from the FDA. The issuance of a written request does not require the sponsor to undertake the described clinical trials, and the FDA’s grant of pediatric exclusivity does not require the FDA to approve labeling containing information on pediatric use based on the studies conducted.</w:t>
      </w:r>
    </w:p>
    <w:p>
      <w:pPr>
        <w:spacing w:after="0" w:line="51"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auto"/>
        </w:rPr>
        <w:t>Foreign regulation</w:t>
      </w:r>
    </w:p>
    <w:p>
      <w:pPr>
        <w:spacing w:after="0" w:line="111" w:lineRule="exact"/>
        <w:rPr>
          <w:sz w:val="20"/>
          <w:szCs w:val="20"/>
          <w:color w:val="auto"/>
        </w:rPr>
      </w:pPr>
    </w:p>
    <w:p>
      <w:pPr>
        <w:jc w:val="both"/>
        <w:ind w:left="5"/>
        <w:spacing w:after="0" w:line="284" w:lineRule="auto"/>
        <w:rPr>
          <w:sz w:val="20"/>
          <w:szCs w:val="20"/>
          <w:color w:val="auto"/>
        </w:rPr>
      </w:pPr>
      <w:r>
        <w:rPr>
          <w:rFonts w:ascii="Arial" w:cs="Arial" w:eastAsia="Arial" w:hAnsi="Arial"/>
          <w:sz w:val="18"/>
          <w:szCs w:val="18"/>
          <w:color w:val="auto"/>
        </w:rPr>
        <w:t>In order to market any medicinal product outside of the U.S., similar regulatory requirements, including adherence to GLP, Good Clinical Practices (“GCP”) and Good Manufacturing Practice (“GMP”), to initiate clinical trials and, subsequently, to obtain marketing approval of a new pharmaceutical product are in place in each jurisdiction and vary country to country.</w:t>
      </w:r>
    </w:p>
    <w:p>
      <w:pPr>
        <w:sectPr>
          <w:pgSz w:w="11880" w:h="15480" w:orient="portrait"/>
          <w:cols w:equalWidth="0" w:num="1">
            <w:col w:w="10205"/>
          </w:cols>
          <w:pgMar w:left="835" w:top="122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205"/>
          </w:cols>
          <w:pgMar w:left="835" w:top="1229" w:right="840" w:bottom="0" w:gutter="0" w:footer="0" w:header="0"/>
          <w:type w:val="continuous"/>
        </w:sectPr>
      </w:pPr>
    </w:p>
    <w:bookmarkStart w:id="33" w:name="page34"/>
    <w:bookmarkEnd w:id="33"/>
    <w:p>
      <w:pPr>
        <w:jc w:val="both"/>
        <w:spacing w:after="0" w:line="260" w:lineRule="auto"/>
        <w:rPr>
          <w:sz w:val="20"/>
          <w:szCs w:val="20"/>
          <w:color w:val="auto"/>
        </w:rPr>
      </w:pPr>
      <w:r>
        <w:rPr>
          <w:rFonts w:ascii="Arial" w:cs="Arial" w:eastAsia="Arial" w:hAnsi="Arial"/>
          <w:sz w:val="18"/>
          <w:szCs w:val="18"/>
          <w:color w:val="auto"/>
        </w:rPr>
        <w:t>Each jurisdiction will apply these regulations in their assessment of clinical trial applications and marketing authorization applications. The foreign regulatory approval process includes all of the risks associated with FDA approval set forth above, as well as additional country-specific regulation. The foreign regulatory approval process includes all of the risks associated with FDA approval set forth above, as well as additional country-specific regulation. Whether or not we obtain FDA approval for a product, we must obtain approval of a product by the comparable regulatory authorities of foreign countries before we can commence clinical trials or marketing of the product in those countries. The time required to obtain approval in other countries and jurisdictions might differ from and be longer than that required to obtain FDA approval. Regulatory approval in one country or jurisdiction does not ensure regulatory approval in another. In addition, a failure or delay in obtaining regulatory approval in one country or jurisdiction may negatively impact the regulatory process in others.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Non-clinical studies and clinical trials</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Similarly to the United States, the various phases of non-clinical and clinical research in the European Union (“EU”) are subject to significant regulatory controls.</w:t>
      </w:r>
    </w:p>
    <w:p>
      <w:pPr>
        <w:spacing w:after="0" w:line="59"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Non-clinical studies are performed to demonstrate the health or environmental safety of new biological substances. Non-clinical studies (pharmaco-toxicological) must be conducted in compliance with the principles of GLP, as set forth in EU Directive 2004/10/EC (unless otherwise justified for certain particular medicinal products - e.g., radio-pharmaceutical precursors for radio-labelling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7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Clinical trials of medicinal products in the EU must be conducted in accordance with EU and national regulations and the International Council for Harmonization of Technical Requirements for Pharmaceuticals for Human Use (“ICH”)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7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5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7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w:t>
      </w:r>
    </w:p>
    <w:p>
      <w:pPr>
        <w:spacing w:after="0" w:line="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Medicines used in clinical trials must be manufactured in accordance with GMP. Other national and EU-wide regulatory requirements may also apply.</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Marketing authorization</w:t>
      </w:r>
    </w:p>
    <w:p>
      <w:pPr>
        <w:sectPr>
          <w:pgSz w:w="11880" w:h="15480" w:orient="portrait"/>
          <w:cols w:equalWidth="0" w:num="1">
            <w:col w:w="10200"/>
          </w:cols>
          <w:pgMar w:left="840" w:top="122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200"/>
          </w:cols>
          <w:pgMar w:left="840" w:top="1229" w:right="840" w:bottom="0" w:gutter="0" w:footer="0" w:header="0"/>
          <w:type w:val="continuous"/>
        </w:sectPr>
      </w:pPr>
    </w:p>
    <w:bookmarkStart w:id="34" w:name="page35"/>
    <w:bookmarkEnd w:id="34"/>
    <w:p>
      <w:pPr>
        <w:jc w:val="both"/>
        <w:ind w:left="5"/>
        <w:spacing w:after="0" w:line="284" w:lineRule="auto"/>
        <w:rPr>
          <w:sz w:val="20"/>
          <w:szCs w:val="20"/>
          <w:color w:val="auto"/>
        </w:rPr>
      </w:pPr>
      <w:r>
        <w:rPr>
          <w:rFonts w:ascii="Arial" w:cs="Arial" w:eastAsia="Arial" w:hAnsi="Arial"/>
          <w:sz w:val="18"/>
          <w:szCs w:val="18"/>
          <w:color w:val="auto"/>
        </w:rPr>
        <w:t>In the EU, medicinal products can only be placed on the market after obtaining a marketing authorization (“MA”). To obtain regulatory approval of a product candidate under EU regulatory systems, we must submit a MA application (“MAA”). The process for doing this depends, among other things, on the nature of the medicinal product. There are two types of MAs:</w:t>
      </w:r>
    </w:p>
    <w:p>
      <w:pPr>
        <w:spacing w:after="0" w:line="41" w:lineRule="exact"/>
        <w:rPr>
          <w:sz w:val="20"/>
          <w:szCs w:val="20"/>
          <w:color w:val="auto"/>
        </w:rPr>
      </w:pPr>
    </w:p>
    <w:p>
      <w:pPr>
        <w:jc w:val="both"/>
        <w:ind w:left="365" w:hanging="365"/>
        <w:spacing w:after="0" w:line="261" w:lineRule="auto"/>
        <w:tabs>
          <w:tab w:leader="none" w:pos="3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“Centralized MAs” are issued by the European Commission through the centralized procedure, based on the opinion of the Committee for Medicinal Products for Human Use (“CHMP”) of the EMA, and are valid throughout the EU. The centralized procedure is mandatory for certain types of medicinal products, such as (i) medicines derived from biotechnology processes, (ii) advanced therapy medicinal products (“ATMP”) (such as gene therapy, somatic cell therapy and tissue engineered products), (iii) orphan designated medicinal products, and (iv) products that contain a new active substance indicated for the treatment of certain diseases such as HIV/AIDS, cancer, neurodegenerative disorders, diabetes,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63" w:lineRule="exact"/>
        <w:rPr>
          <w:rFonts w:ascii="Arial" w:cs="Arial" w:eastAsia="Arial" w:hAnsi="Arial"/>
          <w:sz w:val="18"/>
          <w:szCs w:val="18"/>
          <w:color w:val="auto"/>
        </w:rPr>
      </w:pPr>
    </w:p>
    <w:p>
      <w:pPr>
        <w:jc w:val="both"/>
        <w:ind w:left="365" w:hanging="365"/>
        <w:spacing w:after="0" w:line="233" w:lineRule="auto"/>
        <w:tabs>
          <w:tab w:leader="none" w:pos="365" w:val="left"/>
        </w:tabs>
        <w:numPr>
          <w:ilvl w:val="0"/>
          <w:numId w:val="22"/>
        </w:numPr>
        <w:rPr>
          <w:rFonts w:ascii="Arial" w:cs="Arial" w:eastAsia="Arial" w:hAnsi="Arial"/>
          <w:sz w:val="20"/>
          <w:szCs w:val="20"/>
          <w:color w:val="auto"/>
        </w:rPr>
      </w:pPr>
      <w:r>
        <w:rPr>
          <w:rFonts w:ascii="Arial" w:cs="Arial" w:eastAsia="Arial" w:hAnsi="Arial"/>
          <w:sz w:val="20"/>
          <w:szCs w:val="20"/>
          <w:color w:val="auto"/>
        </w:rPr>
        <w:t>“National MAs” are issued by the competent authorities of the member states of the EU and only cover their respective territory, and are available for product candidates not falling within the mandatory scope of the centralized procedure. Where a product has already been authorized for marketing in a member state of the EU,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84" w:lineRule="exact"/>
        <w:rPr>
          <w:sz w:val="20"/>
          <w:szCs w:val="20"/>
          <w:color w:val="auto"/>
        </w:rPr>
      </w:pPr>
    </w:p>
    <w:p>
      <w:pPr>
        <w:jc w:val="both"/>
        <w:ind w:left="5"/>
        <w:spacing w:after="0" w:line="239" w:lineRule="auto"/>
        <w:rPr>
          <w:sz w:val="20"/>
          <w:szCs w:val="20"/>
          <w:color w:val="auto"/>
        </w:rPr>
      </w:pPr>
      <w:r>
        <w:rPr>
          <w:rFonts w:ascii="Arial" w:cs="Arial" w:eastAsia="Arial" w:hAnsi="Arial"/>
          <w:sz w:val="20"/>
          <w:szCs w:val="20"/>
          <w:color w:val="auto"/>
        </w:rPr>
        <w:t>Under the above described procedures, in order to grant the MA, the EMA or the competent authorities of the member states of the EU make an assessment of the risk-benefit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spacing w:after="0" w:line="79" w:lineRule="exact"/>
        <w:rPr>
          <w:sz w:val="20"/>
          <w:szCs w:val="20"/>
          <w:color w:val="auto"/>
        </w:rPr>
      </w:pPr>
    </w:p>
    <w:p>
      <w:pPr>
        <w:jc w:val="both"/>
        <w:ind w:left="5"/>
        <w:spacing w:after="0" w:line="258" w:lineRule="auto"/>
        <w:rPr>
          <w:sz w:val="20"/>
          <w:szCs w:val="20"/>
          <w:color w:val="auto"/>
        </w:rPr>
      </w:pPr>
      <w:r>
        <w:rPr>
          <w:rFonts w:ascii="Arial" w:cs="Arial" w:eastAsia="Arial" w:hAnsi="Arial"/>
          <w:sz w:val="18"/>
          <w:szCs w:val="18"/>
          <w:color w:val="auto"/>
        </w:rPr>
        <w:t>Under the centralized procedure the maximum timeframe for the evaluation of a MAA by the EMA is 210 days, excluding clock stops. In exceptional cases, the CHMP might perform an accelerated assessment of a MAA in no more than 150 days (not including clock stops). 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62"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auto"/>
        </w:rPr>
        <w:t>Data and marketing exclusivity</w:t>
      </w:r>
    </w:p>
    <w:p>
      <w:pPr>
        <w:spacing w:after="0" w:line="111" w:lineRule="exact"/>
        <w:rPr>
          <w:sz w:val="20"/>
          <w:szCs w:val="20"/>
          <w:color w:val="auto"/>
        </w:rPr>
      </w:pPr>
    </w:p>
    <w:p>
      <w:pPr>
        <w:jc w:val="both"/>
        <w:ind w:left="5"/>
        <w:spacing w:after="0" w:line="245" w:lineRule="auto"/>
        <w:rPr>
          <w:sz w:val="20"/>
          <w:szCs w:val="20"/>
          <w:color w:val="auto"/>
        </w:rPr>
      </w:pPr>
      <w:r>
        <w:rPr>
          <w:rFonts w:ascii="Arial" w:cs="Arial" w:eastAsia="Arial" w:hAnsi="Arial"/>
          <w:sz w:val="19"/>
          <w:szCs w:val="19"/>
          <w:color w:val="auto"/>
        </w:rPr>
        <w:t>In the EU, new products authorized for marketing, (i.e., reference products), generally receive eight years of data exclusivity and an additional two years of market exclusivity upon MA.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active substance, and products may not qualify for data exclusivity.</w:t>
      </w:r>
    </w:p>
    <w:p>
      <w:pPr>
        <w:spacing w:after="0" w:line="71" w:lineRule="exact"/>
        <w:rPr>
          <w:sz w:val="20"/>
          <w:szCs w:val="20"/>
          <w:color w:val="auto"/>
        </w:rPr>
      </w:pPr>
    </w:p>
    <w:p>
      <w:pPr>
        <w:ind w:left="5"/>
        <w:spacing w:after="0"/>
        <w:rPr>
          <w:sz w:val="20"/>
          <w:szCs w:val="20"/>
          <w:color w:val="auto"/>
        </w:rPr>
      </w:pPr>
      <w:r>
        <w:rPr>
          <w:rFonts w:ascii="Arial" w:cs="Arial" w:eastAsia="Arial" w:hAnsi="Arial"/>
          <w:sz w:val="20"/>
          <w:szCs w:val="20"/>
          <w:b w:val="1"/>
          <w:bCs w:val="1"/>
          <w:i w:val="1"/>
          <w:iCs w:val="1"/>
          <w:color w:val="auto"/>
        </w:rPr>
        <w:t>Pediatric development</w:t>
      </w:r>
    </w:p>
    <w:p>
      <w:pPr>
        <w:spacing w:after="0" w:line="111" w:lineRule="exact"/>
        <w:rPr>
          <w:sz w:val="20"/>
          <w:szCs w:val="20"/>
          <w:color w:val="auto"/>
        </w:rPr>
      </w:pPr>
    </w:p>
    <w:p>
      <w:pPr>
        <w:jc w:val="both"/>
        <w:ind w:left="5"/>
        <w:spacing w:after="0" w:line="315" w:lineRule="auto"/>
        <w:rPr>
          <w:sz w:val="20"/>
          <w:szCs w:val="20"/>
          <w:color w:val="auto"/>
        </w:rPr>
      </w:pPr>
      <w:r>
        <w:rPr>
          <w:rFonts w:ascii="Arial" w:cs="Arial" w:eastAsia="Arial" w:hAnsi="Arial"/>
          <w:sz w:val="18"/>
          <w:szCs w:val="18"/>
          <w:color w:val="auto"/>
        </w:rPr>
        <w:t>In the EEA, MAAs for new medicinal products have to include the results of studies conducted in the pediatric population, in compliance with a pediatric investigation plan (“PIP”), agreed with the EMA’s Pediatric Committee (“PDCO”). The PIP sets</w:t>
      </w:r>
    </w:p>
    <w:p>
      <w:pPr>
        <w:sectPr>
          <w:pgSz w:w="11880" w:h="15480" w:orient="portrait"/>
          <w:cols w:equalWidth="0" w:num="1">
            <w:col w:w="10205"/>
          </w:cols>
          <w:pgMar w:left="835" w:top="122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0205"/>
          </w:cols>
          <w:pgMar w:left="835" w:top="1229" w:right="840" w:bottom="0" w:gutter="0" w:footer="0" w:header="0"/>
          <w:type w:val="continuous"/>
        </w:sectPr>
      </w:pPr>
    </w:p>
    <w:bookmarkStart w:id="35" w:name="page36"/>
    <w:bookmarkEnd w:id="35"/>
    <w:p>
      <w:pPr>
        <w:jc w:val="both"/>
        <w:spacing w:after="0" w:line="234" w:lineRule="auto"/>
        <w:rPr>
          <w:sz w:val="20"/>
          <w:szCs w:val="20"/>
          <w:color w:val="auto"/>
        </w:rPr>
      </w:pPr>
      <w:r>
        <w:rPr>
          <w:rFonts w:ascii="Arial" w:cs="Arial" w:eastAsia="Arial" w:hAnsi="Arial"/>
          <w:sz w:val="20"/>
          <w:szCs w:val="20"/>
          <w:color w:val="auto"/>
        </w:rPr>
        <w:t>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We have received a waiver for pediatric data in COPD.</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Orphan Medicinal Products</w:t>
      </w:r>
    </w:p>
    <w:p>
      <w:pPr>
        <w:spacing w:after="0" w:line="111"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 criteria for designating an “orphan medicinal product” in the EU are similar in principle to those in the United States. A medicinal product may be designated as orphan if its sponsor can establish that: (1) the product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that has been authorized for marketing in the EU, or if such a method exists, the product will be of significant benefit to those affected by the condition.</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Orphan designation must be requested before submitting an MAA. An EU orphan designation entitles a party to incentives such as reduction of fees or fee waivers, protocol assistance, and access to the centralized procedure. Upon grant of a MA, orphan medicinal products are entitled to ten years of market exclusivity for the approved therapeutic indication which means that the EU regulatory authorities cannot accept another MAA, or grant an MA, or accept an application to extend a MA for a similar product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designation does not convey any advantage in, or shorten the duration of, the regulatory review and approval process.</w:t>
      </w:r>
    </w:p>
    <w:p>
      <w:pPr>
        <w:spacing w:after="0" w:line="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orphan exclusivity period may be reduced to six years if, at the end of the fifth year, it is established that the product no longer meets the criteria for orphan designation,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(1) the second applicant can establish that its product, although similar, is safer, more effective or otherwise clinically superior; (2) the applicant consents to a second orphan medicinal product application; or (3) the applicant cannot supply enough orphan medicinal product.</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Post-Approval Requirements</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Similar to the United States, both MA holders and manufacturers of medicinal products are subject to comprehensive regulatory oversight by the EMA, the European Commission and/or the competent regulatory authorities of the EU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w:t>
      </w:r>
    </w:p>
    <w:p>
      <w:pPr>
        <w:spacing w:after="0" w:line="5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All new MAA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7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aforementioned EU rules are generally applicable in the European Economic Area (“EEA”) which consists of the 27 EU member states plus Norway, Liechtenstein and Iceland.</w:t>
      </w:r>
    </w:p>
    <w:p>
      <w:pPr>
        <w:spacing w:after="0" w:line="5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Failure by us or by any of our third-party partners, including suppliers, manufacturers and distributors to comply with EU and EU member state laws that apply to the conduct of clinical trials, manufacturing approval, MA of medicinal products and marketing of such products, both before and after grant of the MA, manufacturing of medicinal products, statutory health insurance, bribery and anti-corruption or with other applicable regulatory requirements may result in administrative, civil or</w:t>
      </w:r>
    </w:p>
    <w:p>
      <w:pPr>
        <w:sectPr>
          <w:pgSz w:w="11880" w:h="15480" w:orient="portrait"/>
          <w:cols w:equalWidth="0" w:num="1">
            <w:col w:w="10200"/>
          </w:cols>
          <w:pgMar w:left="840" w:top="122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200"/>
          </w:cols>
          <w:pgMar w:left="840" w:top="1229" w:right="840" w:bottom="0" w:gutter="0" w:footer="0" w:header="0"/>
          <w:type w:val="continuous"/>
        </w:sectPr>
      </w:pPr>
    </w:p>
    <w:bookmarkStart w:id="36" w:name="page37"/>
    <w:bookmarkEnd w:id="36"/>
    <w:p>
      <w:pPr>
        <w:jc w:val="both"/>
        <w:spacing w:after="0" w:line="239" w:lineRule="auto"/>
        <w:rPr>
          <w:sz w:val="20"/>
          <w:szCs w:val="20"/>
          <w:color w:val="auto"/>
        </w:rPr>
      </w:pPr>
      <w:r>
        <w:rPr>
          <w:rFonts w:ascii="Arial" w:cs="Arial" w:eastAsia="Arial" w:hAnsi="Arial"/>
          <w:sz w:val="20"/>
          <w:szCs w:val="20"/>
          <w:color w:val="auto"/>
        </w:rPr>
        <w:t>criminal penalties. These penalties could include delays or refusal to authorize the conduct of clinical trials or to grant MA,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Brexit and the Regulatory Framework in the United Kingdom</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Since the end of the Brexit transition period on January 1, 2021, Great Britain (England, Scotland and Wales) has not been directly subject to EU laws, however under the terms of the Ireland/Northern Ireland Protocol, EU laws generally apply to Northern Ireland. The EU laws that have been transposed into U.K. law through secondary legislation remain applicable in Great Britain (“GB”), however new legislation such as the EU CTR is not applicable in GB.</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6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Since January 1, 2021, the Medicines and Healthcare products Regulatory Agency (“MHRA”) has been the U.K.’s standalone medicines and medical devices regulator. As a result of the Northern Ireland protocol, different rules will apply in Northern Ireland than in England, Wales, and Scotland, together, GB; broadly, Northern Ireland will continue to follow the EU regulatory regime, but its national competent authority will remain the MHRA.</w:t>
      </w:r>
    </w:p>
    <w:p>
      <w:pPr>
        <w:spacing w:after="0" w:line="7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U.K. regulatory framework in relation to clinical trials is derived from existing EU legislation (as implemented into U.K. law, through secondary legislation). On January 17, 2022, the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legislation. The final legal texts introduced by the U.K. Government will ultimately determine the extent to which the U.K. clinical trials framework aligns with or diverges from the CTR.</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has opted out. In order to use the centralized procedure to obtain a MA that will be valid throughout the EEA, companies must be established in the EEA. Therefore since Brexit, without first establishing an EEA entity, companies established in the U.K. can no longer use the EU centralized procedure and instead an EEA entity must hold any centralized MAs .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A new international recognition framework has been in place from January 1, 2024, whereby the MHRA will have regard to decisions on the approval of MAs made by the EMA and certain other regulators when determining an application for a new GB MA.</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There is no pre-MA orphan designation. Instead, the MHRA will review applications for orphan designation in parallel to the corresponding MA application. The criteria are essentially the same, but have been tailored for the market, i.e., the prevalence of the condition in GB, rather than the EU, must not be more than five in 10,000. Should an orphan designation be granted, the period of market exclusivity will be set from the date of first approval of the product in GB.</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Healthcare Laws</w:t>
      </w:r>
    </w:p>
    <w:p>
      <w:pPr>
        <w:spacing w:after="0" w:line="11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In addition to FDA restrictions on marketing of pharmaceutical and biological products, other U.S. federal and state healthcare regulatory laws restrict business practices in the pharmaceutical industry, which include, but are not limited to, state and federal anti-kickback, false claims and physician payment and drug pricing transparency laws. Similar laws exist in foreign jurisdictions.</w:t>
      </w:r>
    </w:p>
    <w:p>
      <w:pPr>
        <w:spacing w:after="0" w:line="7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w:t>
      </w:r>
    </w:p>
    <w:p>
      <w:pPr>
        <w:sectPr>
          <w:pgSz w:w="11880" w:h="15480" w:orient="portrait"/>
          <w:cols w:equalWidth="0" w:num="1">
            <w:col w:w="10200"/>
          </w:cols>
          <w:pgMar w:left="840" w:top="122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200"/>
          </w:cols>
          <w:pgMar w:left="840" w:top="1229" w:right="840" w:bottom="0" w:gutter="0" w:footer="0" w:header="0"/>
          <w:type w:val="continuous"/>
        </w:sectPr>
      </w:pPr>
    </w:p>
    <w:bookmarkStart w:id="37" w:name="page38"/>
    <w:bookmarkEnd w:id="37"/>
    <w:p>
      <w:pPr>
        <w:jc w:val="both"/>
        <w:spacing w:after="0" w:line="235" w:lineRule="auto"/>
        <w:rPr>
          <w:sz w:val="20"/>
          <w:szCs w:val="20"/>
          <w:color w:val="auto"/>
        </w:rPr>
      </w:pPr>
      <w:r>
        <w:rPr>
          <w:rFonts w:ascii="Arial" w:cs="Arial" w:eastAsia="Arial" w:hAnsi="Arial"/>
          <w:sz w:val="20"/>
          <w:szCs w:val="20"/>
          <w:color w:val="auto"/>
        </w:rPr>
        <w:t>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addition, a person or entity does not need to have actual knowledge of the statute or specific intent to violate it in order to have committed a violation.</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federal false claims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Moreover, a claim including items or services resulting from a violation of the U.S. federal Anti-Kickback Statue constitutes a false or fraudulent claim for the purposes of the federal civil False Claims Act.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73"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there has been a recent trend of increased federal and state regulation of payments made to physicians and certain other healthcare providers. The Physician Payments Sunshine Act imposes, among other things, annual reporting requirements for covered manufacturers for certain payments and "transfers of value" provided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significant civil monetary penalties and additional penalties for "knowing failures." Covered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 or tracking and reporting of gifts, compensation and other remuneration or items of value provided to physicians and other healthcare professionals and entities.</w:t>
      </w:r>
    </w:p>
    <w:p>
      <w:pPr>
        <w:spacing w:after="0" w:line="7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Violations of any such laws or any other governmental regulations that apply may result in significant criminal, civil and administrative penalties, including damages, fines, the possibility of exclusion from federal healthcare programs (including Medicare and Medicaid), disgorgement and corporate integrity agreements, which impose, among other things, rigorous operational and monitoring requirements on companies to resolve allegations of non-compliance with these laws.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fraud and abuse laws. Moreover, analogous state and foreign laws and regulations may be broader in scope than the provisions described above and may apply regardless of payor. These laws and regulations may differ from one another in significant ways, thus further complicating compliance efforts. For instance, in the EU, many EU member states have adopted specific</w:t>
      </w:r>
    </w:p>
    <w:p>
      <w:pPr>
        <w:sectPr>
          <w:pgSz w:w="11880" w:h="15480" w:orient="portrait"/>
          <w:cols w:equalWidth="0" w:num="1">
            <w:col w:w="10200"/>
          </w:cols>
          <w:pgMar w:left="840" w:top="122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200"/>
          </w:cols>
          <w:pgMar w:left="840" w:top="1229" w:right="840" w:bottom="0" w:gutter="0" w:footer="0" w:header="0"/>
          <w:type w:val="continuous"/>
        </w:sectPr>
      </w:pPr>
    </w:p>
    <w:bookmarkStart w:id="38" w:name="page39"/>
    <w:bookmarkEnd w:id="38"/>
    <w:p>
      <w:pPr>
        <w:jc w:val="both"/>
        <w:spacing w:after="0" w:line="260" w:lineRule="auto"/>
        <w:rPr>
          <w:sz w:val="20"/>
          <w:szCs w:val="20"/>
          <w:color w:val="auto"/>
        </w:rPr>
      </w:pPr>
      <w:r>
        <w:rPr>
          <w:rFonts w:ascii="Arial" w:cs="Arial" w:eastAsia="Arial" w:hAnsi="Arial"/>
          <w:sz w:val="18"/>
          <w:szCs w:val="18"/>
          <w:color w:val="auto"/>
        </w:rPr>
        <w:t>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pharmaceutical companies. Certain countries also mandate implementation of commercial compliance programs, or require disclosure of marketing expenditures and pricing information. Violation of any of such laws or any other governmental regulations that apply may result in penalties, including, without limitation, significant administrative, civil and criminal penalties, damages, fines, disgorgement, additional reporting obligations and oversight if a manufacturer becomes subject to a corporate integrity agreement or other agreement to resolve allegations of non-compliance with these laws, the curtailment or restructuring of operations, exclusion from participation in governmental healthcare programs and imprisonment.</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Coverage and Reimbursement</w:t>
      </w:r>
    </w:p>
    <w:p>
      <w:pPr>
        <w:spacing w:after="0" w:line="11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8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the United States, 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In the EU, governments influence the price of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 care costs in general, particularly prescription products, has become very intense. As a result, increasingly high barriers are being erected to the entry of new products. In addition, in some countries, cross border imports from low-priced markets exert a commercial pressure on pricing within a country.</w:t>
      </w:r>
    </w:p>
    <w:p>
      <w:pPr>
        <w:spacing w:after="0" w:line="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ectPr>
          <w:pgSz w:w="11880" w:h="15480" w:orient="portrait"/>
          <w:cols w:equalWidth="0" w:num="1">
            <w:col w:w="10200"/>
          </w:cols>
          <w:pgMar w:left="840" w:top="122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200"/>
          </w:cols>
          <w:pgMar w:left="840" w:top="1229" w:right="840" w:bottom="0" w:gutter="0" w:footer="0" w:header="0"/>
          <w:type w:val="continuous"/>
        </w:sectPr>
      </w:pPr>
    </w:p>
    <w:bookmarkStart w:id="39" w:name="page40"/>
    <w:bookmarkEnd w:id="39"/>
    <w:p>
      <w:pPr>
        <w:spacing w:after="0"/>
        <w:rPr>
          <w:sz w:val="20"/>
          <w:szCs w:val="20"/>
          <w:color w:val="auto"/>
        </w:rPr>
      </w:pPr>
      <w:r>
        <w:rPr>
          <w:rFonts w:ascii="Arial" w:cs="Arial" w:eastAsia="Arial" w:hAnsi="Arial"/>
          <w:sz w:val="20"/>
          <w:szCs w:val="20"/>
          <w:b w:val="1"/>
          <w:bCs w:val="1"/>
          <w:i w:val="1"/>
          <w:iCs w:val="1"/>
          <w:color w:val="auto"/>
        </w:rPr>
        <w:t>Healthcare Reform</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Patient Protection and Affordable Care Act, as amended by the Health Care and Education Reconciliation Act, or collectively,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w:t>
      </w:r>
    </w:p>
    <w:p>
      <w:pPr>
        <w:spacing w:after="0" w:line="6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on August 2, 2011, the Budget Control Act of 2011 created measures for spending reductions was enacted, which, among other things, included aggregate reductions of Medicare payments to providers, which went into effect on April 1, 2013 and, due to subsequent legislative amendments to the statute, will stay in effect through 2032, with the exception of a temporary suspension from May 1, 2020 through March 31, 2022,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In addition, in March 2021, the American Rescue Plan Act of 2021 was signed into law, which eliminated the statutory Medicaid drug rebate cap, beginning January 1, 2024. The rebate was previously capped at 100% of a drug’s average manufacturer price.</w:t>
      </w:r>
    </w:p>
    <w:p>
      <w:pPr>
        <w:spacing w:after="0" w:line="64"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More recently, there has been heightened governmental scrutiny recently over the manner in which manufacturers set prices for their marketed products, which have resulted in several recent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products. 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cannot yet be fully determined, it is likely to be significant.</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expect that additional state, federal and foreign healthcare reform measures will be adopted in the future, any of which could limit the amounts that federal and state governments will pay for healthcare products and services, which could result in reduced demand for our products, once approved, or additional price increases. In particular, we anticipate that Medicare Part B will play an important role in the reimbursement of ensifentrine. Changes in how products are reimbursed through Medicare Part B may affect the overall coverage for ensifentrine, if approved. Any reduction in reimbursement from Medicare or other government-funded programs may result in a similar reduction in payments from private payors.</w:t>
      </w:r>
    </w:p>
    <w:p>
      <w:pPr>
        <w:spacing w:after="0" w:line="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Similar political, economic and regulatory developments are occurring in the EU and may affect the ability of pharmaceutical companies to profitably commercialize their products.</w:t>
      </w:r>
    </w:p>
    <w:p>
      <w:pPr>
        <w:spacing w:after="0" w:line="59"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December 13, 2021, Regulation No 2021/2282 on Health Technology Assessment (“HTA”), amending Directive 2011/24/ 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w:t>
      </w:r>
    </w:p>
    <w:p>
      <w:pPr>
        <w:sectPr>
          <w:pgSz w:w="11880" w:h="15480" w:orient="portrait"/>
          <w:cols w:equalWidth="0" w:num="1">
            <w:col w:w="10200"/>
          </w:cols>
          <w:pgMar w:left="840" w:top="122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10200"/>
          </w:cols>
          <w:pgMar w:left="840" w:top="1226" w:right="840" w:bottom="0" w:gutter="0" w:footer="0" w:header="0"/>
          <w:type w:val="continuous"/>
        </w:sectPr>
      </w:pPr>
    </w:p>
    <w:bookmarkStart w:id="40" w:name="page41"/>
    <w:bookmarkEnd w:id="40"/>
    <w:p>
      <w:pPr>
        <w:jc w:val="both"/>
        <w:spacing w:after="0" w:line="260" w:lineRule="auto"/>
        <w:rPr>
          <w:sz w:val="20"/>
          <w:szCs w:val="20"/>
          <w:color w:val="auto"/>
        </w:rPr>
      </w:pPr>
      <w:r>
        <w:rPr>
          <w:rFonts w:ascii="Arial" w:cs="Arial" w:eastAsia="Arial" w:hAnsi="Arial"/>
          <w:sz w:val="20"/>
          <w:szCs w:val="20"/>
          <w:color w:val="auto"/>
        </w:rPr>
        <w:t>cooperation in other areas. Individual EU member states will continue to be responsible for assessing non-clinical (e.g., economic, social, ethical) aspects of health technology, and making decisions on pricing and reimbursement.</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Data Privacy and Security Laws</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Additional regulation</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certain other countries that impose similar obligations.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 Foreign Corrupt Practices Act</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U.S. Foreign Corrupt Practices Act ("FCPA"), prohibits U.S. corporations and individuals from engaging in certain activities to obtain or retain business abroad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The scope of the FCPA includes interactions with certain healthcare professionals in many countries. Equivalent laws have been adopted in other foreign countries that impose similar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As of December 31, 2023, we had 79 full-time employees. None of our employees is party to a collective bargaining agreement or represented by a trade union or labor union. We consider our relationship with our employees to be good.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were incorporated in February 2005 as Isis Resources plc under the laws of England and Wales. In September 2006, we acquired Rhinopharma Limited, a private company incorporated in Canada, and changed our name to Verona Pharma plc. Our principal office is located at 3 More London Riverside, London, SE1 2RE, United Kingdom.</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make available our public filings, including annual reports on Form 10-K, quarterly reports on Form 10-Q, current reports on Form 8-K, and any amendments to those reports, with the SEC free of charge through our website at www.veronapharma.com in the “Investors” section as soon as reasonably practicable after we electronically file such material with, or furnish such material to, the SEC. The information contained in, or accessible through, our website does not constitute a part of this Annual Report. The SEC also maintains a website at www.sec.gov that contains reports, proxy statements and other information regarding issuers that file electronically with the SEC, including Verona Pharma plc.</w:t>
      </w:r>
    </w:p>
    <w:p>
      <w:pPr>
        <w:sectPr>
          <w:pgSz w:w="11880" w:h="15480" w:orient="portrait"/>
          <w:cols w:equalWidth="0" w:num="1">
            <w:col w:w="10200"/>
          </w:cols>
          <w:pgMar w:left="840" w:top="122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200"/>
          </w:cols>
          <w:pgMar w:left="840" w:top="1229" w:right="840" w:bottom="0"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Item 1A. Risk Factors</w:t>
      </w:r>
    </w:p>
    <w:p>
      <w:pPr>
        <w:spacing w:after="0" w:line="23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Investing in our ADSs involves a high degree of risk. You should carefully consider the risks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could adversely affect our business, financial condition, results of operations and growth prospects. In such an event, the market price of our ADSs could decline, and you may lose all or part of your investment.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and Industry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have a limited operating history and have never generated any product revenue.</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a clinical-stage biopharmaceutical company with a limited operating history, and have incurred significant operating losses since our inception. We had net losses of $54.4 million and $68.7 million for the years ended December 31, 2023 and 2022, respectively. As of December 31, 2023, we had an accumulated deficit of $388.4 million. Our losses have resulted principally from expenses incurred in research and development of ensifentrine, our only product candidate, and from general and administrative costs that we have incurred while building our business infrastructure. We may continue to incur significant operating losses for the foreseeable future as we expand our research and development efforts, advance our clinical development of ensifentrine in other formulations or for other indications, and seek to obtain regulatory approval for and commercialize ensifentrine in various formulations or for various indications. We anticipate that our expenses will increase substantially as we:</w:t>
      </w:r>
    </w:p>
    <w:p>
      <w:pPr>
        <w:spacing w:after="0" w:line="64" w:lineRule="exact"/>
        <w:rPr>
          <w:sz w:val="20"/>
          <w:szCs w:val="20"/>
          <w:color w:val="auto"/>
        </w:rPr>
      </w:pPr>
    </w:p>
    <w:p>
      <w:pPr>
        <w:ind w:left="360" w:hanging="357"/>
        <w:spacing w:after="0" w:line="260" w:lineRule="auto"/>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initiate and conduct clinical trials of ensifentrine for the treatment of non-cystic fibrosis bronchiectasis (“NCFBE”), cystic fibrosis (“CF”), asthma or other indications;</w:t>
      </w:r>
    </w:p>
    <w:p>
      <w:pPr>
        <w:spacing w:after="0" w:line="58" w:lineRule="exact"/>
        <w:rPr>
          <w:rFonts w:ascii="Arial" w:cs="Arial" w:eastAsia="Arial" w:hAnsi="Arial"/>
          <w:sz w:val="20"/>
          <w:szCs w:val="20"/>
          <w:color w:val="auto"/>
        </w:rPr>
      </w:pPr>
    </w:p>
    <w:p>
      <w:pPr>
        <w:jc w:val="both"/>
        <w:ind w:left="360" w:hanging="357"/>
        <w:spacing w:after="0" w:line="315"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initiate and conduct other future clinical trials of ensifentrine in other formulations, including in combination with other active ingredients including fixed-dose combinations, for the treatment of COPD or other indications;</w:t>
      </w:r>
    </w:p>
    <w:p>
      <w:pPr>
        <w:spacing w:after="0" w:line="13" w:lineRule="exact"/>
        <w:rPr>
          <w:rFonts w:ascii="Arial" w:cs="Arial" w:eastAsia="Arial" w:hAnsi="Arial"/>
          <w:sz w:val="18"/>
          <w:szCs w:val="18"/>
          <w:color w:val="auto"/>
        </w:rPr>
      </w:pPr>
    </w:p>
    <w:p>
      <w:pPr>
        <w:ind w:left="360" w:hanging="357"/>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initiate and conduct clinical pharmacology studies with any formulation;</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seek to discover and develop or in-license additional respiratory product candidates;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conduct pre-clinical studies to support ensifentrine and potentially other future product candidates;</w:t>
      </w:r>
    </w:p>
    <w:p>
      <w:pPr>
        <w:spacing w:after="0" w:line="10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develop the manufacturing processes and produce clinical and commercial supplies of the ensifentrine active pharmaceutical ingredient and formulated drug products derived from it;</w:t>
      </w:r>
    </w:p>
    <w:p>
      <w:pPr>
        <w:spacing w:after="0" w:line="58" w:lineRule="exact"/>
        <w:rPr>
          <w:rFonts w:ascii="Arial" w:cs="Arial" w:eastAsia="Arial" w:hAnsi="Arial"/>
          <w:sz w:val="20"/>
          <w:szCs w:val="20"/>
          <w:color w:val="auto"/>
        </w:rPr>
      </w:pPr>
    </w:p>
    <w:p>
      <w:pPr>
        <w:ind w:left="360" w:hanging="357"/>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seek regulatory approvals of ensifentrine;</w:t>
      </w:r>
    </w:p>
    <w:p>
      <w:pPr>
        <w:spacing w:after="0" w:line="10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grow commercial infrastructure to support the potential commercialization of ensifentrine, including sales, marketing, operations, reimbursement and distribution infrastructure and scale-up manufacturing capabilities to commercialize ensifentrine, if approved;</w:t>
      </w:r>
    </w:p>
    <w:p>
      <w:pPr>
        <w:spacing w:after="0" w:line="74" w:lineRule="exact"/>
        <w:rPr>
          <w:rFonts w:ascii="Arial" w:cs="Arial" w:eastAsia="Arial" w:hAnsi="Arial"/>
          <w:sz w:val="20"/>
          <w:szCs w:val="20"/>
          <w:color w:val="auto"/>
        </w:rPr>
      </w:pPr>
    </w:p>
    <w:p>
      <w:pPr>
        <w:ind w:left="360" w:hanging="357"/>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maintain, expand and protect our intellectual property portfolio;</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secure, maintain or obtain freedom to operate for our in-licensed technologies and products;</w:t>
      </w:r>
    </w:p>
    <w:p>
      <w:pPr>
        <w:spacing w:after="0" w:line="108" w:lineRule="exact"/>
        <w:rPr>
          <w:rFonts w:ascii="Arial" w:cs="Arial" w:eastAsia="Arial" w:hAnsi="Arial"/>
          <w:sz w:val="20"/>
          <w:szCs w:val="20"/>
          <w:color w:val="auto"/>
        </w:rPr>
      </w:pPr>
    </w:p>
    <w:p>
      <w:pPr>
        <w:ind w:left="360" w:hanging="357"/>
        <w:spacing w:after="0" w:line="286" w:lineRule="auto"/>
        <w:tabs>
          <w:tab w:leader="none" w:pos="3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add clinical, scientific, operational, financial and management information systems and personnel, including personnel to support our product development and potential future commercialization efforts; and</w:t>
      </w:r>
    </w:p>
    <w:p>
      <w:pPr>
        <w:spacing w:after="0" w:line="36" w:lineRule="exact"/>
        <w:rPr>
          <w:rFonts w:ascii="Arial" w:cs="Arial" w:eastAsia="Arial" w:hAnsi="Arial"/>
          <w:sz w:val="19"/>
          <w:szCs w:val="19"/>
          <w:color w:val="auto"/>
        </w:rPr>
      </w:pPr>
    </w:p>
    <w:p>
      <w:pPr>
        <w:ind w:left="360" w:hanging="357"/>
        <w:spacing w:after="0"/>
        <w:tabs>
          <w:tab w:leader="none" w:pos="3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expand our operations in the United States, the United Kingdom (“UK”) and possibly elsewhere.</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expenses may also increase substantially if we experience any delays or encounter any issues with any of the above, including, but not limited to, failed pre-clinical studies or clinical trials, complex results, safety issues or regulatory challenges.</w:t>
      </w:r>
    </w:p>
    <w:p>
      <w:pPr>
        <w:spacing w:after="0" w:line="7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have devoted substantially all of our financial resources and efforts to the research and development, pre-clinical studies and clinical trials, and commercialization of nebulized ensifentrine for the maintenance treatment of COPD in the US. We are continuing development of ensifentrine in other formulations and for other indications, and for commercialization in other territories.</w:t>
      </w:r>
    </w:p>
    <w:p>
      <w:pPr>
        <w:spacing w:after="0" w:line="7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clinical trials of ensifentrine in other formulations and other indications, discovering and developing additional product candidates, obtaining regulatory approval for ensifentrine and any future product candidates that</w:t>
      </w:r>
    </w:p>
    <w:p>
      <w:pPr>
        <w:sectPr>
          <w:pgSz w:w="11880" w:h="15480" w:orient="portrait"/>
          <w:cols w:equalWidth="0" w:num="1">
            <w:col w:w="9320"/>
          </w:cols>
          <w:pgMar w:left="1280" w:top="1222"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9320"/>
          </w:cols>
          <w:pgMar w:left="1280" w:top="1222" w:right="1280" w:bottom="0" w:gutter="0" w:footer="0" w:header="0"/>
          <w:type w:val="continuous"/>
        </w:sectPr>
      </w:pPr>
    </w:p>
    <w:bookmarkStart w:id="42" w:name="page43"/>
    <w:bookmarkEnd w:id="42"/>
    <w:p>
      <w:pPr>
        <w:jc w:val="both"/>
        <w:spacing w:after="0" w:line="239" w:lineRule="auto"/>
        <w:rPr>
          <w:sz w:val="20"/>
          <w:szCs w:val="20"/>
          <w:color w:val="auto"/>
        </w:rPr>
      </w:pPr>
      <w:r>
        <w:rPr>
          <w:rFonts w:ascii="Arial" w:cs="Arial" w:eastAsia="Arial" w:hAnsi="Arial"/>
          <w:sz w:val="20"/>
          <w:szCs w:val="20"/>
          <w:color w:val="auto"/>
        </w:rPr>
        <w:t>successfully complete clinical trials, establishing manufacturing, commercial and marketing capabilities and ultimately distributing and selling any products for which we may obtain regulatory approval. We are only in the preliminary stages of some of these activities. We may never succeed in these activities and, even if we do, we may never generate revenue that is significant enough to achieve profitability.</w:t>
      </w:r>
    </w:p>
    <w:p>
      <w:pPr>
        <w:spacing w:after="0" w:line="79"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European Medicines Agency (“EMA”), or other regulatory authorities to perform studies in addition to those we currently anticipate, or if there are any delays in completing our clinical trials or the development of ensifentrine or any other product candidates, our expenses could increase and revenue could be further delayed.</w:t>
      </w:r>
    </w:p>
    <w:p>
      <w:pPr>
        <w:spacing w:after="0" w:line="8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Even if we do generate product royalties or product sales, we may never achieve or sustain profitability on a quarterly or annual basis. Our failure to sustain profitability would depress the market price of our ADSs and could impair our ability to raise capital, expand our business, diversify our product offerings or continue our operations. A decline in the market price of our ADSs also could cause our ADS holders to lose all or a part of their investment.</w:t>
      </w:r>
    </w:p>
    <w:p>
      <w:pPr>
        <w:spacing w:after="0" w:line="4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i w:val="1"/>
          <w:iCs w:val="1"/>
          <w:color w:val="auto"/>
        </w:rPr>
        <w:t>We will need additional funding to complete development and commercialization of any future product candidates, or development and commercialization of other formulations or target indications of ensifentrine, if approved. If we are unable to raise capital when needed, or if a failure of any financial institution where we maintain our cash and cash equivalents prevents or delays us from accessing uninsured funds, we could be forced to delay, reduce or eliminate our product development programs or commercialization efforts.</w:t>
      </w:r>
    </w:p>
    <w:p>
      <w:pPr>
        <w:spacing w:after="0" w:line="41"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We expect our expenses to increase in connection with our ongoing and planned activities, particularly as we conduct clinical trials and prepare for commercialization of ensifentrine, and develop and prepare for the commercialization of ensifentrine in other formulations or for other indications. In addition, if we obtain regulatory approval for ensifentrine or any other product candidates, we expect to incur significant commercialization expenses related to activities including product positioning studies, product manufacturing, medical affairs, marketing, sales and distribution. Furthermore, we expect to incur ongoing costs associated with operating as a public company in the United States and maintaining a listing on the Nasdaq Global Market, or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we obtain regulatory approval for ensifentrine for the treatment of COPD in the US, we estimate that our existing cash resources and additional funding expected to become available under the 2023 Term Loan will enable us to fund planned operating expenses and capital expenditure requirements through at least the end of 2026 including the commercial launch of ensifentrine. Future advances under the 2023 Term Loan are contingent upon achievement of certain regulatory and commercial milestones and other specified conditions.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 We maintain the majority of our cash and cash equivalents in accounts with major U.S. and multi-national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Our future capital requirements will depend on many factors, including:</w:t>
      </w:r>
    </w:p>
    <w:p>
      <w:pPr>
        <w:spacing w:after="0" w:line="108" w:lineRule="exact"/>
        <w:rPr>
          <w:sz w:val="20"/>
          <w:szCs w:val="20"/>
          <w:color w:val="auto"/>
        </w:rPr>
      </w:pPr>
    </w:p>
    <w:p>
      <w:pPr>
        <w:ind w:left="360" w:hanging="357"/>
        <w:spacing w:after="0" w:line="286" w:lineRule="auto"/>
        <w:tabs>
          <w:tab w:leader="none" w:pos="3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costs, timing and outcome of the regulatory submission and review of ensifentrine, including any post-marketing studies that could be required by regulatory authorities, if regulatory approval is received;</w:t>
      </w:r>
    </w:p>
    <w:p>
      <w:pPr>
        <w:spacing w:after="0" w:line="36" w:lineRule="exact"/>
        <w:rPr>
          <w:rFonts w:ascii="Arial" w:cs="Arial" w:eastAsia="Arial" w:hAnsi="Arial"/>
          <w:sz w:val="19"/>
          <w:szCs w:val="19"/>
          <w:color w:val="auto"/>
        </w:rPr>
      </w:pPr>
    </w:p>
    <w:p>
      <w:pPr>
        <w:ind w:left="360" w:hanging="357"/>
        <w:spacing w:after="0" w:line="260" w:lineRule="auto"/>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cost, progress and results of any other studies required to support the commercial positioning of ensifentrine for the treatment of COPD, if regulatory approval is received;</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cost, progress and results of any clinical trials for the treatment of NCFBE, CF, asthma or other indications, or for other formulations of ensifentrine including fixed-dose combination products;</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cost of manufacturing clinical and, if approved, commercial supplies of the ensifentrine active ingredient and derived formulated drug products;</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9320"/>
          </w:cols>
          <w:pgMar w:left="1280" w:top="1229" w:right="1280" w:bottom="0" w:gutter="0" w:footer="0" w:header="0"/>
          <w:type w:val="continuous"/>
        </w:sectPr>
      </w:pPr>
    </w:p>
    <w:bookmarkStart w:id="43" w:name="page44"/>
    <w:bookmarkEnd w:id="43"/>
    <w:p>
      <w:pPr>
        <w:jc w:val="both"/>
        <w:ind w:left="360" w:hanging="357"/>
        <w:spacing w:after="0" w:line="239" w:lineRule="auto"/>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scope, progress, results and costs of pre-clinical development, laboratory testing and clinical trials for ensifentrine in other indications and of the development of DPI and pMDI formulations of ensifentrine, or fixed-dose combination formulations of ensifentrine for the maintenance treatment of COPD and potentially NCFBE, CF, asthma and other respiratory diseases;</w:t>
      </w:r>
    </w:p>
    <w:p>
      <w:pPr>
        <w:spacing w:after="0" w:line="7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costs, timing and outcome of potential future commercialization activities, including manufacturing, marketing, sales and distribution, for ensifentrine;</w:t>
      </w:r>
    </w:p>
    <w:p>
      <w:pPr>
        <w:spacing w:after="0" w:line="5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74" w:lineRule="exact"/>
        <w:rPr>
          <w:rFonts w:ascii="Arial" w:cs="Arial" w:eastAsia="Arial" w:hAnsi="Arial"/>
          <w:sz w:val="20"/>
          <w:szCs w:val="20"/>
          <w:color w:val="auto"/>
        </w:rPr>
      </w:pPr>
    </w:p>
    <w:p>
      <w:pPr>
        <w:ind w:left="360" w:hanging="357"/>
        <w:spacing w:after="0"/>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timing and amount of revenue, if any, received from commercial sales of ensifentrine;</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sales price and availability of adequate third-party coverage and reimbursement for ensifentrine;</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effect of competing technological and market developments; and</w:t>
      </w:r>
    </w:p>
    <w:p>
      <w:pPr>
        <w:spacing w:after="0" w:line="10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extent to which we acquire or invest in businesses, products and technologies, including entering into licensing or collaboration arrangements for ensifentrine, although we currently have no commitments or agreements to complete any such transactions.</w:t>
      </w:r>
    </w:p>
    <w:p>
      <w:pPr>
        <w:spacing w:after="0" w:line="7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Any additional fundraising efforts may divert our management from their day-to-day activities, which may adversely affect our ability to develop and commercialize ensifentrine.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If we are unable to obtain funding on a timely basis, we may be required to significantly curtail, delay or discontinue our research and development programs relating to ensifentrine or any commercialization efforts, be unable to expand our operations, or be unable to otherwise capitalize on our business opportunities, as desired, which could harm our business and potentially cause us to discontinue operations.</w:t>
      </w:r>
    </w:p>
    <w:p>
      <w:pPr>
        <w:spacing w:after="0" w:line="58"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i w:val="1"/>
          <w:iCs w:val="1"/>
          <w:color w:val="auto"/>
        </w:rPr>
        <w:t>We depend solely on the success of ensifentrine, our only product candidate under development. We cannot give any assurance that ensifentrine will receive regulatory approval for any indication, which is necessary before it can be commercialized. If we, and any collaborators with whom we have entered or may enter into agreements for the development and commercialization of ensifentrine, are unable to commercialize ensifentrine, or experience significant delays in doing so, our ability to generate revenue and our financial condition will be adversely affected.</w:t>
      </w:r>
    </w:p>
    <w:p>
      <w:pPr>
        <w:spacing w:after="0" w:line="8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We do not currently generate any revenues from sales of any products, and we may never be able to develop or commercialize a marketable product. We have invested substantially all of our efforts and financial resources in the development of ensifentrine, and we do not have any other product candidate currently under development. Our ability to generate royalty and product revenues, will depend heavily on the successful commercialization of ensifentrine, if approved, which may never occur. Ensifentrine will require regulatory approval, procurement of manufacturing supply, commercialization, substantial additional investment and significant marketing efforts before we generate any revenues from product sales. We are not permitted to market or promote ensifentrine or any product candidates in the United States, Europe or other countries before we receive regulatory approval from the FDA, the European Commission or comparable foreign regulatory authorities, and we may never receive such regulatory approval for ensifentrine or any future product candidate. In August 2023, the FDA accepted for review our NDA seeking approval of ensifentrine for the maintenance treatment of COPD and assigned a Prescription Drug User Fee Act (“PDUFA”) target action date of June 26, 2024, but we cannot guarantee that it will be approved, or that it will be approved with the labeling claims necessary or desirable for the successful commercialization of ensifentrine. In addition, we have not submitted a marketing authorization application (“MAA”) to the EMA or comparable applications to other regulatory authorities. The success of ensifentrine will depend on many factors, including the following:</w:t>
      </w:r>
    </w:p>
    <w:p>
      <w:pPr>
        <w:spacing w:after="0" w:line="82" w:lineRule="exact"/>
        <w:rPr>
          <w:sz w:val="20"/>
          <w:szCs w:val="20"/>
          <w:color w:val="auto"/>
        </w:rPr>
      </w:pPr>
    </w:p>
    <w:p>
      <w:pPr>
        <w:ind w:left="360" w:hanging="357"/>
        <w:spacing w:after="0" w:line="260" w:lineRule="auto"/>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we may not be able to demonstrate that ensifentrine is safe and effective as a treatment for our targeted indications to the satisfaction of the applicable regulatory authorities;</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applicable regulatory authorities may require additional pre-clinical or clinical trials, which would increase our costs and prolong our development;</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9320"/>
          </w:cols>
          <w:pgMar w:left="1280" w:top="1229" w:right="1280" w:bottom="0" w:gutter="0" w:footer="0" w:header="0"/>
          <w:type w:val="continuous"/>
        </w:sectPr>
      </w:pPr>
    </w:p>
    <w:bookmarkStart w:id="44" w:name="page45"/>
    <w:bookmarkEnd w:id="44"/>
    <w:p>
      <w:pPr>
        <w:ind w:left="360" w:hanging="357"/>
        <w:spacing w:after="0" w:line="260"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results of clinical trials of ensifentrine may not meet the level of statistical or clinical significance required by the applicable regulatory authorities for marketing approval;</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applicable regulatory authorities may disagree with the number, design, size, conduct or implementation of our clinical trials;</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contract research organizations (“CROs”) that we retain to conduct clinical trials may take actions outside of our control that materially adversely impact our clinical trials;</w:t>
      </w:r>
    </w:p>
    <w:p>
      <w:pPr>
        <w:spacing w:after="0" w:line="5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applicable regulatory authorities may not find the data from pre-clinical studies and clinical trials sufficient to demonstrate that the clinical and other benefits of ensifentrine outweigh its safety risks or may disagree with our interpretation of data;</w:t>
      </w:r>
    </w:p>
    <w:p>
      <w:pPr>
        <w:spacing w:after="0" w:line="74" w:lineRule="exact"/>
        <w:rPr>
          <w:rFonts w:ascii="Arial" w:cs="Arial" w:eastAsia="Arial" w:hAnsi="Arial"/>
          <w:sz w:val="20"/>
          <w:szCs w:val="20"/>
          <w:color w:val="auto"/>
        </w:rPr>
      </w:pPr>
    </w:p>
    <w:p>
      <w:pPr>
        <w:ind w:left="360" w:hanging="357"/>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demonstrate a non-clinical safety profile that is acceptable to the applicable regulatory authorities;</w:t>
      </w:r>
    </w:p>
    <w:p>
      <w:pPr>
        <w:spacing w:after="0" w:line="131" w:lineRule="exact"/>
        <w:rPr>
          <w:rFonts w:ascii="Arial" w:cs="Arial" w:eastAsia="Arial" w:hAnsi="Arial"/>
          <w:sz w:val="18"/>
          <w:szCs w:val="18"/>
          <w:color w:val="auto"/>
        </w:rPr>
      </w:pPr>
    </w:p>
    <w:p>
      <w:pPr>
        <w:ind w:left="360" w:hanging="357"/>
        <w:spacing w:after="0"/>
        <w:tabs>
          <w:tab w:leader="none" w:pos="3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unexpected operational or clinical issues may prevent completion or interpretation of clinical study results;</w:t>
      </w:r>
    </w:p>
    <w:p>
      <w:pPr>
        <w:spacing w:after="0" w:line="119" w:lineRule="exact"/>
        <w:rPr>
          <w:rFonts w:ascii="Arial" w:cs="Arial" w:eastAsia="Arial" w:hAnsi="Arial"/>
          <w:sz w:val="19"/>
          <w:szCs w:val="19"/>
          <w:color w:val="auto"/>
        </w:rPr>
      </w:pPr>
    </w:p>
    <w:p>
      <w:pPr>
        <w:ind w:left="360" w:hanging="357"/>
        <w:spacing w:after="0" w:line="260"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unexpected manufacturing issues, product performance issues or stability issues may delay or otherwise adversely affect the progress of our clinical development program;</w:t>
      </w:r>
    </w:p>
    <w:p>
      <w:pPr>
        <w:spacing w:after="0" w:line="58" w:lineRule="exact"/>
        <w:rPr>
          <w:rFonts w:ascii="Arial" w:cs="Arial" w:eastAsia="Arial" w:hAnsi="Arial"/>
          <w:sz w:val="20"/>
          <w:szCs w:val="20"/>
          <w:color w:val="auto"/>
        </w:rPr>
      </w:pPr>
    </w:p>
    <w:p>
      <w:pPr>
        <w:jc w:val="both"/>
        <w:ind w:left="360" w:hanging="357"/>
        <w:spacing w:after="0" w:line="237"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if FDA or other regulatory authorities determine that inspections of the manufacturing facilities or clinical sites for our product candidates are required in connection with a marketing application, and such regulatory authorities are unable to conduct such inspections, whether due to geopolitical conflict, including war and terrorism, such as the ongoing conflicts in Europe and the Middle East, or travel restrictions, such as those imposed during the COVID-19 pandemic;</w:t>
      </w:r>
    </w:p>
    <w:p>
      <w:pPr>
        <w:spacing w:after="0" w:line="7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applicable regulatory authorities may not accept data generated at our clinical trial sites due to Good Clinical Practice (“GCP”) compliance issues, misconduct, or other reasons;</w:t>
      </w:r>
    </w:p>
    <w:p>
      <w:pPr>
        <w:spacing w:after="0" w:line="58" w:lineRule="exact"/>
        <w:rPr>
          <w:rFonts w:ascii="Arial" w:cs="Arial" w:eastAsia="Arial" w:hAnsi="Arial"/>
          <w:sz w:val="20"/>
          <w:szCs w:val="20"/>
          <w:color w:val="auto"/>
        </w:rPr>
      </w:pPr>
    </w:p>
    <w:p>
      <w:pPr>
        <w:jc w:val="both"/>
        <w:ind w:left="360" w:hanging="357"/>
        <w:spacing w:after="0" w:line="255" w:lineRule="auto"/>
        <w:tabs>
          <w:tab w:leader="none" w:pos="3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if our NDA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66" w:lineRule="exact"/>
        <w:rPr>
          <w:rFonts w:ascii="Arial" w:cs="Arial" w:eastAsia="Arial" w:hAnsi="Arial"/>
          <w:sz w:val="19"/>
          <w:szCs w:val="19"/>
          <w:color w:val="auto"/>
        </w:rPr>
      </w:pPr>
    </w:p>
    <w:p>
      <w:pPr>
        <w:ind w:left="360" w:hanging="357"/>
        <w:spacing w:after="0" w:line="260"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applicable regulatory authorities may require development of a risk evaluation and mitigation strategy (“REMS”) or similar risk management measures as a condition of approval;</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applicable regulatory authorities may identify deficiencies in the manufacturing processes or facilities of our third-party manufacturers;</w:t>
      </w:r>
    </w:p>
    <w:p>
      <w:pPr>
        <w:spacing w:after="0" w:line="58" w:lineRule="exact"/>
        <w:rPr>
          <w:rFonts w:ascii="Arial" w:cs="Arial" w:eastAsia="Arial" w:hAnsi="Arial"/>
          <w:sz w:val="20"/>
          <w:szCs w:val="20"/>
          <w:color w:val="auto"/>
        </w:rPr>
      </w:pPr>
    </w:p>
    <w:p>
      <w:pPr>
        <w:ind w:left="360" w:hanging="357"/>
        <w:spacing w:after="0"/>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applicable regulatory authorities may change their approval policies or adopt new regulations;</w:t>
      </w:r>
    </w:p>
    <w:p>
      <w:pPr>
        <w:spacing w:after="0" w:line="10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if we license ensifentrine to others, the efforts of those parties in completing clinical trials of, receiving regulatory approval for, and commercializing ensifentrine;</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through our clinical trials, we may discover factors that limit the commercial viability of ensifentrine or make the commercialization of ensifentrine unfeasible;</w:t>
      </w:r>
    </w:p>
    <w:p>
      <w:pPr>
        <w:spacing w:after="0" w:line="5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if we retain rights under a collaboration agreement for ensifentrine, our efforts in completing pre-clinical studies and clinical trials of, receiving marketing approvals for, establishing commercial manufacturing capabilities for, and commercializing ensifentrine; and</w:t>
      </w:r>
    </w:p>
    <w:p>
      <w:pPr>
        <w:spacing w:after="0" w:line="74"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if approved, acceptance of ensifentrine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 unfavorable outcome in any of these factors could result in our experiencing significant delays or an inability to successfully commercialize ensifentrine.</w:t>
      </w:r>
    </w:p>
    <w:p>
      <w:pPr>
        <w:spacing w:after="0" w:line="5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We cannot be certain that ensifentrine or any future product candidates will be successful in clinical trials or receive regulatory approval. Further, ensifentrine or any future product candidates may not receive regulatory approval even if they are successful in clinical trials. If we do not receive regulatory approvals for ensifentrine or any future product candidates, we may not be able to continue our operations. Even if we successfully obtain regulatory approvals to manufacture and market ensifentrine or any future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9320"/>
          </w:cols>
          <w:pgMar w:left="1280" w:top="1229" w:right="1280" w:bottom="0" w:gutter="0" w:footer="0" w:header="0"/>
          <w:type w:val="continuous"/>
        </w:sectPr>
      </w:pPr>
    </w:p>
    <w:bookmarkStart w:id="45" w:name="page46"/>
    <w:bookmarkEnd w:id="45"/>
    <w:p>
      <w:pPr>
        <w:jc w:val="both"/>
        <w:spacing w:after="0" w:line="266" w:lineRule="auto"/>
        <w:rPr>
          <w:sz w:val="20"/>
          <w:szCs w:val="20"/>
          <w:color w:val="auto"/>
        </w:rPr>
      </w:pPr>
      <w:r>
        <w:rPr>
          <w:rFonts w:ascii="Arial" w:cs="Arial" w:eastAsia="Arial" w:hAnsi="Arial"/>
          <w:sz w:val="18"/>
          <w:szCs w:val="18"/>
          <w:color w:val="auto"/>
        </w:rPr>
        <w:t>We have submitted an NDA for regulatory approval to commercialize ensifentrine in the United States. We may in the future seek regulatory approval to commercialize ensifentrine in the European Union (“EU”) and additional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of ensifentrine, and we cannot predict success in these jurisdictions.</w:t>
      </w:r>
    </w:p>
    <w:p>
      <w:pPr>
        <w:spacing w:after="0" w:line="4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Our limited operating history may make it difficult for investors to evaluate the success of our business to date and to assess our future viability.</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Since our inception in 2005, we have devoted substantially all of our resources to developing ensifentrine, building our intellectual property portfolio, developing our supply chain, planning our business, raising capital and providing general and administrative support for these operations. We have completed multiple Phase 1 and 2 clinical trials in different formulations of ensifentrine and for different indications, and two registrational Phase 3 clinical trials for nebulized ensifentrine for the maintenance treatment of COPD. We have not yet successfully obtained regulatory approvals, manufactured a commercial-scale product or arranged for a third party to do so on our behalf or conducted sales and marketing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investors make about our future success or viability may not be as accurate as they could be if we had a longer operating history.</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The terms of our credit facility place restrictions on our operating and financial flexibility, and our existing and any future indebtedness could adversely affect our ability to operate our business.</w:t>
      </w:r>
    </w:p>
    <w:p>
      <w:pPr>
        <w:spacing w:after="0" w:line="5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In December 2023, Verona Pharma, Inc. entered into a term loan facility (the “Loan Agreement”), with Oxford Finance LLC (“Oxford”), as collateral agent and certain funds managed by Oxford and Hercules Capital, Inc. (together the “Lenders”), pursuant to which a term loan facility in an aggregate amount of up to $400.0 million, which we refer to as the 2023 Term Loan, is available to us in five tranches. We received the first tranche of $50.0 million (the “Term A Loan”) at closing of the Loan Agreement. Each advance under the 2023 Term Loan accrues interest at a floating per annum rate (the “Basic Rate”) equal to (a) the greater of (i) the 1-Month CME Term SOFR (as defined in the Loan Agreement) reference rate on the last business day of the month that immediately precedes the month in which the interest will accrue and (ii) 5.34%, plus (b) 5.85%; provided, however, that (i) in no event shall the Basic Rate (x) for the Term A Loan be less than 11.19% and (y) for each other advance be less than the Basic Rate on the business day immediately prior to the funding date of such advance, (ii) the Basic Rate for the Term A Loan for the period from closing through and including December 31, 2023 shall be 11.19% and (iii) the Basic Rate for each advance shall not increase by more than 2.00% above the applicable Basic Rate as of the funding date of each such advance.</w:t>
      </w:r>
    </w:p>
    <w:p>
      <w:pPr>
        <w:spacing w:after="0" w:line="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outstanding indebtedness, including any additional indebtedness incurred beyond our borrowings under the 2023 Term Loan, combined with our other financial obligations and contractual commitments could have significant adverse consequences, including:</w:t>
      </w:r>
    </w:p>
    <w:p>
      <w:pPr>
        <w:spacing w:after="0" w:line="75" w:lineRule="exact"/>
        <w:rPr>
          <w:sz w:val="20"/>
          <w:szCs w:val="20"/>
          <w:color w:val="auto"/>
        </w:rPr>
      </w:pPr>
    </w:p>
    <w:p>
      <w:pPr>
        <w:jc w:val="both"/>
        <w:ind w:left="360" w:hanging="357"/>
        <w:spacing w:after="0" w:line="244" w:lineRule="auto"/>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requiring us to dedicate a portion of our cash resources to the payment of interest and principal, reducing money available to fund working capital, capital expenditures, product candidate development and other general corporate purposes;</w:t>
      </w:r>
    </w:p>
    <w:p>
      <w:pPr>
        <w:spacing w:after="0" w:line="74" w:lineRule="exact"/>
        <w:rPr>
          <w:rFonts w:ascii="Arial" w:cs="Arial" w:eastAsia="Arial" w:hAnsi="Arial"/>
          <w:sz w:val="20"/>
          <w:szCs w:val="20"/>
          <w:color w:val="auto"/>
        </w:rPr>
      </w:pPr>
    </w:p>
    <w:p>
      <w:pPr>
        <w:ind w:left="360" w:hanging="357"/>
        <w:spacing w:after="0"/>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increasing our vulnerability to adverse changes in general economic, industry and market conditions;</w:t>
      </w:r>
    </w:p>
    <w:p>
      <w:pPr>
        <w:spacing w:after="0" w:line="10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subjecting us to restrictive covenants that may reduce our ability to take certain corporate actions or obtain further debt or equity financing;</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limiting our flexibility in planning for, or reacting to, changes in our business and the industry in which we compete; and</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placing us at a competitive disadvantage compared to our competitors that have less debt or better debt servicing options.</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intend to satisfy our current and future debt service obligations with our then existing cash and cash equivalents. However, we may not have sufficient funds, and may be unable to arrange for additional financing, to pay the amounts due under the Loan Agreement or any other debt instruments. Failure to satisfy our current and future debt obligations, including covenants to take or avoid specific actions, under the Loan Agreement could result in an event of default and, as a result, the Lenders could accelerate all of the amounts due. In the event of an acceleration of amounts due under the Loan Agreement as a result of an event of default, we may not have sufficient funds or may</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9320"/>
          </w:cols>
          <w:pgMar w:left="1280" w:top="1229" w:right="1280" w:bottom="0" w:gutter="0" w:footer="0" w:header="0"/>
          <w:type w:val="continuous"/>
        </w:sectPr>
      </w:pPr>
    </w:p>
    <w:bookmarkStart w:id="46" w:name="page47"/>
    <w:bookmarkEnd w:id="46"/>
    <w:p>
      <w:pPr>
        <w:jc w:val="both"/>
        <w:spacing w:after="0" w:line="244" w:lineRule="auto"/>
        <w:rPr>
          <w:sz w:val="20"/>
          <w:szCs w:val="20"/>
          <w:color w:val="auto"/>
        </w:rPr>
      </w:pPr>
      <w:r>
        <w:rPr>
          <w:rFonts w:ascii="Arial" w:cs="Arial" w:eastAsia="Arial" w:hAnsi="Arial"/>
          <w:sz w:val="20"/>
          <w:szCs w:val="20"/>
          <w:color w:val="auto"/>
        </w:rPr>
        <w:t>be unable to arrange for additional financing to repay our indebtedness while still pursuing our current business strategy. In addition, our lenders could seek to enforce their security interests in any collateral securing such indebtedness</w:t>
      </w:r>
    </w:p>
    <w:p>
      <w:pPr>
        <w:spacing w:after="0" w:line="7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Further, if we are liquidated, the Lenders’ right to repayment would be senior to the rights of holders of our American Depositary Shares (“ADS”) or of our shareholders to receive any proceeds from the liquidation. Any declaration by the Lenders of an event of default could significantly harm our business and prospects and could cause the price of our ADSs to decline. In addition, the covenants under the Loan Agreement, the pledge of our assets as collateral and the negative pledge with respect to our intellectual property could limit our ability to obtain additional debt financing. If we raise any additional debt financing, the terms of such additional debt could further restrict our operating and financial flexibility.</w:t>
      </w:r>
    </w:p>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Raising additional capital may cause dilution to our holders, restrict our operations or require us to relinquish rights to our technologies or product candidates.</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the ownership interest of our ADS holders and 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Our business may become subject to economic, political, regulatory and other risks associated with international operations.</w:t>
      </w:r>
    </w:p>
    <w:p>
      <w:pPr>
        <w:spacing w:after="0" w:line="5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As a company based in the United Kingdom and listed on Nasdaq, our business is subject to risks associated with conducting business internationally. Many of our suppliers and collaborative and clinical trial relationships are located outside the United Kingdom and the United States. Accordingly, our future results could be harmed by a variety of factors, including:</w:t>
      </w:r>
    </w:p>
    <w:p>
      <w:pPr>
        <w:spacing w:after="0" w:line="79" w:lineRule="exact"/>
        <w:rPr>
          <w:sz w:val="20"/>
          <w:szCs w:val="20"/>
          <w:color w:val="auto"/>
        </w:rPr>
      </w:pPr>
    </w:p>
    <w:p>
      <w:pPr>
        <w:ind w:left="360" w:hanging="357"/>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1" w:lineRule="exact"/>
        <w:rPr>
          <w:rFonts w:ascii="Arial" w:cs="Arial" w:eastAsia="Arial" w:hAnsi="Arial"/>
          <w:sz w:val="18"/>
          <w:szCs w:val="18"/>
          <w:color w:val="auto"/>
        </w:rPr>
      </w:pPr>
    </w:p>
    <w:p>
      <w:pPr>
        <w:ind w:left="360" w:hanging="357"/>
        <w:spacing w:after="0"/>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differing regulatory requirements for drug approvals in non-U.S. countries;</w:t>
      </w:r>
    </w:p>
    <w:p>
      <w:pPr>
        <w:spacing w:after="0" w:line="10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differing jurisdictions could present different issues for securing, maintaining or obtaining freedom to operate in such jurisdictions;</w:t>
      </w:r>
    </w:p>
    <w:p>
      <w:pPr>
        <w:spacing w:after="0" w:line="58" w:lineRule="exact"/>
        <w:rPr>
          <w:rFonts w:ascii="Arial" w:cs="Arial" w:eastAsia="Arial" w:hAnsi="Arial"/>
          <w:sz w:val="20"/>
          <w:szCs w:val="20"/>
          <w:color w:val="auto"/>
        </w:rPr>
      </w:pPr>
    </w:p>
    <w:p>
      <w:pPr>
        <w:ind w:left="360" w:hanging="357"/>
        <w:spacing w:after="0"/>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potentially reduced protection for intellectual property rights;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difficulties in compliance with non-U.S. laws and regulations;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changes in non-U.S. regulations and customs, tariffs and trade barriers;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changes in non-U.S. currency exchange rates of the euro and currency controls;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changes in a specific country’s or region’s political or economic environment;</w:t>
      </w:r>
    </w:p>
    <w:p>
      <w:pPr>
        <w:spacing w:after="0" w:line="10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trade protection measures, import or export licensing requirements or other restrictive actions by U.S. or non-U.S. governments;</w:t>
      </w:r>
    </w:p>
    <w:p>
      <w:pPr>
        <w:spacing w:after="0" w:line="58" w:lineRule="exact"/>
        <w:rPr>
          <w:rFonts w:ascii="Arial" w:cs="Arial" w:eastAsia="Arial" w:hAnsi="Arial"/>
          <w:sz w:val="20"/>
          <w:szCs w:val="20"/>
          <w:color w:val="auto"/>
        </w:rPr>
      </w:pPr>
    </w:p>
    <w:p>
      <w:pPr>
        <w:ind w:left="360" w:hanging="357"/>
        <w:spacing w:after="0"/>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differing reimbursement regimes and price controls in certain non-U.S. markets;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negative consequences from changes in tax laws;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compliance with tax, employment, immigration and labor laws for employees living or traveling abroad;</w:t>
      </w:r>
    </w:p>
    <w:p>
      <w:pPr>
        <w:spacing w:after="0" w:line="119" w:lineRule="exact"/>
        <w:rPr>
          <w:rFonts w:ascii="Arial" w:cs="Arial" w:eastAsia="Arial" w:hAnsi="Arial"/>
          <w:sz w:val="19"/>
          <w:szCs w:val="19"/>
          <w:color w:val="auto"/>
        </w:rPr>
      </w:pPr>
    </w:p>
    <w:p>
      <w:pPr>
        <w:ind w:left="360" w:hanging="357"/>
        <w:spacing w:after="0"/>
        <w:tabs>
          <w:tab w:leader="none" w:pos="3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workforce uncertainty in countries where labor unrest is more common than in the United States;</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9320"/>
          </w:cols>
          <w:pgMar w:left="1280" w:top="1229" w:right="1280" w:bottom="0" w:gutter="0" w:footer="0" w:header="0"/>
          <w:type w:val="continuous"/>
        </w:sectPr>
      </w:pPr>
    </w:p>
    <w:bookmarkStart w:id="47" w:name="page48"/>
    <w:bookmarkEnd w:id="47"/>
    <w:p>
      <w:pPr>
        <w:ind w:left="360" w:hanging="357"/>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1" w:lineRule="exact"/>
        <w:rPr>
          <w:rFonts w:ascii="Arial" w:cs="Arial" w:eastAsia="Arial" w:hAnsi="Arial"/>
          <w:sz w:val="18"/>
          <w:szCs w:val="18"/>
          <w:color w:val="auto"/>
        </w:rPr>
      </w:pPr>
    </w:p>
    <w:p>
      <w:pPr>
        <w:ind w:left="360" w:hanging="357"/>
        <w:spacing w:after="0" w:line="260" w:lineRule="auto"/>
        <w:tabs>
          <w:tab w:leader="none" w:pos="3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production shortages resulting from any events affecting raw material supply or manufacturing capabilities abroad; and</w:t>
      </w:r>
    </w:p>
    <w:p>
      <w:pPr>
        <w:spacing w:after="0" w:line="5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business interruptions resulting from geopolitical actions, including war and terrorism, such as the ongoing conflicts in Europe and the Middle East, or natural disasters including earthquakes, typhoons, floods and fires, or public health emergencies, such as the COVID-19 pandemic.</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Exchange rate fluctuations may materially affect our results of operations and financial condition.</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Although we are based in the United Kingdom, our financial statements are denominated in U.S dollars and many of our business activities are carried out with partners outside the U.S. and United Kingdom and these transactions may be denominated in another currency.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Development, Clinical Testing and Regulatory Approval</w:t>
      </w:r>
    </w:p>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i w:val="1"/>
          <w:iCs w:val="1"/>
          <w:color w:val="auto"/>
        </w:rPr>
        <w:t>Clinical drug development and regulatory approval involve a lengthy and expensive process, with uncertain outcomes. We may incur additional costs or experience delays in completing, or ultimately be unable to complete, the development and regulatory approval of our product candidates.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Clinical drug development is a lengthy and expensive process with uncertain timelines and uncertain outcomes. If clinical trials of ensifentrine are prolonged or delayed, or if ensifentrine in later stage clinical trials fails to show the safety and efficacy required by regulatory authorities, we or our collaborators may be unable to obtain required regulatory approvals and be unable to commercialize ensifentrine on a timely basis, or at all.</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obtain the requisite regulatory approvals to market and sell ensifentrine, we or any collaborator for ensifentrine must demonstrate through extensive pre-clinical studies and clinical trials that ensifentrine is safe and effective in humans. Clinical testing is expensive and can take many years to complete, and its outcome is inherently uncertain. Failure can occur at any time during the clinical trial process. The results of pre-clinical studies and early-stage clinical trials of ensifentrine may not be predictive of the results of later-stage clinical trials. Product candidates in later stages of clinical trials may fail to show the desired safety and efficacy traits despite having progressed through pre-clinical studies and initial clinical trials. Regulators’ interpretations of results may differ from our own, and expectations can change over time while a product is in clinical development.</w:t>
      </w:r>
    </w:p>
    <w:p>
      <w:pPr>
        <w:spacing w:after="0" w:line="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number of companies in the biopharmaceutical industry have suffered significant setbacks in advanced clinical trials due to lack of efficacy or adverse safety profiles, notwithstanding promising results in earlier trials. The FDA may require us to conduct additional pre-clinical studies or clinical trials that may not be successful, or may not be considered successful by regulators. With respect to ensifentrine, our only product candidate, we have completed multiple Phase 1 and 2 clinical trials for different formulations of ensifentrine and for different indications, and two registrational Phase 3 clinical trials for nebulized ensifentrine for the maintenance treatment of COPD. Based on the results from these studies, we submitted an NDA seeking approval of ensifentrine for the maintenance treatment of COPD, and in August 2023, the FDA accepted for review our NDA and assigned a PDUFA target action date of June 26, 2024. The FDA’s filing communication and a November 2023 mid-cycle communication each gave preliminary notice of two review issues regarding the degree to which certain secondary data, such as trough, and exploratory data, such as exacerbation, included in the application could be used to support a favorable benefit-risk profile or efficacy finding, respectively. The FDA noted in both communications that these comments were preliminary in nature and did not reflect a final decision on the information reviewed.</w:t>
      </w:r>
    </w:p>
    <w:p>
      <w:pPr>
        <w:spacing w:after="0" w:line="7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If we wish to commercialize nebulized ensifentrine for the maintenance treatment of COPD in other territories, the regulatory authorities in such territories may require us to conduct additional pre-clinical studies or clinical trials, and if we wish to commercialize ensifentrine in other formulations or for other indications, we will be required to conduct further clinical studies.</w:t>
      </w:r>
    </w:p>
    <w:p>
      <w:pPr>
        <w:spacing w:after="0" w:line="7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may experience delays in clinical trials and we do not know whether planned clinical trials will begin on time, need to be redesigned, enroll patients on time or be completed on schedule, if at all. Our clinical trials can be delayed, suspended, or terminated, or the utility of data from these trials may be compromised, for a variety of reasons, including the following:</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9320"/>
          </w:cols>
          <w:pgMar w:left="1280" w:top="1229" w:right="1280" w:bottom="0" w:gutter="0" w:footer="0" w:header="0"/>
          <w:type w:val="continuous"/>
        </w:sectPr>
      </w:pPr>
    </w:p>
    <w:bookmarkStart w:id="48" w:name="page49"/>
    <w:bookmarkEnd w:id="48"/>
    <w:p>
      <w:pPr>
        <w:ind w:left="360" w:hanging="357"/>
        <w:spacing w:after="0" w:line="260" w:lineRule="auto"/>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inability to generate sufficient preclinical, toxicology or other in vivo or in vitro data to support the initiation or continuation of clinical trials;</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delays in or failure to obtain regulatory agreement on clinical trial design or implementation, including dose and frequency of administration;</w:t>
      </w:r>
    </w:p>
    <w:p>
      <w:pPr>
        <w:spacing w:after="0" w:line="58" w:lineRule="exact"/>
        <w:rPr>
          <w:rFonts w:ascii="Arial" w:cs="Arial" w:eastAsia="Arial" w:hAnsi="Arial"/>
          <w:sz w:val="20"/>
          <w:szCs w:val="20"/>
          <w:color w:val="auto"/>
        </w:rPr>
      </w:pPr>
    </w:p>
    <w:p>
      <w:pPr>
        <w:ind w:left="360" w:hanging="357"/>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delays in or failure to obtain regulatory authorization to commence a trial;</w:t>
      </w:r>
    </w:p>
    <w:p>
      <w:pPr>
        <w:spacing w:after="0" w:line="10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74"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inability of a CRO to meet their contracted obligations regarding subject enrollment, data collection, data monitoring, laboratory sample management, programming and analysis or other activities;</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delays in or failure to obtain institutional review board (“IRB”), or ethics committee approval or positive opinion at each site;</w:t>
      </w:r>
    </w:p>
    <w:p>
      <w:pPr>
        <w:spacing w:after="0" w:line="58" w:lineRule="exact"/>
        <w:rPr>
          <w:rFonts w:ascii="Arial" w:cs="Arial" w:eastAsia="Arial" w:hAnsi="Arial"/>
          <w:sz w:val="20"/>
          <w:szCs w:val="20"/>
          <w:color w:val="auto"/>
        </w:rPr>
      </w:pPr>
    </w:p>
    <w:p>
      <w:pPr>
        <w:ind w:left="360" w:hanging="357"/>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delays in or failure to recruit suitable patients to participate in a trial;</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failure to have patients complete a trial or return for post-treatment follow-up;</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clinical sites deviating from trial protocol or dropping out of a trial or committing gross misconduct or fraud;</w:t>
      </w:r>
    </w:p>
    <w:p>
      <w:pPr>
        <w:spacing w:after="0" w:line="119" w:lineRule="exact"/>
        <w:rPr>
          <w:rFonts w:ascii="Arial" w:cs="Arial" w:eastAsia="Arial" w:hAnsi="Arial"/>
          <w:sz w:val="19"/>
          <w:szCs w:val="19"/>
          <w:color w:val="auto"/>
        </w:rPr>
      </w:pPr>
    </w:p>
    <w:p>
      <w:pPr>
        <w:ind w:left="360" w:hanging="357"/>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delays to the addition of new clinical trial sites;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inability to achieve or maintain double blinding of ensifentrine;</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unexpected technical issues during manufacture of ensifentrine and the corresponding drug products;</w:t>
      </w:r>
    </w:p>
    <w:p>
      <w:pPr>
        <w:spacing w:after="0" w:line="119" w:lineRule="exact"/>
        <w:rPr>
          <w:rFonts w:ascii="Arial" w:cs="Arial" w:eastAsia="Arial" w:hAnsi="Arial"/>
          <w:sz w:val="19"/>
          <w:szCs w:val="19"/>
          <w:color w:val="auto"/>
        </w:rPr>
      </w:pPr>
    </w:p>
    <w:p>
      <w:pPr>
        <w:ind w:left="360" w:hanging="357"/>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variability in drug product performance and/or stability;</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discoveries that may reduce the commercial viability of ensifentrine;</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inability to manufacture sufficient quantities of ensifentrine for use in clinical trials;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quality or stability of ensifentrine falling below acceptable standards for either safety or efficacy;</w:t>
      </w:r>
    </w:p>
    <w:p>
      <w:pPr>
        <w:spacing w:after="0" w:line="10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third-party actions claiming infringement by ensifentrine in clinical trials and obtaining injunctions interfering with our progress;</w:t>
      </w:r>
    </w:p>
    <w:p>
      <w:pPr>
        <w:spacing w:after="0" w:line="58" w:lineRule="exact"/>
        <w:rPr>
          <w:rFonts w:ascii="Arial" w:cs="Arial" w:eastAsia="Arial" w:hAnsi="Arial"/>
          <w:sz w:val="20"/>
          <w:szCs w:val="20"/>
          <w:color w:val="auto"/>
        </w:rPr>
      </w:pPr>
    </w:p>
    <w:p>
      <w:pPr>
        <w:ind w:left="360" w:hanging="357"/>
        <w:spacing w:after="0" w:line="315" w:lineRule="auto"/>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such as the ongoing conflicts in Europe and the Middle East, or natural disasters including earthquakes, typhoons, floods and fires;</w:t>
      </w:r>
    </w:p>
    <w:p>
      <w:pPr>
        <w:spacing w:after="0" w:line="13" w:lineRule="exact"/>
        <w:rPr>
          <w:rFonts w:ascii="Arial" w:cs="Arial" w:eastAsia="Arial" w:hAnsi="Arial"/>
          <w:sz w:val="18"/>
          <w:szCs w:val="18"/>
          <w:color w:val="auto"/>
        </w:rPr>
      </w:pPr>
    </w:p>
    <w:p>
      <w:pPr>
        <w:ind w:left="360" w:hanging="357"/>
        <w:spacing w:after="0" w:line="260" w:lineRule="auto"/>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trade sanctions imposed by the United States or other governments impacting our ability to transfer money to certain countries, such as Russia, to pay clinical trials sites in those countries;</w:t>
      </w:r>
    </w:p>
    <w:p>
      <w:pPr>
        <w:spacing w:after="0" w:line="58" w:lineRule="exact"/>
        <w:rPr>
          <w:rFonts w:ascii="Arial" w:cs="Arial" w:eastAsia="Arial" w:hAnsi="Arial"/>
          <w:sz w:val="20"/>
          <w:szCs w:val="20"/>
          <w:color w:val="auto"/>
        </w:rPr>
      </w:pPr>
    </w:p>
    <w:p>
      <w:pPr>
        <w:ind w:left="360" w:hanging="357"/>
        <w:spacing w:after="0" w:line="286" w:lineRule="auto"/>
        <w:tabs>
          <w:tab w:leader="none" w:pos="3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safety or tolerability concerns causing us or our collaborators, as applicable, to suspend or terminate a trial if we or our collaborators find that the participants are being exposed to unacceptable health risks;</w:t>
      </w:r>
    </w:p>
    <w:p>
      <w:pPr>
        <w:spacing w:after="0" w:line="36" w:lineRule="exact"/>
        <w:rPr>
          <w:rFonts w:ascii="Arial" w:cs="Arial" w:eastAsia="Arial" w:hAnsi="Arial"/>
          <w:sz w:val="19"/>
          <w:szCs w:val="19"/>
          <w:color w:val="auto"/>
        </w:rPr>
      </w:pPr>
    </w:p>
    <w:p>
      <w:pPr>
        <w:ind w:left="360" w:hanging="357"/>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changes in regulatory requirements, policies and guidelines;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lower than anticipated retention rates of patients and volunteers in clinical trials;</w:t>
      </w:r>
    </w:p>
    <w:p>
      <w:pPr>
        <w:spacing w:after="0" w:line="10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failure of our third-party research contractors to comply with regulatory requirements or to meet their contractual obligations to us in a timely manner, or at all; and</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difficulty in certain countries in identifying the sub-populations that we are trying to evaluate in a particular trial, which may delay enrollment.</w:t>
      </w:r>
    </w:p>
    <w:p>
      <w:pPr>
        <w:spacing w:after="0" w:line="59"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9320"/>
          </w:cols>
          <w:pgMar w:left="1280" w:top="1229" w:right="1280" w:bottom="0" w:gutter="0" w:footer="0" w:header="0"/>
          <w:type w:val="continuous"/>
        </w:sectPr>
      </w:pPr>
    </w:p>
    <w:bookmarkStart w:id="49" w:name="page50"/>
    <w:bookmarkEnd w:id="49"/>
    <w:p>
      <w:pPr>
        <w:jc w:val="both"/>
        <w:spacing w:after="0" w:line="233" w:lineRule="auto"/>
        <w:rPr>
          <w:sz w:val="20"/>
          <w:szCs w:val="20"/>
          <w:color w:val="auto"/>
        </w:rPr>
      </w:pPr>
      <w:r>
        <w:rPr>
          <w:rFonts w:ascii="Arial" w:cs="Arial" w:eastAsia="Arial" w:hAnsi="Arial"/>
          <w:sz w:val="20"/>
          <w:szCs w:val="20"/>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 as the case may be, and may ultimately lead to the denial of marketing approval of ensifentrine.</w:t>
      </w:r>
    </w:p>
    <w:p>
      <w:pPr>
        <w:spacing w:after="0" w:line="8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If we experience delays in the completion of any clinical trial of ensifentrine for any indication, or of any other product candidate, or any clinical trial of ensifentrine or any other product candidate is terminated, the commercial prospects of such product candidates may be harmed, and our ability to generate product revenues, if any, will be delayed. Moreover, any delays in completing our clinical trials will increase our costs, slow down the development and approval process and jeopardize our ability to commence product sales and generate revenue, if any. Significant clinical trial delays could also allow our competitors to bring products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ensifentrine or any other product candidate.</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(or other ethics committees) at the medical institutions where the clinical trials are conducted. In addition, clinical trials must be conducted with supplies of ensifentrine produced under current good manufacturing practice (“cGMP”) and similar foreign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CROs, may impact our developments plans.</w:t>
      </w:r>
    </w:p>
    <w:p>
      <w:pPr>
        <w:spacing w:after="0" w:line="6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It is currently unclear to what extent the U.K. will seek to align its regulations with the EU. The U.K. regulatory framework in relation to clinical trials is derived from existing EU legislation (as implemented into U.K. law, through secondary legislation).</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9320"/>
          </w:cols>
          <w:pgMar w:left="1280" w:top="1229" w:right="1280" w:bottom="0" w:gutter="0" w:footer="0" w:header="0"/>
          <w:type w:val="continuous"/>
        </w:sectPr>
      </w:pPr>
    </w:p>
    <w:bookmarkStart w:id="50" w:name="page51"/>
    <w:bookmarkEnd w:id="50"/>
    <w:p>
      <w:pPr>
        <w:jc w:val="both"/>
        <w:spacing w:after="0" w:line="261" w:lineRule="auto"/>
        <w:rPr>
          <w:sz w:val="20"/>
          <w:szCs w:val="20"/>
          <w:color w:val="auto"/>
        </w:rPr>
      </w:pPr>
      <w:r>
        <w:rPr>
          <w:rFonts w:ascii="Arial" w:cs="Arial" w:eastAsia="Arial" w:hAnsi="Arial"/>
          <w:sz w:val="18"/>
          <w:szCs w:val="18"/>
          <w:color w:val="auto"/>
        </w:rPr>
        <w:t>On January 17, 2022, the U.K. Medicines and Healthcare products Regulatory Agency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resulting legislative changes will be closely watched and will determine the extent to which the U.K. clinical trials framework aligns with or diverges from the (EU) CTR. Under the terms of the Protocol on Ireland/Northern Ireland, provisions of the (EU) CTR which relate to the manufacture and import of investigational medicinal products and auxiliary medicinal products apply in Northern Ireland. A decision by the U.K. Government not to closely align its regulations with the new approach that has been adopted in the EU may have an effect on the cost of conducting clinical trials in the U.K. compared with other countries.</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we are slow or unable to adapt to changes in existing requirements or the adoption of new requirements or policies governing clinical trials, our development plans may be impacted.</w:t>
      </w:r>
    </w:p>
    <w:p>
      <w:pPr>
        <w:spacing w:after="0" w:line="51"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i w:val="1"/>
          <w:iCs w:val="1"/>
          <w:color w:val="auto"/>
        </w:rPr>
        <w:t>Ensifentrine may have serious adverse, undesirable or unacceptable side effects which may delay or prevent marketing approval. If such side effects are identified during the development of ensifentrine or following approval, if any, we may need to abandon our development of ensifentrine, the commercial profile of any approved label may be limited, or we may be subject to other significant negative consequences following marketing approval, if any.</w:t>
      </w:r>
    </w:p>
    <w:p>
      <w:pPr>
        <w:spacing w:after="0" w:line="82"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Undesirable side effects that may be caused by ensifentrine could cause us or regulatory authorities to interrupt, delay or halt clinical trials and could result in a more restrictive label or the delay or denial of regulatory approval by the FDA or other comparable foreign authorities. 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 We have completed more than 20 Phase 1, 2 and 3 clinical trials of ensifentrine. In these trials, some patients have experienced mild to moderate adverse reactions, including urinary tract infection, back pain and hypertension.</w:t>
      </w:r>
    </w:p>
    <w:p>
      <w:pPr>
        <w:spacing w:after="0" w:line="77"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Results of our future clinical trials could reveal a high and unacceptable severity and prevalence of adverse side effects. In such an event, our trials could be suspended or terminated and the FDA or other comparable foreign regulatory authorities could order us to cease further development of or deny approval of ensifentrine for any or all targeted indications. The drug-related side effects could affect patient recruitment or the ability of enrolled patients to complete the trial or result in potential product liability claims. Additionally, if ensifentrine receives marketing approval and we or others later identify undesirable or unacceptable side effects caused by ensifentrine, a number of potentially significant negative consequences could result, including:</w:t>
      </w:r>
    </w:p>
    <w:p>
      <w:pPr>
        <w:spacing w:after="0" w:line="71" w:lineRule="exact"/>
        <w:rPr>
          <w:sz w:val="20"/>
          <w:szCs w:val="20"/>
          <w:color w:val="auto"/>
        </w:rPr>
      </w:pPr>
    </w:p>
    <w:p>
      <w:pPr>
        <w:ind w:left="360" w:hanging="357"/>
        <w:spacing w:after="0" w:line="260" w:lineRule="auto"/>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regulatory authorities may withdraw approvals of such products and require us to take ensifentrine off the market;</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regulatory authorities may require the addition of labeling statements, specific warnings, a contraindication or field alerts to physicians and pharmacies;</w:t>
      </w:r>
    </w:p>
    <w:p>
      <w:pPr>
        <w:spacing w:after="0" w:line="5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regulatory authorities may require a medication guide outlining the risks of such side effects for distribution to patients, or that we implement a REMS plan or similar risk management measures to ensure that the benefits of ensifentrine outweigh its risks;</w:t>
      </w:r>
    </w:p>
    <w:p>
      <w:pPr>
        <w:spacing w:after="0" w:line="74"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we may be required to change the way ensifentrine is administered, conduct additional clinical trials or change the labeling of ensifentrine;</w:t>
      </w:r>
    </w:p>
    <w:p>
      <w:pPr>
        <w:spacing w:after="0" w:line="58" w:lineRule="exact"/>
        <w:rPr>
          <w:rFonts w:ascii="Arial" w:cs="Arial" w:eastAsia="Arial" w:hAnsi="Arial"/>
          <w:sz w:val="20"/>
          <w:szCs w:val="20"/>
          <w:color w:val="auto"/>
        </w:rPr>
      </w:pPr>
    </w:p>
    <w:p>
      <w:pPr>
        <w:ind w:left="360" w:hanging="357"/>
        <w:spacing w:after="0"/>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we may be subject to limitations on how we may promote ensifentrine;</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sales of ensifentrine may decrease significantly;</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we may be subject to litigation or product liability claims; and</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our reputation may suffer.</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9320"/>
          </w:cols>
          <w:pgMar w:left="1280" w:top="1229" w:right="1280" w:bottom="0" w:gutter="0" w:footer="0" w:header="0"/>
          <w:type w:val="continuous"/>
        </w:sectPr>
      </w:pPr>
    </w:p>
    <w:bookmarkStart w:id="51" w:name="page52"/>
    <w:bookmarkEnd w:id="51"/>
    <w:p>
      <w:pPr>
        <w:jc w:val="both"/>
        <w:spacing w:after="0" w:line="244" w:lineRule="auto"/>
        <w:rPr>
          <w:sz w:val="20"/>
          <w:szCs w:val="20"/>
          <w:color w:val="auto"/>
        </w:rPr>
      </w:pPr>
      <w:r>
        <w:rPr>
          <w:rFonts w:ascii="Arial" w:cs="Arial" w:eastAsia="Arial" w:hAnsi="Arial"/>
          <w:sz w:val="20"/>
          <w:szCs w:val="20"/>
          <w:color w:val="auto"/>
        </w:rPr>
        <w:t>Any of these events could prevent us or any collaborators from achieving or maintaining market acceptance of ensifentrine or could substantially increase commercialization costs and expenses, which in turn could delay or prevent us from generating significant revenue from the sale of ensifentrine.</w:t>
      </w:r>
    </w:p>
    <w:p>
      <w:pPr>
        <w:spacing w:after="0" w:line="67" w:lineRule="exact"/>
        <w:rPr>
          <w:sz w:val="20"/>
          <w:szCs w:val="20"/>
          <w:color w:val="auto"/>
        </w:rPr>
      </w:pPr>
    </w:p>
    <w:p>
      <w:pPr>
        <w:jc w:val="both"/>
        <w:spacing w:after="0" w:line="347" w:lineRule="auto"/>
        <w:rPr>
          <w:sz w:val="20"/>
          <w:szCs w:val="20"/>
          <w:color w:val="auto"/>
        </w:rPr>
      </w:pPr>
      <w:r>
        <w:rPr>
          <w:rFonts w:ascii="Arial" w:cs="Arial" w:eastAsia="Arial" w:hAnsi="Arial"/>
          <w:sz w:val="17"/>
          <w:szCs w:val="17"/>
          <w:b w:val="1"/>
          <w:bCs w:val="1"/>
          <w:i w:val="1"/>
          <w:iCs w:val="1"/>
          <w:color w:val="auto"/>
        </w:rPr>
        <w:t>We may not be successful in our efforts to develop ensifentrine in different formulations, including fixed-dose combinations, and/or for multiple indications, including NCFBE, CF, asthma or other respiratory diseases.</w:t>
      </w:r>
    </w:p>
    <w:p>
      <w:pPr>
        <w:jc w:val="both"/>
        <w:spacing w:after="0" w:line="245" w:lineRule="auto"/>
        <w:rPr>
          <w:sz w:val="20"/>
          <w:szCs w:val="20"/>
          <w:color w:val="auto"/>
        </w:rPr>
      </w:pPr>
      <w:r>
        <w:rPr>
          <w:rFonts w:ascii="Arial" w:cs="Arial" w:eastAsia="Arial" w:hAnsi="Arial"/>
          <w:sz w:val="19"/>
          <w:szCs w:val="19"/>
          <w:color w:val="auto"/>
        </w:rPr>
        <w:t>Part of our strategy is to continue to develop ensifentrine in indications other than COPD, such as NCFBE, CF and asthma and other formulations including fixed-dose combinations, MDI and DPI. Although our research and development efforts to date have suggested that ensifentrine has the potential to treat NCFBE, CF and asthma, we may not be able to develop ensifentrine in these indications or any other disease, or development may not be successful. In addition, the potential use of ensifentrine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If we do not continue to successfully develop and begin to commercialize ensifentrine for multiple indications or formulations, we will face difficulty in obtaining product revenues in future periods, which could significantly harm our financial position.</w:t>
      </w:r>
    </w:p>
    <w:p>
      <w:pPr>
        <w:spacing w:after="0" w:line="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We depend on enrollment of patients in our clinical trials for ensifentrine. If we are unable to enroll patients in our clinical trials, or enrollment is slower than anticipated, our research and development efforts could be adversely affected.</w:t>
      </w:r>
    </w:p>
    <w:p>
      <w:pPr>
        <w:spacing w:after="0" w:line="7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Successful and timely completion of clinical trials for ensifentrine will require that we enroll a sufficient number of patient candidates. Trials may be subject to delays as a result of patient enrollment taking longer than anticipated or patient withdrawal and other external factors. Patient enrollment depends on many factors, including the size and nature of the patient population, the severity of the disease under investigation, eligibility criteria for the trial, the proximity of patients to clinical sites, the design of the clinical protocol, the ability to obtain and maintain patient consents, the risk that enrolled patients will drop out of a trial,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Higher than expected numbers of patients could also discontinue participation in the clinical trials. Delays in the completion of any clinical trial of ensifentrine or other product candidates will increase our costs, slow down our development and approval of ensifentrine and delay or potentially jeopardize our ability to commence product sales and generate revenue. In addition, some of the factors that cause, or lead to, a delay in the commencement or completion of clinical trials may also ultimately lead to the denial of regulatory approval of ensifentrine.</w:t>
      </w:r>
    </w:p>
    <w:p>
      <w:pPr>
        <w:spacing w:after="0" w:line="76" w:lineRule="exact"/>
        <w:rPr>
          <w:sz w:val="20"/>
          <w:szCs w:val="20"/>
          <w:color w:val="auto"/>
        </w:rPr>
      </w:pPr>
    </w:p>
    <w:p>
      <w:pPr>
        <w:jc w:val="both"/>
        <w:spacing w:after="0" w:line="347" w:lineRule="auto"/>
        <w:rPr>
          <w:sz w:val="20"/>
          <w:szCs w:val="20"/>
          <w:color w:val="auto"/>
        </w:rPr>
      </w:pPr>
      <w:r>
        <w:rPr>
          <w:rFonts w:ascii="Arial" w:cs="Arial" w:eastAsia="Arial" w:hAnsi="Arial"/>
          <w:sz w:val="17"/>
          <w:szCs w:val="17"/>
          <w:b w:val="1"/>
          <w:bCs w:val="1"/>
          <w:i w:val="1"/>
          <w:iCs w:val="1"/>
          <w:color w:val="auto"/>
        </w:rPr>
        <w:t>We may become exposed to costly and damaging liability claims, either when testing ensifentrine in the clinic or at the commercial stage, and our product liability insurance may not cover all damages from such claims.</w:t>
      </w:r>
    </w:p>
    <w:p>
      <w:pPr>
        <w:jc w:val="both"/>
        <w:spacing w:after="0" w:line="233" w:lineRule="auto"/>
        <w:rPr>
          <w:sz w:val="20"/>
          <w:szCs w:val="20"/>
          <w:color w:val="auto"/>
        </w:rPr>
      </w:pPr>
      <w:r>
        <w:rPr>
          <w:rFonts w:ascii="Arial" w:cs="Arial" w:eastAsia="Arial" w:hAnsi="Arial"/>
          <w:sz w:val="20"/>
          <w:szCs w:val="20"/>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ensifentrine by us and any collaborators in clinical trials, and the sale of ensifentrine, if approved, in the future, may expose us to liability claims. These claims might be made by patients that use the product, healthcare providers, pharmaceutical companies, our collaborators or others selling ensifentrine. Any claims against us, regardless of their merit, could be difficult and costly to defend and could adversely affect the market for ensifentrine or any prospects for commercialization of ensifentrine. In addition, regardless of the merits or eventual outcome, liability claims may result in:</w:t>
      </w:r>
    </w:p>
    <w:p>
      <w:pPr>
        <w:spacing w:after="0" w:line="80" w:lineRule="exact"/>
        <w:rPr>
          <w:sz w:val="20"/>
          <w:szCs w:val="20"/>
          <w:color w:val="auto"/>
        </w:rPr>
      </w:pPr>
    </w:p>
    <w:p>
      <w:pPr>
        <w:ind w:left="360" w:hanging="357"/>
        <w:spacing w:after="0"/>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decreased demand for ensifentrine;</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injury to our reputation;</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withdrawal of clinical trial participants;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costs to defend related litigation;</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diversion of management’s time and our resources;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substantial monetary awards to trial participants or patients;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regulatory investigation, product recalls or withdrawals, or labeling, marketing or promotional restrictions;</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9320"/>
          </w:cols>
          <w:pgMar w:left="1280" w:top="1229" w:right="1280" w:bottom="0" w:gutter="0" w:footer="0" w:header="0"/>
          <w:type w:val="continuous"/>
        </w:sectPr>
      </w:pPr>
    </w:p>
    <w:bookmarkStart w:id="52" w:name="page53"/>
    <w:bookmarkEnd w:id="52"/>
    <w:p>
      <w:pPr>
        <w:ind w:left="360" w:hanging="357"/>
        <w:spacing w:after="0"/>
        <w:tabs>
          <w:tab w:leader="none" w:pos="3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loss of revenue; and</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inability to commercialize or promote ensifentrine.</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Although the clinical trial process is designed to identify and assess potential side effects, it is always possible that a drug, even after regulatory approval, may exhibit unforeseen side effects. If ensifentrine were to cause adverse side effects during clinical trials or after approval, we may be exposed to substantial liabilities. Physicians and patients may not comply with any warnings that identify known potential adverse effects and patients who should not use ensifentrine.</w:t>
      </w:r>
    </w:p>
    <w:p>
      <w:pPr>
        <w:spacing w:after="0" w:line="7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Although we maintain product liability insurance for ensifentrine, it is possible that our liabilities could exceed our insurance coverage. We intend to expand our insurance coverage to include the sale of commercial products if we obtain marketing approval for ensifentrine.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7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The regulatory approval processes of the FDA, the EMA and comparable foreign regulatory authorities are lengthy, time consuming and inherently unpredictable, and if we are ultimately unable to obtain regulatory approval for ensifentrine, our business will be substantially harmed.</w:t>
      </w:r>
    </w:p>
    <w:p>
      <w:pPr>
        <w:spacing w:after="0" w:line="77"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time required to obtain approval by the FDA, the European Commission and comparable foreign regulatory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ensifentrine and it is possible that ensifentrine or any product candidates we may develop in the future will never obtain regulatory approval.</w:t>
      </w:r>
    </w:p>
    <w:p>
      <w:pPr>
        <w:spacing w:after="0" w:line="8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Prior to obtaining approval to commercialize a product candidate in the United States or abroad, we or our collaborators must demonstrate with substantial evidence from well-controlled clinical trials, and to the satisfaction of the FDA or foreign regulatory agencies, that such product candidate is safe and effective for its intended uses. Results from nonclinical studies and clinical trials can be interpreted in different ways. Even if we believe the nonclinical or clinical data for our product candidate are promising, such data may not be sufficient to support approval by the FDA and other regulatory authorities. The FDA or foreign regulatory agencies may also require us to conduct additional preclinical studies or clinical trials for ensifentrine either prior to or post-approval, or it may object to elements of our clinical development program.</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Ensifentrine could fail to receive regulatory approval for many reasons, including the following:</w:t>
      </w:r>
    </w:p>
    <w:p>
      <w:pPr>
        <w:spacing w:after="0" w:line="108" w:lineRule="exact"/>
        <w:rPr>
          <w:sz w:val="20"/>
          <w:szCs w:val="20"/>
          <w:color w:val="auto"/>
        </w:rPr>
      </w:pPr>
    </w:p>
    <w:p>
      <w:pPr>
        <w:jc w:val="both"/>
        <w:ind w:left="360" w:hanging="357"/>
        <w:spacing w:after="0" w:line="244" w:lineRule="auto"/>
        <w:tabs>
          <w:tab w:leader="none" w:pos="3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we may be unable to demonstrate to the satisfaction of the FDA, the EMA or comparable foreign regulatory authorities that ensifentrine is safe and effective, with the required level of statistical significance, for its proposed indication;</w:t>
      </w:r>
    </w:p>
    <w:p>
      <w:pPr>
        <w:spacing w:after="0" w:line="74" w:lineRule="exact"/>
        <w:rPr>
          <w:rFonts w:ascii="Arial" w:cs="Arial" w:eastAsia="Arial" w:hAnsi="Arial"/>
          <w:sz w:val="20"/>
          <w:szCs w:val="20"/>
          <w:color w:val="auto"/>
        </w:rPr>
      </w:pPr>
    </w:p>
    <w:p>
      <w:pPr>
        <w:ind w:left="360" w:hanging="357"/>
        <w:spacing w:after="0"/>
        <w:tabs>
          <w:tab w:leader="none" w:pos="3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we may be unable to demonstrate that ensifentrine’s benefits outweigh its safety risks;</w:t>
      </w:r>
    </w:p>
    <w:p>
      <w:pPr>
        <w:spacing w:after="0" w:line="10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FDA, the EMA or comparable foreign regulatory authorities may disagree with our interpretation of data from pre-clinical studies or clinical trials or may find the data to be unacceptable;</w:t>
      </w:r>
    </w:p>
    <w:p>
      <w:pPr>
        <w:spacing w:after="0" w:line="58" w:lineRule="exact"/>
        <w:rPr>
          <w:rFonts w:ascii="Arial" w:cs="Arial" w:eastAsia="Arial" w:hAnsi="Arial"/>
          <w:sz w:val="20"/>
          <w:szCs w:val="20"/>
          <w:color w:val="auto"/>
        </w:rPr>
      </w:pPr>
    </w:p>
    <w:p>
      <w:pPr>
        <w:ind w:left="360" w:hanging="357"/>
        <w:spacing w:after="0" w:line="286" w:lineRule="auto"/>
        <w:tabs>
          <w:tab w:leader="none" w:pos="3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FDA, the EMA or comparable foreign regulatory authorities may find that the dose or doses evaluated in Phase 3 clinical trials or the way in which double blinding was effected to be unacceptable;</w:t>
      </w:r>
    </w:p>
    <w:p>
      <w:pPr>
        <w:spacing w:after="0" w:line="36" w:lineRule="exact"/>
        <w:rPr>
          <w:rFonts w:ascii="Arial" w:cs="Arial" w:eastAsia="Arial" w:hAnsi="Arial"/>
          <w:sz w:val="19"/>
          <w:szCs w:val="19"/>
          <w:color w:val="auto"/>
        </w:rPr>
      </w:pPr>
    </w:p>
    <w:p>
      <w:pPr>
        <w:jc w:val="both"/>
        <w:ind w:left="360" w:hanging="357"/>
        <w:spacing w:after="0" w:line="244" w:lineRule="auto"/>
        <w:tabs>
          <w:tab w:leader="none" w:pos="3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data collected from clinical trials of ensifentrine may, for various reasons, be insufficient to support the submission or approval of an NDA in the United States, a MAA in the EU, or other comparable submission to obtain regulatory approval in other countries;</w:t>
      </w:r>
    </w:p>
    <w:p>
      <w:pPr>
        <w:spacing w:after="0" w:line="74" w:lineRule="exact"/>
        <w:rPr>
          <w:rFonts w:ascii="Arial" w:cs="Arial" w:eastAsia="Arial" w:hAnsi="Arial"/>
          <w:sz w:val="20"/>
          <w:szCs w:val="20"/>
          <w:color w:val="auto"/>
        </w:rPr>
      </w:pPr>
    </w:p>
    <w:p>
      <w:pPr>
        <w:ind w:left="360" w:hanging="357"/>
        <w:spacing w:after="0" w:line="286" w:lineRule="auto"/>
        <w:tabs>
          <w:tab w:leader="none" w:pos="3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FDA or comparable foreign regulatory authorities may fail to approve the manufacturing processes or facilities of third-party manufacturers with which we contract for clinical and commercial supplies;</w:t>
      </w:r>
    </w:p>
    <w:p>
      <w:pPr>
        <w:spacing w:after="0" w:line="36" w:lineRule="exact"/>
        <w:rPr>
          <w:rFonts w:ascii="Arial" w:cs="Arial" w:eastAsia="Arial" w:hAnsi="Arial"/>
          <w:sz w:val="19"/>
          <w:szCs w:val="19"/>
          <w:color w:val="auto"/>
        </w:rPr>
      </w:pPr>
    </w:p>
    <w:p>
      <w:pPr>
        <w:jc w:val="both"/>
        <w:ind w:left="360" w:hanging="357"/>
        <w:spacing w:after="0" w:line="244" w:lineRule="auto"/>
        <w:tabs>
          <w:tab w:leader="none" w:pos="3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FDA or comparable regulatory authorities may identify issues of GCP noncompliance or unacceptable practices at clinical sites or CROs participating in our clinical studies, rendering clinical data insufficient to support approval;</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9320"/>
          </w:cols>
          <w:pgMar w:left="1280" w:top="1229" w:right="1280" w:bottom="0" w:gutter="0" w:footer="0" w:header="0"/>
          <w:type w:val="continuous"/>
        </w:sectPr>
      </w:pPr>
    </w:p>
    <w:bookmarkStart w:id="53" w:name="page54"/>
    <w:bookmarkEnd w:id="53"/>
    <w:p>
      <w:pPr>
        <w:ind w:left="360" w:hanging="357"/>
        <w:spacing w:after="0" w:line="260" w:lineRule="auto"/>
        <w:tabs>
          <w:tab w:leader="none" w:pos="3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approval policies or regulations of the FDA or comparable foreign regulatory authorities may significantly change in a manner rendering our clinical data insufficient for approval;</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FDA, the EMA or comparable foreign regulatory authorities may disagree with the design or implementation of our clinical trials; and</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FDA, the EMA or comparable foreign regulatory authorities may disagree with our proposed product specifications and performance characteristics.</w:t>
      </w:r>
    </w:p>
    <w:p>
      <w:pPr>
        <w:spacing w:after="0" w:line="5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This lengthy approval process as well as the unpredictability of future clinical trial results may result in our failing to obtain regulatory approval to market ensifentrine. The FDA, the EMA and other regulatory authorities have substantial discretion in the approval process, and determining when or whether regulatory approval will be obtained for ensifentrine. Even if we believe the data collected from clinical trials of ensifentrine are promising, such data may not be sufficient to support approval by the FDA, the European Commission or any other regulatory authority. For example, in August 2023, the FDA accepted for review our NDA seeking approval of ensifentrine for the maintenance treatment of COPD and assigned a PDUFA target action date of June 26, 2024. The NDA filing communication and a November 2023 mid-cycle review each gave preliminary notice of two review issues regarding the degree to which certain secondary data, such as trough, and exploratory data, such as exacerbation, included in the application could be used to support a favorable benefit-risk profile or efficacy finding, respectively. The FDA noted in both communications that these comments were preliminary in nature and did not reflect a final decision on the information reviewed.</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In addition, even if we were to obtain approval for any jurisdiction, regulatory authorities may approve ensifentrine for fewer or more limited indications than we request, may not approve the price we intend to charge for ensifentrine, may grant approval contingent on the performance of costly post-marketing clinical trials, or may approve ensifentrine with a label that does not include the labeling claims necessary or desirable for the successful commercialization of ensifentrine. Any of the foregoing scenarios could materially harm the commercial prospects for ensifentrine.</w:t>
      </w:r>
    </w:p>
    <w:p>
      <w:pPr>
        <w:spacing w:after="0" w:line="8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 may however have a significant impact on the biopharmaceutical industry and our business in the long term.</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20"/>
          <w:szCs w:val="20"/>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ability of the FDA and comparable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or modifications to cleared or approved drugs, to be reviewed and/ 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Separately, in response to the COVID-19 pandemic, the FDA postponed most inspections of domestic and foreign manufacturing facilities at various points. Even though the FDA has since resumed standard inspection operations, any resurgence of the virus or emergence of new variants may lead to further inspection-related or administrative delays. If a prolonged government shutdown occurs, or if global health concerns prevent the FDA or other regulatory authorities from conducting their regular inspections, reviews, or other regulatory activities, it could</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9320"/>
          </w:cols>
          <w:pgMar w:left="1280" w:top="1229" w:right="1280" w:bottom="0" w:gutter="0" w:footer="0" w:header="0"/>
          <w:type w:val="continuous"/>
        </w:sectPr>
      </w:pPr>
    </w:p>
    <w:bookmarkStart w:id="54" w:name="page55"/>
    <w:bookmarkEnd w:id="54"/>
    <w:p>
      <w:pPr>
        <w:jc w:val="both"/>
        <w:spacing w:after="0" w:line="260" w:lineRule="auto"/>
        <w:rPr>
          <w:sz w:val="20"/>
          <w:szCs w:val="20"/>
          <w:color w:val="auto"/>
        </w:rPr>
      </w:pPr>
      <w:r>
        <w:rPr>
          <w:rFonts w:ascii="Arial" w:cs="Arial" w:eastAsia="Arial" w:hAnsi="Arial"/>
          <w:sz w:val="20"/>
          <w:szCs w:val="20"/>
          <w:color w:val="auto"/>
        </w:rPr>
        <w:t>significantly impact the ability of the FDA or other regulatory authorities to timely review and process our regulatory submissions, which could have a material adverse effect on our business.</w:t>
      </w:r>
    </w:p>
    <w:p>
      <w:pPr>
        <w:spacing w:after="0" w:line="51" w:lineRule="exact"/>
        <w:rPr>
          <w:sz w:val="20"/>
          <w:szCs w:val="20"/>
          <w:color w:val="auto"/>
        </w:rPr>
      </w:pPr>
    </w:p>
    <w:p>
      <w:pPr>
        <w:jc w:val="both"/>
        <w:spacing w:after="0" w:line="297" w:lineRule="auto"/>
        <w:rPr>
          <w:sz w:val="20"/>
          <w:szCs w:val="20"/>
          <w:color w:val="auto"/>
        </w:rPr>
      </w:pPr>
      <w:r>
        <w:rPr>
          <w:rFonts w:ascii="Arial" w:cs="Arial" w:eastAsia="Arial" w:hAnsi="Arial"/>
          <w:sz w:val="17"/>
          <w:szCs w:val="17"/>
          <w:b w:val="1"/>
          <w:bCs w:val="1"/>
          <w:i w:val="1"/>
          <w:iCs w:val="1"/>
          <w:color w:val="auto"/>
        </w:rPr>
        <w:t>Even if ensifentrine obtains regulatory approval, we will be subject to ongoing obligations and continued regulatory review, which may result in significant additional expense. Additionally, ensifentrine, if approved, could be subject to labeling and other restrictions and market withdrawal and we may be subject to penalties if we fail to comply with regulatory requirements or experience unanticipated problems with ensifentrine.</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FDA or a comparable foreign regulatory authority approves ensifentrine, the manufacturing processes, labeling, packaging, distribution, adverse event reporting, storage, advertising, promotion and record keeping for ensifentrine will be subject to extensive and ongoing regulatory requirements. These requirements include payment of annual user fees, submissions of safety and other post-marketing information and reports, facility registration and drug listing, as well as continued compliance with cGMP and similar foreign requirements for the manufacture of ensifentrine and GCP requirements for any clinical trials that we conduct post-approval, all of which may result in significant expense and limit our ability to commercialize ensifentrine. In addition, any approval we may obtain for ensifentrine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We and our contract manufacturers will also be subject to periodic inspection by the FDA and other regulatory authorities to monitor compliance with these requirements and the terms of any product approval we may obtain.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72" w:lineRule="exact"/>
        <w:rPr>
          <w:sz w:val="20"/>
          <w:szCs w:val="20"/>
          <w:color w:val="auto"/>
        </w:rPr>
      </w:pPr>
    </w:p>
    <w:p>
      <w:pPr>
        <w:ind w:left="360" w:hanging="357"/>
        <w:spacing w:after="0"/>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delays in or the rejection of product approvals;</w:t>
      </w:r>
    </w:p>
    <w:p>
      <w:pPr>
        <w:spacing w:after="0" w:line="10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restrictions on our ability to conduct clinical trials, including full or partial clinical holds on ongoing or planned trials;</w:t>
      </w:r>
    </w:p>
    <w:p>
      <w:pPr>
        <w:spacing w:after="0" w:line="58" w:lineRule="exact"/>
        <w:rPr>
          <w:rFonts w:ascii="Arial" w:cs="Arial" w:eastAsia="Arial" w:hAnsi="Arial"/>
          <w:sz w:val="20"/>
          <w:szCs w:val="20"/>
          <w:color w:val="auto"/>
        </w:rPr>
      </w:pPr>
    </w:p>
    <w:p>
      <w:pPr>
        <w:ind w:left="360" w:hanging="357"/>
        <w:spacing w:after="0"/>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restrictions on the products, manufacturers or manufacturing process;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warning or untitled letters;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civil and criminal penalties;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injunctions;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suspension or withdrawal of regulatory approvals;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product seizures, detentions or import bans;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voluntary or mandatory product recalls and publicity requirements;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total or partial suspension of production; and</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imposition of restrictions on operations, including costly new manufacturing requirements.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occurrence of any event or penalty described above may inhibit our ability to commercialize ensifentrine and generate revenue and could require us to expend significant time and resources in response and could generate negative publicity.</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addition,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9320"/>
          </w:cols>
          <w:pgMar w:left="1280" w:top="1229" w:right="1280" w:bottom="0" w:gutter="0" w:footer="0" w:header="0"/>
          <w:type w:val="continuous"/>
        </w:sectPr>
      </w:pPr>
    </w:p>
    <w:bookmarkStart w:id="55" w:name="page56"/>
    <w:bookmarkEnd w:id="55"/>
    <w:p>
      <w:pPr>
        <w:jc w:val="both"/>
        <w:spacing w:after="0" w:line="345" w:lineRule="auto"/>
        <w:rPr>
          <w:sz w:val="20"/>
          <w:szCs w:val="20"/>
          <w:color w:val="auto"/>
        </w:rPr>
      </w:pPr>
      <w:r>
        <w:rPr>
          <w:rFonts w:ascii="Arial" w:cs="Arial" w:eastAsia="Arial" w:hAnsi="Arial"/>
          <w:sz w:val="17"/>
          <w:szCs w:val="17"/>
          <w:b w:val="1"/>
          <w:bCs w:val="1"/>
          <w:i w:val="1"/>
          <w:iCs w:val="1"/>
          <w:color w:val="auto"/>
        </w:rPr>
        <w:t>The FDA and other foreign regulatory agencies actively enforce the laws and regulations prohibiting the promotion of off-label uses which may result in significant liability if we are found to have violated such laws.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ensifentrine is approved for any indication and we are found to have improperly promoted off-label uses for ensifentrine,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ensifentrine, if approved, we could become subject to significant liability, which would materially adversely affect our business and financial condition.</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Europe, off-label use is not per se regulated by the EU pharmaceutical legislation and a difference is made between the strict regulation of medicinal product and the use of medicinal products in medical practice. Off-label use is deferred to national regulation and may vary depending on the EU Member State(s).</w:t>
      </w:r>
    </w:p>
    <w:p>
      <w:pPr>
        <w:spacing w:after="0" w:line="50"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i w:val="1"/>
          <w:iCs w:val="1"/>
          <w:color w:val="auto"/>
        </w:rPr>
        <w:t>Even if we obtain marketing approval of ensifentrine for any indication in a major pharmaceutical market such as the United States or EU, we may never obtain approval or commercialize ensifentrine in other major markets, which would limit our ability to realize its full market potential.</w:t>
      </w:r>
    </w:p>
    <w:p>
      <w:pPr>
        <w:spacing w:after="0" w:line="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ensifentrine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any jurisdiction, whether in the EU, the United States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ensifentrine will be compromised.</w:t>
      </w:r>
    </w:p>
    <w:p>
      <w:pPr>
        <w:spacing w:after="0" w:line="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Our employees and independent contractors, including principal investigators, CROs, consultants, vendors and collaboration partners may engage in misconduct or other improper activities, including noncompliance with regulatory standards and requirements.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CROs, consultants, vendors and collaboration partners may engage in fraudulent conduct or other illegal activities. Misconduct by these parties could include intentional, reckless or negligent conduct or unauthorized activities that violate: (i) the laws and regulations of the FDA, the EU and other similar regulatory bodies and the EU, including those laws that require the reporting of true, complete and accurate information to such authorities; (ii) manufacturing standards; (iii) federal and state data privacy, security, fraud and abuse and other healthcare laws and regulations in the United States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w:t>
      </w:r>
    </w:p>
    <w:p>
      <w:pPr>
        <w:sectPr>
          <w:pgSz w:w="11880" w:h="15480" w:orient="portrait"/>
          <w:cols w:equalWidth="0" w:num="1">
            <w:col w:w="9320"/>
          </w:cols>
          <w:pgMar w:left="1280" w:top="1221" w:right="1280" w:bottom="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9320"/>
          </w:cols>
          <w:pgMar w:left="1280" w:top="1221" w:right="1280" w:bottom="0" w:gutter="0" w:footer="0" w:header="0"/>
          <w:type w:val="continuous"/>
        </w:sectPr>
      </w:pPr>
    </w:p>
    <w:bookmarkStart w:id="56" w:name="page57"/>
    <w:bookmarkEnd w:id="56"/>
    <w:p>
      <w:pPr>
        <w:jc w:val="both"/>
        <w:spacing w:after="0" w:line="269" w:lineRule="auto"/>
        <w:rPr>
          <w:sz w:val="20"/>
          <w:szCs w:val="20"/>
          <w:color w:val="auto"/>
        </w:rPr>
      </w:pPr>
      <w:r>
        <w:rPr>
          <w:rFonts w:ascii="Arial" w:cs="Arial" w:eastAsia="Arial" w:hAnsi="Arial"/>
          <w:sz w:val="18"/>
          <w:szCs w:val="18"/>
          <w:color w:val="auto"/>
        </w:rPr>
        <w:t>our business and results of operations, including the imposition of significant civil, criminal and administrative penalties, damages, monetary fines, disgorgements, possible exclusion from participation in Medicare, Medicaid and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4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7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w:t>
      </w:r>
    </w:p>
    <w:p>
      <w:pPr>
        <w:spacing w:after="0" w:line="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56"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9320"/>
          </w:cols>
          <w:pgMar w:left="1280" w:top="1229" w:right="1280" w:bottom="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Risks Related to Healthcare Laws and Other Legal Compliance Matters</w:t>
      </w:r>
    </w:p>
    <w:p>
      <w:pPr>
        <w:spacing w:after="0" w:line="22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Enacted and future legislation may increase the difficulty and cost for us to obtain marketing approval of and commercialize ensifentrine and may affect the prices we may set.</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United States,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changes the way healthcare is financed by both governmental and private insurers. Among the provisions of the ACA, those of greatest importance to the pharmaceutical and biotechnology industries include the following:</w:t>
      </w:r>
    </w:p>
    <w:p>
      <w:pPr>
        <w:spacing w:after="0" w:line="63" w:lineRule="exact"/>
        <w:rPr>
          <w:sz w:val="20"/>
          <w:szCs w:val="20"/>
          <w:color w:val="auto"/>
        </w:rPr>
      </w:pPr>
    </w:p>
    <w:p>
      <w:pPr>
        <w:jc w:val="both"/>
        <w:ind w:left="360" w:hanging="357"/>
        <w:spacing w:after="0" w:line="244" w:lineRule="auto"/>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74" w:lineRule="exact"/>
        <w:rPr>
          <w:rFonts w:ascii="Arial" w:cs="Arial" w:eastAsia="Arial" w:hAnsi="Arial"/>
          <w:sz w:val="20"/>
          <w:szCs w:val="20"/>
          <w:color w:val="auto"/>
        </w:rPr>
      </w:pPr>
    </w:p>
    <w:p>
      <w:pPr>
        <w:jc w:val="both"/>
        <w:ind w:left="360" w:hanging="357"/>
        <w:spacing w:after="0" w:line="284" w:lineRule="auto"/>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41" w:lineRule="exact"/>
        <w:rPr>
          <w:rFonts w:ascii="Arial" w:cs="Arial" w:eastAsia="Arial" w:hAnsi="Arial"/>
          <w:sz w:val="18"/>
          <w:szCs w:val="18"/>
          <w:color w:val="auto"/>
        </w:rPr>
      </w:pPr>
    </w:p>
    <w:p>
      <w:pPr>
        <w:ind w:left="360" w:hanging="357"/>
        <w:spacing w:after="0" w:line="315" w:lineRule="auto"/>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13" w:lineRule="exact"/>
        <w:rPr>
          <w:rFonts w:ascii="Arial" w:cs="Arial" w:eastAsia="Arial" w:hAnsi="Arial"/>
          <w:sz w:val="18"/>
          <w:szCs w:val="18"/>
          <w:color w:val="auto"/>
        </w:rPr>
      </w:pPr>
    </w:p>
    <w:p>
      <w:pPr>
        <w:ind w:left="360" w:hanging="357"/>
        <w:spacing w:after="0" w:line="260" w:lineRule="auto"/>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new methodology by which rebates owed by manufacturers under the Medicaid Drug Rebate Program are calculated for drugs that are inhaled, infused, instilled, implanted or injected;</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extension of a manufacturer’s Medicaid rebate liability to covered drugs dispensed to individuals who are enrolled in Medicaid managed care organizations;</w:t>
      </w:r>
    </w:p>
    <w:p>
      <w:pPr>
        <w:spacing w:after="0" w:line="5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4"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new Patient-Centered Outcomes Research Institute to oversee, identify priorities in, and conduct comparative clinical effectiveness research, along with funding for such research; and</w:t>
      </w:r>
    </w:p>
    <w:p>
      <w:pPr>
        <w:spacing w:after="0" w:line="5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establishment of a Center for Medicare and Medicaid Innovation at the Centers for Medicare and Medicaid Services, or CMS, to test innovative payment and service delivery models to lower Medicare and Medicaid spending, potentially including prescription drug spending.</w:t>
      </w:r>
    </w:p>
    <w:p>
      <w:pPr>
        <w:spacing w:after="0" w:line="7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For example, the Budget Control Act of 2011 has, among other things, led to aggregate reductions of Medicare payments to providers, which, due to subsequent legislative amendments to the statute, will remain in effect through 2032, with the exception of a temporary suspension from May 1, 2020 through March 31, 2022,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In addition, the American Rescue Plan Act of 2021 was signed into law, which eliminates the statutory Medicaid drug rebate cap, beginning January 1, 2024. The rebate was previously capped at 100% of a drug’s average manufacturer price. These laws and any laws enacted in the future may result in additional reductions in Medicare and other health care funding, which could have a material adverse effect on our customers and accordingly, our financial operations.</w:t>
      </w:r>
    </w:p>
    <w:p>
      <w:pPr>
        <w:sectPr>
          <w:pgSz w:w="11880" w:h="15480" w:orient="portrait"/>
          <w:cols w:equalWidth="0" w:num="1">
            <w:col w:w="9320"/>
          </w:cols>
          <w:pgMar w:left="1280" w:top="1222"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9320"/>
          </w:cols>
          <w:pgMar w:left="1280" w:top="1222" w:right="1280" w:bottom="0" w:gutter="0" w:footer="0" w:header="0"/>
          <w:type w:val="continuous"/>
        </w:sectPr>
      </w:pPr>
    </w:p>
    <w:bookmarkStart w:id="58" w:name="page59"/>
    <w:bookmarkEnd w:id="58"/>
    <w:p>
      <w:pPr>
        <w:jc w:val="both"/>
        <w:spacing w:after="0" w:line="258"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continue to penalize price increases that outpace inflation; and replaces the Part D coverage gap discount program with a new discounting program (beginning in 2025). The IRA permits the Secretary of the Department of Health and Human Services, or HHS, to implement many of these provisions through guidance, as opposed to regulation, for the initial years. HHS has and will continue to issue and update guidance as these programs are implemented. On August 29, 2023, HHS announced the list of the first ten drugs that will be subject to price negotiations, although the Medicare drug price negotiation program is currently subject to legal challenges. The impact of the IRA on the pharmaceutical industry cannot yet be fully determined but, is likely to be significant.</w:t>
      </w:r>
    </w:p>
    <w:p>
      <w:pPr>
        <w:spacing w:after="0" w:line="2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Further, the Biden administration released an additional executive order on October 14, 2022, directing HHS to submit a report within 90 days on how the Center for Medicare and Medicaid Innovation can be further leveraged to test new models for lowering drug costs for Medicare and Medicaid beneficiaries. In response to the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w:t>
      </w:r>
    </w:p>
    <w:p>
      <w:pPr>
        <w:spacing w:after="0" w:line="5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expect that additional U.S. federal healthcare reform measures will be adopted in the future, any of which could limit the amounts that the U.S. federal government will pay for healthcare products and services, which could result in reduced demand for ensifentrine or additional pricing pressures.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ensifentrine or put pressure on our product pricing.</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ensifentrine, if approved. In addition to continuing pressure on prices and cost containment measures, legislative developments at the EU or member state level may result in significant additional requirements or obstacles that may increase our operating costs. The delivery of health 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ensifentrine, restrict or regulate post-approval activities and affect our ability to commercialize ensifentrine, if approved. In international markets, reimbursement and healthcare payment systems vary significantly by country, and many countries have instituted price ceilings on specific products and therapies.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w:t>
      </w:r>
    </w:p>
    <w:p>
      <w:pPr>
        <w:spacing w:after="0" w:line="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9320"/>
          </w:cols>
          <w:pgMar w:left="1280" w:top="1229" w:right="1280" w:bottom="0" w:gutter="0" w:footer="0" w:header="0"/>
          <w:type w:val="continuous"/>
        </w:sectPr>
      </w:pPr>
    </w:p>
    <w:bookmarkStart w:id="59" w:name="page60"/>
    <w:bookmarkEnd w:id="59"/>
    <w:p>
      <w:pPr>
        <w:jc w:val="both"/>
        <w:spacing w:after="0" w:line="244" w:lineRule="auto"/>
        <w:rPr>
          <w:sz w:val="20"/>
          <w:szCs w:val="20"/>
          <w:color w:val="auto"/>
        </w:rPr>
      </w:pPr>
      <w:r>
        <w:rPr>
          <w:rFonts w:ascii="Arial" w:cs="Arial" w:eastAsia="Arial" w:hAnsi="Arial"/>
          <w:sz w:val="20"/>
          <w:szCs w:val="20"/>
          <w:color w:val="auto"/>
        </w:rPr>
        <w:t>continuing voluntary cooperation in other areas. Individual EU member states will continue to be responsible for assessing non-clinical (e.g., economic, social, ethical) aspects of health technology, and making decisions on pricing and reimbursement.</w:t>
      </w:r>
    </w:p>
    <w:p>
      <w:pPr>
        <w:spacing w:after="0" w:line="75"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ensifentrine may lose any regulatory approval that may have been obtained and we may not achieve or sustain profitability.</w:t>
      </w:r>
    </w:p>
    <w:p>
      <w:pPr>
        <w:spacing w:after="0" w:line="6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7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ensifentrine, if approved. Such laws include:</w:t>
      </w:r>
    </w:p>
    <w:p>
      <w:pPr>
        <w:spacing w:after="0" w:line="78" w:lineRule="exact"/>
        <w:rPr>
          <w:sz w:val="20"/>
          <w:szCs w:val="20"/>
          <w:color w:val="auto"/>
        </w:rPr>
      </w:pPr>
    </w:p>
    <w:p>
      <w:pPr>
        <w:jc w:val="both"/>
        <w:ind w:left="360" w:hanging="357"/>
        <w:spacing w:after="0" w:line="248" w:lineRule="auto"/>
        <w:tabs>
          <w:tab w:leader="none" w:pos="3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71" w:lineRule="exact"/>
        <w:rPr>
          <w:rFonts w:ascii="Arial" w:cs="Arial" w:eastAsia="Arial" w:hAnsi="Arial"/>
          <w:sz w:val="19"/>
          <w:szCs w:val="19"/>
          <w:color w:val="auto"/>
        </w:rPr>
      </w:pPr>
    </w:p>
    <w:p>
      <w:pPr>
        <w:jc w:val="both"/>
        <w:ind w:left="360" w:hanging="357"/>
        <w:spacing w:after="0" w:line="262" w:lineRule="auto"/>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62" w:lineRule="exact"/>
        <w:rPr>
          <w:rFonts w:ascii="Arial" w:cs="Arial" w:eastAsia="Arial" w:hAnsi="Arial"/>
          <w:sz w:val="18"/>
          <w:szCs w:val="18"/>
          <w:color w:val="auto"/>
        </w:rPr>
      </w:pPr>
    </w:p>
    <w:p>
      <w:pPr>
        <w:jc w:val="both"/>
        <w:ind w:left="360" w:hanging="357"/>
        <w:spacing w:after="0" w:line="234" w:lineRule="auto"/>
        <w:tabs>
          <w:tab w:leader="none" w:pos="3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2"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FDCA, which prohibits, among other things, the adulteration or misbranding of drugs, biologics and medical devices;</w:t>
      </w:r>
    </w:p>
    <w:p>
      <w:pPr>
        <w:spacing w:after="0" w:line="58" w:lineRule="exact"/>
        <w:rPr>
          <w:rFonts w:ascii="Arial" w:cs="Arial" w:eastAsia="Arial" w:hAnsi="Arial"/>
          <w:sz w:val="20"/>
          <w:szCs w:val="20"/>
          <w:color w:val="auto"/>
        </w:rPr>
      </w:pPr>
    </w:p>
    <w:p>
      <w:pPr>
        <w:jc w:val="both"/>
        <w:ind w:left="360" w:hanging="357"/>
        <w:spacing w:after="0" w:line="233" w:lineRule="auto"/>
        <w:tabs>
          <w:tab w:leader="none" w:pos="3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the physicians described above and their immediate family members;</w:t>
      </w:r>
    </w:p>
    <w:p>
      <w:pPr>
        <w:spacing w:after="0" w:line="80" w:lineRule="exact"/>
        <w:rPr>
          <w:rFonts w:ascii="Arial" w:cs="Arial" w:eastAsia="Arial" w:hAnsi="Arial"/>
          <w:sz w:val="20"/>
          <w:szCs w:val="20"/>
          <w:color w:val="auto"/>
        </w:rPr>
      </w:pPr>
    </w:p>
    <w:p>
      <w:pPr>
        <w:jc w:val="both"/>
        <w:ind w:left="360" w:hanging="357"/>
        <w:spacing w:after="0" w:line="269" w:lineRule="auto"/>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9320"/>
          </w:cols>
          <w:pgMar w:left="1280" w:top="1229" w:right="1280" w:bottom="0" w:gutter="0" w:footer="0" w:header="0"/>
          <w:type w:val="continuous"/>
        </w:sectPr>
      </w:pPr>
    </w:p>
    <w:bookmarkStart w:id="60" w:name="page61"/>
    <w:bookmarkEnd w:id="60"/>
    <w:p>
      <w:pPr>
        <w:jc w:val="both"/>
        <w:ind w:left="360"/>
        <w:spacing w:after="0" w:line="239" w:lineRule="auto"/>
        <w:rPr>
          <w:sz w:val="20"/>
          <w:szCs w:val="20"/>
          <w:color w:val="auto"/>
        </w:rPr>
      </w:pPr>
      <w:r>
        <w:rPr>
          <w:rFonts w:ascii="Arial" w:cs="Arial" w:eastAsia="Arial" w:hAnsi="Arial"/>
          <w:sz w:val="20"/>
          <w:szCs w:val="20"/>
          <w:color w:val="auto"/>
        </w:rPr>
        <w:t>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and</w:t>
      </w:r>
    </w:p>
    <w:p>
      <w:pPr>
        <w:spacing w:after="0" w:line="79" w:lineRule="exact"/>
        <w:rPr>
          <w:sz w:val="20"/>
          <w:szCs w:val="20"/>
          <w:color w:val="auto"/>
        </w:rPr>
      </w:pPr>
    </w:p>
    <w:p>
      <w:pPr>
        <w:jc w:val="both"/>
        <w:ind w:left="360" w:hanging="357"/>
        <w:spacing w:after="0" w:line="245" w:lineRule="auto"/>
        <w:tabs>
          <w:tab w:leader="none" w:pos="3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in the EU, interactions between pharmaceutical companies and health care professionals and health care organizations,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 Relationships with healthcare professionals and associations are subject to stringent anti-gift statutes and anti-bribery laws, the scope of which differs across the EU. In addition, national “Sunshine Acts” may require pharmaceutical companies to report/publish transfers of value provided to health care professionals and associations on a regular (e.g. annual) basis. Failure to comply with these requirements could result in reputational risk, public reprimands, administrative penalties, fines or imprisonment.</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Ensuring that our internal operations and business arrangements with third parties comply with applicable healthcare laws and regulations involves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a corporate integrity agreement or other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65"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7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United States, HIPAA, as amended by the Health Information Technology for Economic and Clinical Health Act of 2009, and regulations implemented thereunder, or collectively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We do not believe that we are currently acting as a covered entity or business associate under HIPAA and thus are not directly subject to its requirements or penalties. However,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9320"/>
          </w:cols>
          <w:pgMar w:left="1280" w:top="1229" w:right="1280" w:bottom="0" w:gutter="0" w:footer="0" w:header="0"/>
          <w:type w:val="continuous"/>
        </w:sectPr>
      </w:pPr>
    </w:p>
    <w:bookmarkStart w:id="61" w:name="page62"/>
    <w:bookmarkEnd w:id="61"/>
    <w:p>
      <w:pPr>
        <w:jc w:val="both"/>
        <w:spacing w:after="0" w:line="256" w:lineRule="auto"/>
        <w:rPr>
          <w:sz w:val="20"/>
          <w:szCs w:val="20"/>
          <w:color w:val="auto"/>
        </w:rPr>
      </w:pPr>
      <w:r>
        <w:rPr>
          <w:rFonts w:ascii="Arial" w:cs="Arial" w:eastAsia="Arial" w:hAnsi="Arial"/>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California enacted the California Consumer Privacy Act, (“CCPA”), which went into effect on January 1, 2020. The CCPA, among other things, creates data privacy obligations for covered companies and provides privacy rights to California consumers, including rights to access and delete their information, to opt out of certain information sharing, and receive detailed information about how their personal information is used. The CCPA also creates a private right of action with statutory damages for certain data breaches, thereby potentially increasing risks associated with a data breach. Although the law includes limited exceptions for health-related information, it may regulate or impact our processing of personal information depending on the context.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will likely result in increased privacy and information security enforcement.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also subject to diverse laws and regulations relating to data privacy and security in the EU and the EEA, including the General Data Protection Regulation (“GDPR”). The GDPR went into effect in May 2018 and imposes strict requirements for processing the personal data of individuals within the EEA. The GDPR imposes strict obligations on the ability to process health-related and other personal data of individuals within the EEA, including in relation to use, collection, analysis, and transfer (including cross-border transfer) of such personal data.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to fines, a breach of the GDPR may result in regulatory investigations, reputational damage, orders to cease/change our data processing activities, enforcement notices, assessment notices (for a compulsory audit) and/ or civil claims (including class actions).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Relatedly, since the beginning of 2021, following the United Kingdom’s withdrawal from the EEA and the European Union, and the expiry of the transition period, companies have had to comply with both the GDPR and the GDPR as incorporated into United Kingdom national law, the latter regime having the ability to separately fine up to the greater of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5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Compliance with applicable data protection laws and regulations could require us to take on more onerous obligations in our contracts, restrict our ability to collect, use and disclose data, or in some cases, impact our ability to operate in certain jurisdictions. Failure by us or our collaborators and third-party providers to comply with applicable data protection laws and regulations could result in government enforcement actions (which could include</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9320"/>
          </w:cols>
          <w:pgMar w:left="1280" w:top="1229" w:right="1280" w:bottom="0" w:gutter="0" w:footer="0" w:header="0"/>
          <w:type w:val="continuous"/>
        </w:sectPr>
      </w:pPr>
    </w:p>
    <w:bookmarkStart w:id="62" w:name="page63"/>
    <w:bookmarkEnd w:id="62"/>
    <w:p>
      <w:pPr>
        <w:jc w:val="both"/>
        <w:spacing w:after="0" w:line="248" w:lineRule="auto"/>
        <w:rPr>
          <w:sz w:val="20"/>
          <w:szCs w:val="20"/>
          <w:color w:val="auto"/>
        </w:rPr>
      </w:pPr>
      <w:r>
        <w:rPr>
          <w:rFonts w:ascii="Arial" w:cs="Arial" w:eastAsia="Arial" w:hAnsi="Arial"/>
          <w:sz w:val="19"/>
          <w:szCs w:val="19"/>
          <w:color w:val="auto"/>
        </w:rPr>
        <w:t>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results of operations and prospects.</w:t>
      </w:r>
    </w:p>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The increasing focus on environmental sustainability and social initiatives could increase our costs, harm our reputation and adversely impact our financial results.</w:t>
      </w:r>
    </w:p>
    <w:p>
      <w:pPr>
        <w:spacing w:after="0" w:line="57"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There has been increasing public focus by investors,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50" w:lineRule="exact"/>
        <w:rPr>
          <w:sz w:val="20"/>
          <w:szCs w:val="20"/>
          <w:color w:val="auto"/>
        </w:rPr>
      </w:pPr>
    </w:p>
    <w:p>
      <w:pPr>
        <w:jc w:val="both"/>
        <w:spacing w:after="0" w:line="321" w:lineRule="auto"/>
        <w:rPr>
          <w:sz w:val="20"/>
          <w:szCs w:val="20"/>
          <w:color w:val="auto"/>
        </w:rPr>
      </w:pPr>
      <w:r>
        <w:rPr>
          <w:rFonts w:ascii="Arial" w:cs="Arial" w:eastAsia="Arial" w:hAnsi="Arial"/>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12"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Our sub-contracted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incur significant costs associated with civil or criminal fines, penalties or other sanctions.</w:t>
      </w:r>
    </w:p>
    <w:p>
      <w:pPr>
        <w:spacing w:after="0" w:line="71"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9320"/>
          </w:cols>
          <w:pgMar w:left="1280" w:top="1229" w:right="1280" w:bottom="0" w:gutter="0" w:footer="0" w:header="0"/>
          <w:type w:val="continuous"/>
        </w:sectPr>
      </w:pPr>
    </w:p>
    <w:bookmarkStart w:id="63" w:name="page64"/>
    <w:bookmarkEnd w:id="63"/>
    <w:p>
      <w:pPr>
        <w:jc w:val="both"/>
        <w:spacing w:after="0" w:line="246" w:lineRule="auto"/>
        <w:rPr>
          <w:sz w:val="20"/>
          <w:szCs w:val="20"/>
          <w:color w:val="auto"/>
        </w:rPr>
      </w:pPr>
      <w:r>
        <w:rPr>
          <w:rFonts w:ascii="Arial" w:cs="Arial" w:eastAsia="Arial" w:hAnsi="Arial"/>
          <w:sz w:val="20"/>
          <w:szCs w:val="20"/>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7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 In particular, we engaged a number of clinical trial sites in Russia in connection with our Phase 3 ENHANCE clinical program and, with the ongoing conflict between Russia and Ukraine, and resulting sanctions imposed by the United States and other governments, there is an increased risk that our ability to pay clinical sites or conduct clinical trials in Russia, may be impacted.</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 consuming, require significant personnel resources and harm our reputation.</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Commercialization</w:t>
      </w:r>
    </w:p>
    <w:p>
      <w:pPr>
        <w:spacing w:after="0" w:line="227" w:lineRule="exact"/>
        <w:rPr>
          <w:sz w:val="20"/>
          <w:szCs w:val="20"/>
          <w:color w:val="auto"/>
        </w:rPr>
      </w:pPr>
    </w:p>
    <w:p>
      <w:pPr>
        <w:jc w:val="both"/>
        <w:spacing w:after="0" w:line="321" w:lineRule="auto"/>
        <w:rPr>
          <w:sz w:val="20"/>
          <w:szCs w:val="20"/>
          <w:color w:val="auto"/>
        </w:rPr>
      </w:pPr>
      <w:r>
        <w:rPr>
          <w:rFonts w:ascii="Arial" w:cs="Arial" w:eastAsia="Arial" w:hAnsi="Arial"/>
          <w:sz w:val="18"/>
          <w:szCs w:val="18"/>
          <w:b w:val="1"/>
          <w:bCs w:val="1"/>
          <w:i w:val="1"/>
          <w:iCs w:val="1"/>
          <w:color w:val="auto"/>
        </w:rPr>
        <w:t>We operate in a highly competitive and rapidly changing industry, which may result in others discovering, developing or commercializing competing products before or more successfully than we do.</w:t>
      </w:r>
    </w:p>
    <w:p>
      <w:pPr>
        <w:spacing w:after="0" w:line="1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If ensifentrine is approved for any indication, we will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U.S. and other jurisdictions. These organizations may have significantly greater resources than we do and conduct similar research, seek patent protection and establish collaborative arrangements for research, development, manufacturing and marketing of products that may compete with ensifentrine.</w:t>
      </w:r>
    </w:p>
    <w:p>
      <w:pPr>
        <w:spacing w:after="0" w:line="7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Given the number of products already on the market to treat COPD, asthma, CF and NCFBE, we expect to face intense competition if ensifentrine is approved for these indications. Companies including Boehringer Ingelheim, GlaxoSmithKline, AstraZeneca, Novartis, Vertex, Viatris, Theravance, Gilead and Genentech currently have treatments on the market for COPD, CF and asthma, and we anticipate that new companies will enter these markets in the future. While no treatments for NCFBE currently have marketing approval in the U.S. or EU, there are products in late-stage clinical development that could be approved in the future. If we successfully develop and commercialize ensifentrine for any indication, it will compete with existing therapies and new therapies that may become available in the future. The highly competitive nature of, and rapid technological changes in, the biopharmaceutical and pharmaceutical industries could render ensifentrine obsolete, less competitive or uneconomical. Our competitors may, among other things:</w:t>
      </w:r>
    </w:p>
    <w:p>
      <w:pPr>
        <w:sectPr>
          <w:pgSz w:w="11880" w:h="15480" w:orient="portrait"/>
          <w:cols w:equalWidth="0" w:num="1">
            <w:col w:w="9320"/>
          </w:cols>
          <w:pgMar w:left="1280" w:top="122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9320"/>
          </w:cols>
          <w:pgMar w:left="1280" w:top="1221" w:right="1280" w:bottom="0" w:gutter="0" w:footer="0" w:header="0"/>
          <w:type w:val="continuous"/>
        </w:sectPr>
      </w:pPr>
    </w:p>
    <w:bookmarkStart w:id="64" w:name="page65"/>
    <w:bookmarkEnd w:id="64"/>
    <w:p>
      <w:pPr>
        <w:jc w:val="both"/>
        <w:ind w:left="360" w:hanging="357"/>
        <w:spacing w:after="0" w:line="263" w:lineRule="auto"/>
        <w:tabs>
          <w:tab w:leader="none" w:pos="3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57" w:lineRule="exact"/>
        <w:rPr>
          <w:rFonts w:ascii="Arial" w:cs="Arial" w:eastAsia="Arial" w:hAnsi="Arial"/>
          <w:sz w:val="19"/>
          <w:szCs w:val="19"/>
          <w:color w:val="auto"/>
        </w:rPr>
      </w:pPr>
    </w:p>
    <w:p>
      <w:pPr>
        <w:ind w:left="360" w:hanging="357"/>
        <w:spacing w:after="0" w:line="260" w:lineRule="auto"/>
        <w:tabs>
          <w:tab w:leader="none" w:pos="3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develop and commercialize products that are safer, more effective, less expensive, more convenient or easier to administer, or have fewer or less severe side effects;</w:t>
      </w:r>
    </w:p>
    <w:p>
      <w:pPr>
        <w:spacing w:after="0" w:line="58" w:lineRule="exact"/>
        <w:rPr>
          <w:rFonts w:ascii="Arial" w:cs="Arial" w:eastAsia="Arial" w:hAnsi="Arial"/>
          <w:sz w:val="20"/>
          <w:szCs w:val="20"/>
          <w:color w:val="auto"/>
        </w:rPr>
      </w:pPr>
    </w:p>
    <w:p>
      <w:pPr>
        <w:ind w:left="360" w:hanging="357"/>
        <w:spacing w:after="0"/>
        <w:tabs>
          <w:tab w:leader="none" w:pos="3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obtain quicker regulatory approval;</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establish superior proprietary positions covering our products and technologies;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implement more effective approaches to sales, marketing and distribution; or</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form more advantageous strategic alliances.</w:t>
      </w:r>
    </w:p>
    <w:p>
      <w:pPr>
        <w:spacing w:after="0" w:line="10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any collaborators we may have may decide to market and sell products that compete with ensifentrine. Our commercial opportunity could be reduced or eliminated if our competitors develop and commercialize products that are more effective, have fewer or less severe side effects, are more convenient or are less expensive than ensifentrine. Our competitors may also obtain FDA or other regulatory approval for their product candidates more rapidly than we may obtain approval for ours, which could result in our competitors establishing or strengthening their market position before we are able to enter the market.</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successful commercialization of ensifentrine will depend in part on the extent to which governmental authorities and health insurers establish adequate coverage, reimbursement levels and pricing policies for ensifentrine. Failure to obtain or maintain adequate coverage and reimbursement for ensifentrine, if approved, could limit our ability to market ensifentrine and decrease our ability to generate revenue.</w:t>
      </w:r>
    </w:p>
    <w:p>
      <w:pPr>
        <w:spacing w:after="0" w:line="5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ensifentrine, assuming approval. Our ability to achieve acceptable levels of coverage and reimbursement by governmental authorities, private health insurers and other organizations will have an effect on our ability to successfully commercialize ensifentrine. Assuming we obtain coverage for ensifentrine by a third-party payor, the resulting reimbursement payment rates may not be adequate or may require co-payments that patients find unacceptably high. Moreover, for drugs and biologics administered under the supervision of a physician, obtaining coverage and adequate reimbursement may be particularly difficult because of the higher prices often associated with such products. We cannot be sure that coverage and reimbursement in the United States, the EU or elsewhere will be available for ensifentrine or any product that we may develop, and any reimbursement that may become available may be decreased or eliminated in the future.</w:t>
      </w:r>
    </w:p>
    <w:p>
      <w:pPr>
        <w:spacing w:after="0" w:line="61"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ensifentrine as substitutable and only offer to reimburse patients for the less expensive product. Even if we show improved efficacy or improved convenience of administration with ensifentrine, pricing of existing drugs may limit the amount we will be able to charge for ensifentrine. These payors may deny or revoke the reimbursement status of a given product or establish prices for new or existing marketed products at levels that are too low to enable us to realize an appropriate return on our investment in ensifentrine. If reimbursement is not available or is available only at limited levels, we may not be able to successfully commercialize ensifentrine, and may not be able to obtain a satisfactory financial return on ensifentrine.</w:t>
      </w:r>
    </w:p>
    <w:p>
      <w:pPr>
        <w:spacing w:after="0" w:line="7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ensifentrine.</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9320"/>
          </w:cols>
          <w:pgMar w:left="1280" w:top="1229" w:right="1280" w:bottom="0" w:gutter="0" w:footer="0" w:header="0"/>
          <w:type w:val="continuous"/>
        </w:sectPr>
      </w:pPr>
    </w:p>
    <w:bookmarkStart w:id="65" w:name="page66"/>
    <w:bookmarkEnd w:id="65"/>
    <w:p>
      <w:pPr>
        <w:jc w:val="both"/>
        <w:spacing w:after="0" w:line="245" w:lineRule="auto"/>
        <w:rPr>
          <w:sz w:val="20"/>
          <w:szCs w:val="20"/>
          <w:color w:val="auto"/>
        </w:rPr>
      </w:pPr>
      <w:r>
        <w:rPr>
          <w:rFonts w:ascii="Arial" w:cs="Arial" w:eastAsia="Arial" w:hAnsi="Arial"/>
          <w:sz w:val="19"/>
          <w:szCs w:val="19"/>
          <w:color w:val="auto"/>
        </w:rPr>
        <w:t>Obtaining and maintaining reimbursement status is time 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ensifentrine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Specifically, we believe that ensifentrine will be reimbursed either under Medicare Part B or Medicare Advantage programs, and changes within how products are reimbursed under these programs could occur and those changes may affect the overall coverage of ensifentrine in the future.</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ensifentrine.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ensifentrine. Accordingly, in markets outside the United States, the reimbursement for ensifentrine may be reduced compared with the United States and may be insufficient to generate commercially reasonable revenue and profits.</w:t>
      </w:r>
    </w:p>
    <w:p>
      <w:pPr>
        <w:spacing w:after="0" w:line="7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ensifentrine. We expect to experience pricing pressures in connection with the sale of ensifentrine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addition, even if a pharmaceutical product obtains a marketing authorization in the EU, there can be no assurance that reimbursement for such product will be secured on a timely basis or at all.</w:t>
      </w:r>
    </w:p>
    <w:p>
      <w:pPr>
        <w:spacing w:after="0" w:line="5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Ensifentrine may not gain market acceptance, in which case our ability to generate product revenues will be compromised.</w:t>
      </w:r>
    </w:p>
    <w:p>
      <w:pPr>
        <w:spacing w:after="0" w:line="5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Even if the FDA or any other regulatory authority approves the marketing of ensifentrine, whether developed on our own or with a collaborator, physicians, healthcare providers, patients or the medical community may not accept or use ensifentrine. If ensifentrine does not achieve an adequate level of acceptance, we may not generate significant product revenues or any profits from operations. The degree of market acceptance of ensifentrine will depend on a variety of factors, including:</w:t>
      </w:r>
    </w:p>
    <w:p>
      <w:pPr>
        <w:spacing w:after="0" w:line="78" w:lineRule="exact"/>
        <w:rPr>
          <w:sz w:val="20"/>
          <w:szCs w:val="20"/>
          <w:color w:val="auto"/>
        </w:rPr>
      </w:pPr>
    </w:p>
    <w:p>
      <w:pPr>
        <w:ind w:left="360" w:hanging="357"/>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timing of market introduction;</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number and clinical profile of competing products;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clinical indications for which ensifentrine is approved;</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our ability to provide acceptable evidence of safety and efficacy;</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prevalence and severity of any side effects;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relative convenience, frequency, and ease of administration;</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cost effectiveness;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marketing, sales, and distribution support;</w:t>
      </w:r>
    </w:p>
    <w:p>
      <w:pPr>
        <w:spacing w:after="0" w:line="10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availability of adequate coverage, reimbursement and adequate payment from health maintenance organizations and other insurers, both public and private; and</w:t>
      </w:r>
    </w:p>
    <w:p>
      <w:pPr>
        <w:spacing w:after="0" w:line="58" w:lineRule="exact"/>
        <w:rPr>
          <w:rFonts w:ascii="Arial" w:cs="Arial" w:eastAsia="Arial" w:hAnsi="Arial"/>
          <w:sz w:val="20"/>
          <w:szCs w:val="20"/>
          <w:color w:val="auto"/>
        </w:rPr>
      </w:pPr>
    </w:p>
    <w:p>
      <w:pPr>
        <w:ind w:left="360" w:hanging="357"/>
        <w:spacing w:after="0"/>
        <w:tabs>
          <w:tab w:leader="none" w:pos="3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other potential advantages over alternative treatment methods.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ensifentrine fails to gain market acceptance, this will adversely impact our ability to generate revenues. Even if ensifentrine achieves market acceptance, the market may prove not to be large enough to allow us to generate significant revenues.</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9320"/>
          </w:cols>
          <w:pgMar w:left="1280" w:top="1229" w:right="1280" w:bottom="0" w:gutter="0" w:footer="0" w:header="0"/>
          <w:type w:val="continuous"/>
        </w:sectPr>
      </w:pPr>
    </w:p>
    <w:bookmarkStart w:id="66" w:name="page67"/>
    <w:bookmarkEnd w:id="66"/>
    <w:p>
      <w:pPr>
        <w:jc w:val="both"/>
        <w:spacing w:after="0" w:line="297" w:lineRule="auto"/>
        <w:rPr>
          <w:sz w:val="20"/>
          <w:szCs w:val="20"/>
          <w:color w:val="auto"/>
        </w:rPr>
      </w:pPr>
      <w:r>
        <w:rPr>
          <w:rFonts w:ascii="Arial" w:cs="Arial" w:eastAsia="Arial" w:hAnsi="Arial"/>
          <w:sz w:val="17"/>
          <w:szCs w:val="17"/>
          <w:b w:val="1"/>
          <w:bCs w:val="1"/>
          <w:i w:val="1"/>
          <w:iCs w:val="1"/>
          <w:color w:val="auto"/>
        </w:rPr>
        <w:t>We are currently developing our commercial capabilities and infrastructure, including sales, marketing, operations, distribution, and reimbursement infrastructure. If we are not successful in developing commercial capabilities and infrastructure, including sales, marketing, operations, distribution and reimbursement capabilities on our own or through collaborations, we may not be successful in commercializing ensifentrine.</w:t>
      </w:r>
    </w:p>
    <w:p>
      <w:pPr>
        <w:spacing w:after="0" w:line="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developing sales, marketing, and operations, distribution and reimbursement capabilities and infrastructure and we have not previously marketed, sold or distributed pharmaceutical products. The establishment of commercial capabilities and infrastructure, including sales, marketing, operations, distribution, and reimbursement with technical expertise and supporting distribution capabilities to commercialize ensifentrine, is expensive and time consuming. Some or all of these costs are incurred in advance of any approval of ensifentrine. In addition, we may not be able to hire a sales force that is sufficient in size or has adequate expertise in the medical markets that we intend to target. Any failure or delay in the development of our internal sales, marketing and distribution capabilities on our own or through collaborations would adversely impact the commercialization of ensifentrine.</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To the extent that we enter into collaboration agreements with respect to marketing, sales or distribution, our product revenue may be lower than if we directly marketed or sold ensifentrine, if approved.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ensifentrine. If we are not successful in commercializing ensifentrine, either on our own or through collaborations with one or more third parties, our future product revenue will suffer and we may incur significant additional losses.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Dependence on Third Parties</w:t>
      </w: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 for or commercialize ensifentrine and our business could be substantially harmed.</w:t>
      </w:r>
    </w:p>
    <w:p>
      <w:pPr>
        <w:spacing w:after="0" w:line="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CROs or if we or any of our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provide assurance that upon a regulatory inspection of us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and similar foreign regulations. Our failure to comply with these regulations may require us to repeat clinical trials, which would delay the regulatory approval process.</w:t>
      </w:r>
    </w:p>
    <w:p>
      <w:pPr>
        <w:spacing w:after="0" w:line="29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ensifentrine and clinical trials. If independent investigators or CROs fail to devote sufficient resources to the development of ensifentrine, or if their performance is substandard, it may delay or compromise the prospects for approval and commercialization of ensifentrine. In addition, the use of third-party service providers requires us to disclose our proprietary information to these parties, which could increase the risk that this information will be misappropriated.</w:t>
      </w:r>
    </w:p>
    <w:p>
      <w:pPr>
        <w:spacing w:after="0" w:line="5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ectPr>
          <w:pgSz w:w="11880" w:h="15480" w:orient="portrait"/>
          <w:cols w:equalWidth="0" w:num="1">
            <w:col w:w="9320"/>
          </w:cols>
          <w:pgMar w:left="1280" w:top="122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9320"/>
          </w:cols>
          <w:pgMar w:left="1280" w:top="1221" w:right="1280" w:bottom="0" w:gutter="0" w:footer="0" w:header="0"/>
          <w:type w:val="continuous"/>
        </w:sectPr>
      </w:pPr>
    </w:p>
    <w:bookmarkStart w:id="67" w:name="page68"/>
    <w:bookmarkEnd w:id="67"/>
    <w:p>
      <w:pPr>
        <w:jc w:val="both"/>
        <w:spacing w:after="0" w:line="260"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to do so on commercially reasonable terms. Switching or adding CROs involves additional cost and requires management’s time and focus. In addition, there is a natural transition period when a new CRO commences work. As a result, delays could occur, which could materially impact our ability to meet our desired clinical development timelines. In addition, if our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commercialize, ensifentrine. As a result, our results of operations and the commercial prospects for ensifentrine would be harmed, our costs could increase and our ability to generate revenues could be delayed.</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b w:val="1"/>
          <w:bCs w:val="1"/>
          <w:i w:val="1"/>
          <w:iCs w:val="1"/>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6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entered into a collaboration and license agreement with Nuance Pharma effective June 9, 2021 (the “Nuance Agreement”) under which we granted Nuance Pharma the exclusive rights to develop and commercialize products containing ensifentrine (the “Nuance Licensed Products”) in Greater China (China, Taiwan, Hong Kong and Macau).</w:t>
      </w:r>
    </w:p>
    <w:p>
      <w:pPr>
        <w:spacing w:after="0" w:line="7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50"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Termination of the Nuance Agreement could cause significant setbacks in our ability to develop and commercialize the Nuance Licensed Products in Greater China. Any suitable alternative collaboration or license agreement would take considerable time to negotiate and could also be on less favorable terms to us. In addition, under the Nuance Agreement, Nuance Pharma agreed to assume all costs related to clinical development and commercialization of the Nuance Licensed Products in Greater China. If the Nuance Agreement were to be terminated, and whether or not we identify another suitable collaborator, we may need to seek additional financing to support the clinical development and commercialization of the Nuance Licensed Products in Greater China, which could have a material adverse effect on our business.</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Nuance Agreement, we are dependent upon Nuance Pharma to successfully develop and commercialize Nuance Licensed Products. Although we have formed a joint steering committee with Nuance Pharma to oversee and coordinate the overall conduct of the clinical development and commercialization of the Nuance Licensed Products in Greater China, we do not control all aspects of Nuance Pharma’s development and commercialization or the resources it allocates to the development of the Nuance Licensed Products identified under the Nuance Agreement. Our interests and Nuance Pharma’s interests may differ or conflict from time to time, or we may disagree with Nuance Pharma’s level of effort or resource allocation. Nuance Pharma may internally prioritize programs under development within the collaboration differently than we would, or it may not allocate sufficient resources to effectively or optimally develop or commercialize the Nuance Licensed Products. If these events were to occur, our ability to receive revenue from the commercialization of the Nuance Licensed Products would be reduced, and our business would be adversely affected. In addition, under the Nuance Agreement, we have an obligation to supply Nuance Pharma with the ensifentrine drug product for their development and commercialization activities in Greater China and if our supply price is too high, the price at which Nuance Pharma sells the drug product in Greater China may not be competitive, which could have a material adverse effect on Nuance Pharma’s ability to successfully commercialize Nuance Licensed Products and the returns that we generate under the Nuance Agreement. Furthermore, the safety and/or efficacy data from Nuance Pharma’s clinical development activities could for various reasons differ from our data and could potentially impact our clinical development and commercialization activities, including our ability to obtain regulatory approval of ensifentrine in the United States and other countries.</w:t>
      </w:r>
    </w:p>
    <w:p>
      <w:pPr>
        <w:spacing w:after="0" w:line="28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If we fail to enter into new strategic relationships for ensifentrine, our business, research and development and commercialization prospects could be adversely affected.</w:t>
      </w:r>
    </w:p>
    <w:p>
      <w:pPr>
        <w:spacing w:after="0" w:line="5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development program for ensifentrine and the potential commercialization of ensifentrine will require substantial additional cash to fund expenses. Therefore, we may decide to enter into collaborations with pharmaceutical or biopharmaceutical companies for the development and potential commercialization of</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9320"/>
          </w:cols>
          <w:pgMar w:left="1280" w:top="1229" w:right="1280" w:bottom="0" w:gutter="0" w:footer="0" w:header="0"/>
          <w:type w:val="continuous"/>
        </w:sectPr>
      </w:pPr>
    </w:p>
    <w:bookmarkStart w:id="68" w:name="page69"/>
    <w:bookmarkEnd w:id="68"/>
    <w:p>
      <w:pPr>
        <w:jc w:val="both"/>
        <w:spacing w:after="0" w:line="286" w:lineRule="auto"/>
        <w:rPr>
          <w:sz w:val="20"/>
          <w:szCs w:val="20"/>
          <w:color w:val="auto"/>
        </w:rPr>
      </w:pPr>
      <w:r>
        <w:rPr>
          <w:rFonts w:ascii="Arial" w:cs="Arial" w:eastAsia="Arial" w:hAnsi="Arial"/>
          <w:sz w:val="19"/>
          <w:szCs w:val="19"/>
          <w:color w:val="auto"/>
        </w:rPr>
        <w:t>ensifentrine. For example, we may seek a collaborator for development of our DPI or pMDI formulation of ensifentrine for the maintenance treatment of COPD and potentially asthma and other respiratory diseases.</w:t>
      </w:r>
    </w:p>
    <w:p>
      <w:pPr>
        <w:spacing w:after="0" w:line="3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ensifentrine, reduce or delay its development program,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ensifentrine to market and generate product revenue. If we do enter into a collaboration agreement, we could be subject to the following risks, among others, any of which could adversely affect our ability to develop and commercialize ensifentrine:</w:t>
      </w:r>
    </w:p>
    <w:p>
      <w:pPr>
        <w:spacing w:after="0" w:line="61" w:lineRule="exact"/>
        <w:rPr>
          <w:sz w:val="20"/>
          <w:szCs w:val="20"/>
          <w:color w:val="auto"/>
        </w:rPr>
      </w:pPr>
    </w:p>
    <w:p>
      <w:pPr>
        <w:ind w:left="360" w:hanging="357"/>
        <w:spacing w:after="0" w:line="260" w:lineRule="auto"/>
        <w:tabs>
          <w:tab w:leader="none" w:pos="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we may not be able to control the amount and timing of resources that the collaborator devotes to the development of ensifentrine;</w:t>
      </w:r>
    </w:p>
    <w:p>
      <w:pPr>
        <w:spacing w:after="0" w:line="58" w:lineRule="exact"/>
        <w:rPr>
          <w:rFonts w:ascii="Arial" w:cs="Arial" w:eastAsia="Arial" w:hAnsi="Arial"/>
          <w:sz w:val="20"/>
          <w:szCs w:val="20"/>
          <w:color w:val="auto"/>
        </w:rPr>
      </w:pPr>
    </w:p>
    <w:p>
      <w:pPr>
        <w:ind w:left="360" w:hanging="357"/>
        <w:spacing w:after="0"/>
        <w:tabs>
          <w:tab w:leader="none" w:pos="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collaborator may experience financial difficulties;</w:t>
      </w:r>
    </w:p>
    <w:p>
      <w:pPr>
        <w:spacing w:after="0" w:line="10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we may be required to relinquish important rights such as marketing, distribution and intellectual property rights;</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 collaborator could move forward with a competing product developed either independently or in collaboration with third parties, including our competitors;</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safety and/or efficacy data from a collaborator’s clinical development activities may conflict with our data and could potentially impact our global clinical development and commercialization activities;</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 collaborator may unlawfully use or disclose confidential information and materials in breach of confidentiality obligations to us;</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business combinations or significant changes in a collaborator’s business strategy may adversely affect our willingness to complete our obligations under any arrangement;</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we or a collaborator could fail to adequately perform our obligations under the agreement and/or the agreement could fall into dispute;</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we may be involved in lawsuits to protect or enforce patents covering ensifentrine, or relating to the terms of our collaborations, which could be expensive, time consuming and unsuccessful; or</w:t>
      </w:r>
    </w:p>
    <w:p>
      <w:pPr>
        <w:spacing w:after="0" w:line="5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collaboration may not provide sufficient funds to be profitable for us after we fulfill our payment liabilities under our agreement with Ligand Pharmaceuticals, Inc., or Ligand, which acquired Vernalis Development Limited, or Vernalis, in October 2018.</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and the development of ensifentrine. Moreover, we intend to rely on third parties to produce commercial supplies of ensifentrine, if approved, and commercialization could be stopped, delayed or made less profitable if those third parties fail to obtain the necessary approvals from the FDA or comparable regulatory authorities, fail to provide us with sufficient quantities of product in a timely manner or fail to do so at acceptable quality levels or prices or fail to otherwise complete their duties in compliance with their obligations to us or other parties.</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do not own facilities for manufacturing ensifentrine and its derived formulated products. Instead, we rely on and expect to continue to rely on third-party contract manufacturing organizations (“CMOs”), for the supply of cGMP-or GMP-grade clinical trial materials and commercial quantities of ensifentrine and its derived formulated products, if approved. While we may contract with other CMOs in the future, we currently have one CMO for the manufacture of ensifentrine drug substance and one CMO for each formulation of ensifentrine. The facilities used to manufacture ensifentrine and its derived formulated products must be approved by the FDA pursuant to inspections that will be conducted after we submit an NDA to the FDA, and by comparable foreign regulatory authorities for approvals outside the United States. While we provide sponsor oversight of manufacturing activities, we do not and will not directly control the manufacturing process of, and are or will be essentially dependent on, our CMOs for compliance with cGMP and similar foreign requirements for the manufacture of ensifentrine and its derived formulated</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9320"/>
          </w:cols>
          <w:pgMar w:left="1280" w:top="1229" w:right="1280" w:bottom="0" w:gutter="0" w:footer="0" w:header="0"/>
          <w:type w:val="continuous"/>
        </w:sectPr>
      </w:pPr>
    </w:p>
    <w:bookmarkStart w:id="69" w:name="page70"/>
    <w:bookmarkEnd w:id="69"/>
    <w:p>
      <w:pPr>
        <w:jc w:val="both"/>
        <w:spacing w:after="0" w:line="257" w:lineRule="auto"/>
        <w:rPr>
          <w:sz w:val="20"/>
          <w:szCs w:val="20"/>
          <w:color w:val="auto"/>
        </w:rPr>
      </w:pPr>
      <w:r>
        <w:rPr>
          <w:rFonts w:ascii="Arial" w:cs="Arial" w:eastAsia="Arial" w:hAnsi="Arial"/>
          <w:sz w:val="18"/>
          <w:szCs w:val="18"/>
          <w:color w:val="auto"/>
        </w:rPr>
        <w:t>products. If a CMO cannot successfully manufacture material that conforms to our specifications and the regulatory requirements of the FDA or a comparable foreign regulatory authority, it will not be able to secure or maintain regulatory approval for the manufacture of ensifentrine and its derived formulated products in its manufacturing facilities. In addition, we have little direct control over the ability of a CMO to maintain adequate quality control, quality assurance and qualified personnel. If the FDA or a comparable foreign regulatory authority does not approve these facilities for the manufacture of ensifentrine and its derived formulated products or if it withdraws any such approval in the future, we may need to find alternative manufacturing facilities, which would delay our development program and significantly impact our ability to develop, obtain regulatory approval for or market ensifentrine and its derived formulated products, if approved. In addition, any failure to achieve and maintain compliance with these laws, regulations and standards could subject us to the risk that we may have to suspend the manufacture of ensifentrine and its derived formulated products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ensifentrine and its derived formulated products means that we are subject to the risk that ensifentrine and its derived formulated products may have manufacturing defects that we have limited ability to prevent, detect or control.</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and will continue to rely on CMOs to purchase from third-party suppliers the materials necessary to produce ensifentrine and its derived formulated products and the inhalation and nebulization devices to deliver ensifentrine. We do not and will not have any direct control over the process or timing of the acquisition and delivery of these supplies by any CMO or its third-party suppliers, or the quality or quantity of such supplies. These supplies could be interrupted from time to time and, if interrupted, we cannot be certain that alternative supplies could be obtained within a reasonable timeframe, at an acceptable cost or quality, or at all. There are a limited number of suppliers for the raw materials that we may use to manufacture ensifentrine and for the drug delivery devices (e.g. nebulizers) that we use for clinical trials with ensifentrine, and we will need to assess alternate suppliers to prevent a possible disruption to our clinical trials, and if approved, ultimately to commercial sales. Although we generally do not begin a clinical trial unless we believe we have on hand, or will be able to obtain, a sufficient supply of ensifentrine to complete the clinical trial, any significant delay in the supply of ensifentrine drug products, or the raw material components needed to produce, or devices needed to deliver, ensifentrine, for an ongoing clinical trial due to our CMOs or their third-party suppliers could considerably delay completion of our clinical trials, product testing and potential regulatory approval of ensifentrine. If our CMOs, their third-party supplies, or we are unable to purchase these supplies after regulatory approval has been obtained for ensifentrine, the commercial launch of ensifentrine would be delayed or there would be a shortage in supply, which would impair our ability to generate revenues from the sale of ensifentrine. In addition, growth in the costs and expenses of these supplies may impair our ability to cost-effectively manufacture ensifentrine. Additionally, CMOs are experiencing labor constraints which could impact their ability to manufacture and deliver ensifentrine.</w:t>
      </w:r>
    </w:p>
    <w:p>
      <w:pPr>
        <w:spacing w:after="0" w:line="6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We rely and will continue to rely on CMOs and third-party suppliers to comply with and respect the proprietary rights of others in conducting their contractual obligations for us. If a CMO or third-party suppliers fails to acquire the proper licenses or otherwise infringes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ensifentrine and any of its derived formulated products, if approved.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Intellectual Property and Information Technology</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We rely on patents and other intellectual property rights to protect ensifentrine, the enforcement, defense and maintenance of which may be challenging and costly. Failure to enforce or protect these rights adequately could harm our ability to compete and impair our business.</w:t>
      </w:r>
    </w:p>
    <w:p>
      <w:pPr>
        <w:spacing w:after="0" w:line="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commercial success depends in part on obtaining and maintaining patents and other forms of intellectual property rights for ensifentrine, formulations of ensifentrine, polymorphs, salts and analogs of ensifentrine, methods used to manufacture ensifentrine, methods for manufacturing of final drug product for different inhalation devices such as nebulizer, DPI, pMDI, and the methods for treating patients with respiratory diseases using ensifentrine alone or in combination with other available products, or on in-licensing such rights. The registrations of the assignment of each of these patents and patent applications with the relevant authorities in certain jurisdictions in which the patent and patent applications are registered have been granted, but there is no assurance that any</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9320"/>
          </w:cols>
          <w:pgMar w:left="1280" w:top="1229" w:right="1280" w:bottom="0" w:gutter="0" w:footer="0" w:header="0"/>
          <w:type w:val="continuous"/>
        </w:sectPr>
      </w:pPr>
    </w:p>
    <w:bookmarkStart w:id="70" w:name="page71"/>
    <w:bookmarkEnd w:id="70"/>
    <w:p>
      <w:pPr>
        <w:jc w:val="both"/>
        <w:spacing w:after="0" w:line="244" w:lineRule="auto"/>
        <w:rPr>
          <w:sz w:val="20"/>
          <w:szCs w:val="20"/>
          <w:color w:val="auto"/>
        </w:rPr>
      </w:pPr>
      <w:r>
        <w:rPr>
          <w:rFonts w:ascii="Arial" w:cs="Arial" w:eastAsia="Arial" w:hAnsi="Arial"/>
          <w:sz w:val="20"/>
          <w:szCs w:val="20"/>
          <w:color w:val="auto"/>
        </w:rPr>
        <w:t>additional registrations will be effected in a timely manner or at all. Failure to protect or to obtain, maintain or extend adequate patent and other intellectual property rights could adversely affect our ability to develop and market ensifentrine.</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provide assurance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ensifentrine,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28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Because patent applications are confidential for a period of time after filing, and some remain so until issued, we cannot be certain that we or our licensors were the first to file any patent application related to ensifentrine. 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70" w:lineRule="exact"/>
        <w:rPr>
          <w:sz w:val="20"/>
          <w:szCs w:val="20"/>
          <w:color w:val="auto"/>
        </w:rPr>
      </w:pPr>
    </w:p>
    <w:p>
      <w:pPr>
        <w:jc w:val="both"/>
        <w:spacing w:after="0" w:line="347" w:lineRule="auto"/>
        <w:rPr>
          <w:sz w:val="20"/>
          <w:szCs w:val="20"/>
          <w:color w:val="auto"/>
        </w:rPr>
      </w:pPr>
      <w:r>
        <w:rPr>
          <w:rFonts w:ascii="Arial" w:cs="Arial" w:eastAsia="Arial" w:hAnsi="Arial"/>
          <w:sz w:val="17"/>
          <w:szCs w:val="17"/>
          <w:b w:val="1"/>
          <w:bCs w:val="1"/>
          <w:i w:val="1"/>
          <w:iCs w:val="1"/>
          <w:color w:val="auto"/>
        </w:rPr>
        <w:t>We may not identify relevant third-party patents or may incorrectly interpret the relevance, scope or expiration of a third-party patent which might adversely affect our ability to develop, manufacture and market ensifentrine.</w:t>
      </w:r>
    </w:p>
    <w:p>
      <w:pPr>
        <w:jc w:val="both"/>
        <w:spacing w:after="0" w:line="257" w:lineRule="auto"/>
        <w:rPr>
          <w:sz w:val="20"/>
          <w:szCs w:val="20"/>
          <w:color w:val="auto"/>
        </w:rPr>
      </w:pPr>
      <w:r>
        <w:rPr>
          <w:rFonts w:ascii="Arial" w:cs="Arial" w:eastAsia="Arial" w:hAnsi="Arial"/>
          <w:sz w:val="18"/>
          <w:szCs w:val="18"/>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ensifentrine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ensifentrine could have been filed by others without our knowledge. Additionally, pending patent applications that have been published can, subject to certain limitations, be later amended in a manner that could cover ensifentrine or the use of ensifentrine.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ensifentrine. We may incorrectly determine that ensifentrine is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ensifentrine. Our failure to identify and correctly interpret relevant patents may negatively impact our ability to develop and market ensifentrine.</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9320"/>
          </w:cols>
          <w:pgMar w:left="1280" w:top="1229" w:right="1280" w:bottom="0" w:gutter="0" w:footer="0" w:header="0"/>
          <w:type w:val="continuous"/>
        </w:sectPr>
      </w:pPr>
    </w:p>
    <w:bookmarkStart w:id="71" w:name="page72"/>
    <w:bookmarkEnd w:id="71"/>
    <w:p>
      <w:pPr>
        <w:jc w:val="both"/>
        <w:spacing w:after="0" w:line="234" w:lineRule="auto"/>
        <w:rPr>
          <w:sz w:val="20"/>
          <w:szCs w:val="20"/>
          <w:color w:val="auto"/>
        </w:rPr>
      </w:pPr>
      <w:r>
        <w:rPr>
          <w:rFonts w:ascii="Arial" w:cs="Arial" w:eastAsia="Arial" w:hAnsi="Arial"/>
          <w:sz w:val="20"/>
          <w:szCs w:val="20"/>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ensifentrine. We might, if possible, also be forced to redesign ensifentrine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7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We may be involved in lawsuits to protect or enforce patents covering ensifentrine, which could be expensive, time consuming and unsuccessful, and issued patents could be found invalid or unenforceable if challenged in court.</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 consuming and expensive, we may fail in enforcing our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ensifentrine, and then compete directly with us, without payment to us. If we in-license intellectual property rights, our 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If we were to initiate legal proceedings against a third party to enforce a patent covering one of our products, the defendant could counterclaim that our patent is invalid or unenforceable. In patent litigation in the United States or in Europe,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ensifentrine. Patents and other intellectual property rights also will not protect our technology if competitors design around our protected technology without infringing our patents or other intellectual property rights.</w:t>
      </w:r>
    </w:p>
    <w:p>
      <w:pPr>
        <w:spacing w:after="0" w:line="77"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industry commentators or investors perceive these results to be negative, it could have an adverse effect on the price of our ADSs.</w:t>
      </w:r>
    </w:p>
    <w:p>
      <w:pPr>
        <w:spacing w:after="0" w:line="63" w:lineRule="exact"/>
        <w:rPr>
          <w:sz w:val="20"/>
          <w:szCs w:val="20"/>
          <w:color w:val="auto"/>
        </w:rPr>
      </w:pPr>
    </w:p>
    <w:p>
      <w:pPr>
        <w:jc w:val="both"/>
        <w:spacing w:after="0" w:line="321"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commercial success depends, in part, upon our ability, and the ability of our future collaborators, to develop, manufacture, market and sell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ensifentrine.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9320"/>
          </w:cols>
          <w:pgMar w:left="1280" w:top="1229" w:right="1280" w:bottom="0" w:gutter="0" w:footer="0" w:header="0"/>
          <w:type w:val="continuous"/>
        </w:sectPr>
      </w:pPr>
    </w:p>
    <w:bookmarkStart w:id="72" w:name="page73"/>
    <w:bookmarkEnd w:id="72"/>
    <w:p>
      <w:pPr>
        <w:jc w:val="both"/>
        <w:spacing w:after="0" w:line="260" w:lineRule="auto"/>
        <w:rPr>
          <w:sz w:val="20"/>
          <w:szCs w:val="20"/>
          <w:color w:val="auto"/>
        </w:rPr>
      </w:pPr>
      <w:r>
        <w:rPr>
          <w:rFonts w:ascii="Arial" w:cs="Arial" w:eastAsia="Arial" w:hAnsi="Arial"/>
          <w:sz w:val="20"/>
          <w:szCs w:val="20"/>
          <w:color w:val="auto"/>
        </w:rPr>
        <w:t>and more patents are issued, the risk increases that ensifentrine may be subject to claims of infringement of the intellectual property rights of third parties.</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in the future become party to, or be threatened with, adversarial proceedings or litigation regarding intellectual property rights with respect to ensifentrine and any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ensifentrine or from selling, incorporating, manufacturing or using our products in the United States and/or other jurisdictions that use the subject intellectual property. We might, if possible, also be forced to redesign ensifentrine so that we no longer infringe the third-party intellectual property rights, which may result in significant cost or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6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3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Intellectual property litigation could cause us to spend substantial resources and distract our personnel from their normal responsibilities.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perceptions could have a substantial adverse effect on the price of our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9320"/>
          </w:cols>
          <w:pgMar w:left="1280" w:top="1229" w:right="1280" w:bottom="0" w:gutter="0" w:footer="0" w:header="0"/>
          <w:type w:val="continuous"/>
        </w:sectPr>
      </w:pPr>
    </w:p>
    <w:bookmarkStart w:id="73" w:name="page74"/>
    <w:bookmarkEnd w:id="73"/>
    <w:p>
      <w:pPr>
        <w:jc w:val="both"/>
        <w:spacing w:after="0" w:line="315" w:lineRule="auto"/>
        <w:rPr>
          <w:sz w:val="20"/>
          <w:szCs w:val="20"/>
          <w:color w:val="auto"/>
        </w:rPr>
      </w:pPr>
      <w:r>
        <w:rPr>
          <w:rFonts w:ascii="Arial" w:cs="Arial" w:eastAsia="Arial" w:hAnsi="Arial"/>
          <w:sz w:val="18"/>
          <w:szCs w:val="18"/>
          <w:color w:val="auto"/>
        </w:rPr>
        <w:t>of their substantially greater financial resources. Uncertainties resulting from the initiation and continuation of patent litigation or other proceedings could have an adverse effect on our ability to compete in the marketplace.</w:t>
      </w:r>
    </w:p>
    <w:p>
      <w:pPr>
        <w:spacing w:after="0" w:line="6"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i w:val="1"/>
          <w:iCs w:val="1"/>
          <w:color w:val="auto"/>
        </w:rPr>
        <w:t>If we fail to comply with our obligations under our existing and any future intellectual property licenses or loan agreements with third parties, we could lose rights that are important to our business.</w:t>
      </w:r>
    </w:p>
    <w:p>
      <w:pPr>
        <w:spacing w:after="0" w:line="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party to a license agreement with Ligand,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We also recently entered into a term Loan Agreement with Oxford Finance LLC and Hercules Capital, Inc. The term loan is secured by a lien on substantially all of the assets of Verona Pharma, Inc. and Verona Pharma plc, other than intellectual property, provided that a lien on intellectual property will be granted on the earlier of (i) the funding date of any term loan that would cause the aggregate principal amount of outstanding term loans drawn pursuant to the loan agreement to exceed $50.0 million and (ii) prior to Verona Pharma, Inc. or Verona Pharma plc entering into a permitted royalty financing, as defined in the Loan Agreement. Verona Pharma, Inc. or Verona Pharma plc have also granted Oxford and Hercules a negative pledge with respect to their intellectual property. For further description of the Loan Agreement, see the section titled Risk Factors – Risks Related to our Business and Industry. Any uncured, material breach under these agreements could result in our loss of rights to practice the patent rights and other intellectual property under these agreements, and could compromise our development and commercialization efforts for ensifentrine or any future product candidates. Under our agreement with Ligand, we may not abandon any of the assigned patents or allow any of the assigned patents to lapse without consent from Ligand, which is not to be unreasonably delayed or withheld. If we do not obtain such consent in a timely manner or at all and such assigned patent rights lapse or are abandoned, our agreement with Ligand may be terminated in its entirety. For example, if we decide for commercial reasons to let an assigned patent lapse in a country of little commercial importance, but Ligand does not provide consent and such patent rights lapse, we may lose all intellectual property rights covering ensifentrine in multiple markets.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289"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We may not be successful in maintaining the necessary rights to ensifentrine or obtaining other intellectual property rights important to our business through acquisitions and in-licenses.</w:t>
      </w:r>
    </w:p>
    <w:p>
      <w:pPr>
        <w:spacing w:after="0" w:line="57"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We currently own and have in-licensed rights to intellectual property, including patents, patent applications and know-how, relating to ensifentrine, and our success will likely depend on maintaining these rights. Because our programs may require the use of proprietary rights held by third parties, the growth of our business will likely depend in part on our ability to acquire, in-license, maintain or use these proprietary rights. In addition, ensifentrine may require specific formulations to work effectively and the rights to these formulations may be held by others. We may be unable to acquire or in-license any compositions, methods of use, processes, or other third-party intellectual property rights that we identify as necessary for ensifentrine.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ensifentrine or a development program on acceptable terms, we may have to abandon development of ensifentrine or that development program.</w:t>
      </w:r>
    </w:p>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We will need to obtain FDA approval of any proposed product names, and any failure or delay associated with such approval may adversely affect our business.</w:t>
      </w:r>
    </w:p>
    <w:p>
      <w:pPr>
        <w:spacing w:after="0" w:line="5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Any proprietary name we intend to use for our product candidates will require approval from the FDA regardless of whether we have secured a formal trademark registration from the USPTO. The FDA reviews proposed product names, considering both the potential for the name to lead to medical errors due to confusion with other product names and whether the proposed name is overly fanciful, misleadingly implies unique effectiveness or composition, or contributes to overstatement of product efficacy, minimization of risk, broadening of product indications or unsubstantiated superiority. We are working with the FDA on identifying an appropriate brand name for ensifentrine</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9320"/>
          </w:cols>
          <w:pgMar w:left="1280" w:top="1229" w:right="1280" w:bottom="0" w:gutter="0" w:footer="0" w:header="0"/>
          <w:type w:val="continuous"/>
        </w:sectPr>
      </w:pPr>
    </w:p>
    <w:bookmarkStart w:id="74" w:name="page75"/>
    <w:bookmarkEnd w:id="74"/>
    <w:p>
      <w:pPr>
        <w:jc w:val="both"/>
        <w:spacing w:after="0" w:line="244" w:lineRule="auto"/>
        <w:rPr>
          <w:sz w:val="20"/>
          <w:szCs w:val="20"/>
          <w:color w:val="auto"/>
        </w:rPr>
      </w:pPr>
      <w:r>
        <w:rPr>
          <w:rFonts w:ascii="Arial" w:cs="Arial" w:eastAsia="Arial" w:hAnsi="Arial"/>
          <w:sz w:val="20"/>
          <w:szCs w:val="20"/>
          <w:color w:val="auto"/>
        </w:rPr>
        <w:t>that is acceptable to the FDA. If we experience delays in identifying an acceptable name, such delays could adversely affect the launch of ensifentrine, if approved, including delaying certain elements of product manufacturing.</w:t>
      </w:r>
    </w:p>
    <w:p>
      <w:pPr>
        <w:spacing w:after="0" w:line="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If the FDA objects to any of our proposed product names, we may be required to adopt an alternative name for our product candidates. If we adopt an alternative name, we could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48"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i w:val="1"/>
          <w:iCs w:val="1"/>
          <w:color w:val="auto"/>
        </w:rPr>
        <w:t>If our trademarks and trade names are not adequately protected, then we may not be able to build name recognition in our markets of interest and our competitive position may be adversely affected.</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registered trademarks in some territories and made applications to register the trademarks in other territories for potential trade names for our business and proposed drug products. We may not be able to obtain trademark protection for our trade names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5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If we do not obtain protection under the Hatch-Waxman Amendments and similar non-U.S. legislation for extending the term of patents covering ensifentrine and any other product candidates, our ability to compete effectively could be impaired.</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The issued patents covering the composition of matter for ensifentrine expired in 2020, and our other issued patents will expire in 2031 to 2041, subject to any patent extensions that may be available for such patents. If patents are issued on our pending patent applications, the resulting patents are projected to expire on dates ranging from 2031 to 2044. Various extensions may be available, but the life of a patent, and the protection it affords, is limited. Even if patents covering ensifentrine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Depending upon the timing, duration and conditions of the FDA marketing approval of ensifentrine,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53" w:lineRule="exact"/>
        <w:rPr>
          <w:sz w:val="20"/>
          <w:szCs w:val="20"/>
          <w:color w:val="auto"/>
        </w:rPr>
      </w:pPr>
    </w:p>
    <w:p>
      <w:pPr>
        <w:jc w:val="both"/>
        <w:spacing w:after="0" w:line="321" w:lineRule="auto"/>
        <w:rPr>
          <w:sz w:val="20"/>
          <w:szCs w:val="20"/>
          <w:color w:val="auto"/>
        </w:rPr>
      </w:pPr>
      <w:r>
        <w:rPr>
          <w:rFonts w:ascii="Arial" w:cs="Arial" w:eastAsia="Arial" w:hAnsi="Arial"/>
          <w:sz w:val="18"/>
          <w:szCs w:val="18"/>
          <w:b w:val="1"/>
          <w:bCs w:val="1"/>
          <w:i w:val="1"/>
          <w:iCs w:val="1"/>
          <w:color w:val="auto"/>
        </w:rPr>
        <w:t>We enjoy only limited geographical protection with respect to certain patents and may face difficulties in certain jurisdictions, which may diminish the value of our intellectual property rights in those jurisdictions.</w:t>
      </w:r>
    </w:p>
    <w:p>
      <w:pPr>
        <w:spacing w:after="0" w:line="1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generally file our first patent application, or priority filing, at the United Kingdom Intellectual Property Office. International applications under the Patent Cooperation Treaty, or PCT, are usually filed within 12 months after the priority filing. Based on the PCT filing, national and regional patent applications may be filed in additional jurisdictions where we believe a product candidate may be marketed or manufactured. We have so far not filed for</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9320"/>
          </w:cols>
          <w:pgMar w:left="1280" w:top="1229" w:right="1280" w:bottom="0" w:gutter="0" w:footer="0" w:header="0"/>
          <w:type w:val="continuous"/>
        </w:sectPr>
      </w:pPr>
    </w:p>
    <w:bookmarkStart w:id="75" w:name="page76"/>
    <w:bookmarkEnd w:id="75"/>
    <w:p>
      <w:pPr>
        <w:jc w:val="both"/>
        <w:spacing w:after="0" w:line="259" w:lineRule="auto"/>
        <w:rPr>
          <w:sz w:val="20"/>
          <w:szCs w:val="20"/>
          <w:color w:val="auto"/>
        </w:rPr>
      </w:pPr>
      <w:r>
        <w:rPr>
          <w:rFonts w:ascii="Arial" w:cs="Arial" w:eastAsia="Arial" w:hAnsi="Arial"/>
          <w:sz w:val="18"/>
          <w:szCs w:val="18"/>
          <w:color w:val="auto"/>
        </w:rPr>
        <w:t>patent protection for ensifentrine in all national and regional jurisdictions where such protection may be available. Filing, prosecuting and defending patents in all countries throughout the world would be prohibitively expensive, and our intellectual property rights in some countries outside the United States can be less extensive than those in the United States.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Competitors may use our or our licensors’ or collaborators’ technologies in jurisdictions where we have not obtained patent protection to develop their own products and, further, may export otherwise infringing products to territories where we or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5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laws of some jurisdictions do not protect intellectual property rights to the same extent as the laws or rules and regulations in the United States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91"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5" w:lineRule="exact"/>
        <w:rPr>
          <w:sz w:val="20"/>
          <w:szCs w:val="20"/>
          <w:color w:val="auto"/>
        </w:rPr>
      </w:pPr>
    </w:p>
    <w:p>
      <w:pPr>
        <w:ind w:left="360" w:hanging="357"/>
        <w:spacing w:after="0" w:line="260" w:lineRule="auto"/>
        <w:tabs>
          <w:tab w:leader="none" w:pos="3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Others may be able to make compounds that are the same as or similar to our product candidates but that are not covered by the claims of the patents that we own or have exclusively licensed;</w:t>
      </w:r>
    </w:p>
    <w:p>
      <w:pPr>
        <w:spacing w:after="0" w:line="58" w:lineRule="exact"/>
        <w:rPr>
          <w:rFonts w:ascii="Arial" w:cs="Arial" w:eastAsia="Arial" w:hAnsi="Arial"/>
          <w:sz w:val="20"/>
          <w:szCs w:val="20"/>
          <w:color w:val="auto"/>
        </w:rPr>
      </w:pPr>
    </w:p>
    <w:p>
      <w:pPr>
        <w:ind w:left="360" w:hanging="357"/>
        <w:spacing w:after="0"/>
        <w:tabs>
          <w:tab w:leader="none" w:pos="3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patents of third parties may impair our ability to develop or commercialize our product candidates;</w:t>
      </w:r>
    </w:p>
    <w:p>
      <w:pPr>
        <w:spacing w:after="0" w:line="119" w:lineRule="exact"/>
        <w:rPr>
          <w:rFonts w:ascii="Arial" w:cs="Arial" w:eastAsia="Arial" w:hAnsi="Arial"/>
          <w:sz w:val="19"/>
          <w:szCs w:val="19"/>
          <w:color w:val="auto"/>
        </w:rPr>
      </w:pPr>
    </w:p>
    <w:p>
      <w:pPr>
        <w:jc w:val="both"/>
        <w:ind w:left="360" w:hanging="357"/>
        <w:spacing w:after="0" w:line="244" w:lineRule="auto"/>
        <w:tabs>
          <w:tab w:leader="none" w:pos="3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74"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We or our licensors or any future collaborators might not have been the first to file patent applications covering certain of our inventions;</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9320"/>
          </w:cols>
          <w:pgMar w:left="1280" w:top="1229" w:right="1280" w:bottom="0" w:gutter="0" w:footer="0" w:header="0"/>
          <w:type w:val="continuous"/>
        </w:sectPr>
      </w:pPr>
    </w:p>
    <w:bookmarkStart w:id="76" w:name="page77"/>
    <w:bookmarkEnd w:id="76"/>
    <w:p>
      <w:pPr>
        <w:ind w:left="360" w:hanging="357"/>
        <w:spacing w:after="0" w:line="260" w:lineRule="auto"/>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Others may independently develop similar or alternative technologies or duplicate any of our technologies without infringing our intellectual property rights;</w:t>
      </w:r>
    </w:p>
    <w:p>
      <w:pPr>
        <w:spacing w:after="0" w:line="58" w:lineRule="exact"/>
        <w:rPr>
          <w:rFonts w:ascii="Arial" w:cs="Arial" w:eastAsia="Arial" w:hAnsi="Arial"/>
          <w:sz w:val="20"/>
          <w:szCs w:val="20"/>
          <w:color w:val="auto"/>
        </w:rPr>
      </w:pPr>
    </w:p>
    <w:p>
      <w:pPr>
        <w:ind w:left="360" w:hanging="357"/>
        <w:spacing w:after="0"/>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It is possible that our pending patent applications will not lead to issued patents;</w:t>
      </w:r>
    </w:p>
    <w:p>
      <w:pPr>
        <w:spacing w:after="0" w:line="108" w:lineRule="exact"/>
        <w:rPr>
          <w:rFonts w:ascii="Arial" w:cs="Arial" w:eastAsia="Arial" w:hAnsi="Arial"/>
          <w:sz w:val="20"/>
          <w:szCs w:val="20"/>
          <w:color w:val="auto"/>
        </w:rPr>
      </w:pPr>
    </w:p>
    <w:p>
      <w:pPr>
        <w:ind w:left="360" w:hanging="357"/>
        <w:spacing w:after="0" w:line="286" w:lineRule="auto"/>
        <w:tabs>
          <w:tab w:leader="none" w:pos="3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Issued patents that we own or have exclusively licensed may not provide us with any competitive advantage, or may be held invalid or unenforceable, as a result of legal challenges by our competitors;</w:t>
      </w:r>
    </w:p>
    <w:p>
      <w:pPr>
        <w:spacing w:after="0" w:line="36" w:lineRule="exact"/>
        <w:rPr>
          <w:rFonts w:ascii="Arial" w:cs="Arial" w:eastAsia="Arial" w:hAnsi="Arial"/>
          <w:sz w:val="19"/>
          <w:szCs w:val="19"/>
          <w:color w:val="auto"/>
        </w:rPr>
      </w:pPr>
    </w:p>
    <w:p>
      <w:pPr>
        <w:jc w:val="both"/>
        <w:ind w:left="360" w:hanging="357"/>
        <w:spacing w:after="0" w:line="244" w:lineRule="auto"/>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4"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Third parties performing manufacturing or testing for us using our product candidates or technologies could use the intellectual property of others without obtaining a proper license; and</w:t>
      </w:r>
    </w:p>
    <w:p>
      <w:pPr>
        <w:spacing w:after="0" w:line="58" w:lineRule="exact"/>
        <w:rPr>
          <w:rFonts w:ascii="Arial" w:cs="Arial" w:eastAsia="Arial" w:hAnsi="Arial"/>
          <w:sz w:val="20"/>
          <w:szCs w:val="20"/>
          <w:color w:val="auto"/>
        </w:rPr>
      </w:pPr>
    </w:p>
    <w:p>
      <w:pPr>
        <w:ind w:left="360" w:hanging="357"/>
        <w:spacing w:after="0"/>
        <w:tabs>
          <w:tab w:leader="none" w:pos="3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We may not develop additional technologies that are patentable.</w:t>
      </w:r>
    </w:p>
    <w:p>
      <w:pPr>
        <w:spacing w:after="0" w:line="10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Changes in patent laws or patent jurisprudence could diminish the value of patents in general, thereby impairing our ability to protect ensifentrine or any future product candidates.</w:t>
      </w:r>
    </w:p>
    <w:p>
      <w:pPr>
        <w:spacing w:after="0" w:line="57"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As is the case with other biopharmaceutical companies, our success is heavily dependent on intellectual property, particularly patents. Obtaining and enforcing patents in the biopharmaceutical industry involve both technological complexity and legal complexity. Therefore, obtaining and enforcing biopharmaceutical patents is costly, time consuming and inherently uncertain. In addition, the America Invents Act, or the AIA, which was passed on September 16, 2011, resulted in significant changes to the U.S. patent system.</w:t>
      </w:r>
    </w:p>
    <w:p>
      <w:pPr>
        <w:spacing w:after="0" w:line="7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but circumstances could prevent us from promptly filing patent applications on our inventions.</w:t>
      </w:r>
    </w:p>
    <w:p>
      <w:pPr>
        <w:spacing w:after="0" w:line="8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8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8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Finally, a Unitary Patent and Unified Patent Court (UPC) system were implemented in Europe on June 1, 2023. This new regime may present uncertainties for our ability to protect and enforce our patent rights against competitors in Europe. Under the UPC, all European patents, including those issued prior to ratification of the European Patent Package, by default automatically fall under the jurisdiction of the UPC. The UPC provides our competitors with a</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9320"/>
          </w:cols>
          <w:pgMar w:left="1280" w:top="1229" w:right="1280" w:bottom="0" w:gutter="0" w:footer="0" w:header="0"/>
          <w:type w:val="continuous"/>
        </w:sectPr>
      </w:pPr>
    </w:p>
    <w:bookmarkStart w:id="77" w:name="page78"/>
    <w:bookmarkEnd w:id="77"/>
    <w:p>
      <w:pPr>
        <w:jc w:val="both"/>
        <w:spacing w:after="0" w:line="237" w:lineRule="auto"/>
        <w:rPr>
          <w:sz w:val="20"/>
          <w:szCs w:val="20"/>
          <w:color w:val="auto"/>
        </w:rPr>
      </w:pPr>
      <w:r>
        <w:rPr>
          <w:rFonts w:ascii="Arial" w:cs="Arial" w:eastAsia="Arial" w:hAnsi="Arial"/>
          <w:sz w:val="20"/>
          <w:szCs w:val="20"/>
          <w:color w:val="auto"/>
        </w:rPr>
        <w:t>new forum to centrally revoke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will have the right to opt our patents out of the UPC over the first seven years of the court’s existence, but doing so may preclude us from realizing the benefits of the new unified court.</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Confidentiality agreements with employees and others may not adequately prevent disclosure of trade secrets and protect other proprietary information.</w:t>
      </w:r>
    </w:p>
    <w:p>
      <w:pPr>
        <w:spacing w:after="0" w:line="5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advisors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7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42"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58"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9320"/>
          </w:cols>
          <w:pgMar w:left="1280" w:top="1229" w:right="1280" w:bottom="0" w:gutter="0" w:footer="0" w:header="0"/>
          <w:type w:val="continuous"/>
        </w:sectPr>
      </w:pPr>
    </w:p>
    <w:bookmarkStart w:id="78" w:name="page79"/>
    <w:bookmarkEnd w:id="78"/>
    <w:p>
      <w:pPr>
        <w:jc w:val="both"/>
        <w:spacing w:after="0" w:line="234" w:lineRule="auto"/>
        <w:rPr>
          <w:sz w:val="20"/>
          <w:szCs w:val="20"/>
          <w:color w:val="auto"/>
        </w:rPr>
      </w:pPr>
      <w:r>
        <w:rPr>
          <w:rFonts w:ascii="Arial" w:cs="Arial" w:eastAsia="Arial" w:hAnsi="Arial"/>
          <w:sz w:val="20"/>
          <w:szCs w:val="20"/>
          <w:color w:val="auto"/>
        </w:rPr>
        <w:t>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 candidates, our competitors might be able to enter the market, which would hurt our competitive position and could impair our ability to successfully commercialize any product candidate.</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b w:val="1"/>
          <w:bCs w:val="1"/>
          <w:i w:val="1"/>
          <w:iCs w:val="1"/>
          <w:color w:val="auto"/>
        </w:rPr>
        <w:t>Our information technology systems, and those of our manufacturers, suppliers and other third parties that we use to conduct our pre-clinical and clinical trials or otherwise collaborate with, may fail or suffer security breaches, which could distract our operations and cause delays in our research and development work, and may adversely affect our business, operations and financial performance.</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the ordinary course of our business, we and our manufacturers, suppliers and third parties that we use to conduct our pre-clinical and clinical trials or otherwise collaborate with, collect and store sensitive data, including intellectual property, clinical trial data, proprietary business information and personally identifiable information (collectively, “Confidential Information”) of our clinical trial subjects and employees, in our and third-party data centers and on our and third-party networks. The secure processing, maintenance and transmission of Confidential Information is critical to our operations. Our information technology and other internal infrastructure systems, including corporate firewalls, servers, leased lines and connection to the Internet, and that of our manufacturers, suppliers and other third parties that we use to conduct our pre-clinical and clinical trials or otherwise collaborate with, face the risk of systemic failure that could disrupt our operations. A significant disruption in the availability of these information technology and other internal infrastructure systems could cause interruptions in our collaborations and delays in our research and development work.</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our information technology systems and those of our third-party service providers, strategic partners and other contractors or consultants are vulnerable to damage, attack or interruption from computer viruses, malware (e.g ransomware), misconfigurations, “bugs” or other vulnerabilities,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Attacks upon information technology systems are increasing in their frequency, levels of persistence, sophistication and intensity, and are being conducted by sophisticated and organized groups and individuals with a wide range of motives and expertise.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There can also be no assurance that our and our manufacturers’, suppliers’ and other critical third parties’ cybersecurity risk management program and processes, including policies, controls or procedures, will be fully implemented, complied with or effective in protecting our systems, networks and Confidential Information.</w:t>
      </w:r>
    </w:p>
    <w:p>
      <w:pPr>
        <w:spacing w:after="0" w:line="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Despite security measures that we and our critical third parties (e.g., collaborators) implement, our information technology and infrastructure may be vulnerable to attacks by hackers or internal bad actors, breaches due to human error, technical vulnerabilities, malfeasance or other disruptions. We and certain of our service providers are from time to time subject to cyberattacks and security incidents. Although to our knowledge we have not experienced any significant security breach to date, any such breach could compromise our networks and the Confidential Information stored there could be accessed, publicly disclosed, lost or stolen. Any such access, disclosure or other loss of information could result in legal claims or proceedings, liability under laws that protect the privacy of personal data, regulatory penalties, disrupt our operations, damage our reputation, and cause a loss of confidence in us and our ability to conduct clinical trials, which could adversely affect our reputation and delay clinical development of our product candidates.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9320"/>
          </w:cols>
          <w:pgMar w:left="1280" w:top="1229" w:right="1280" w:bottom="0" w:gutter="0" w:footer="0" w:header="0"/>
          <w:type w:val="continuous"/>
        </w:sectPr>
      </w:pPr>
    </w:p>
    <w:bookmarkStart w:id="79" w:name="page80"/>
    <w:bookmarkEnd w:id="79"/>
    <w:p>
      <w:pPr>
        <w:jc w:val="both"/>
        <w:spacing w:after="0" w:line="260" w:lineRule="auto"/>
        <w:rPr>
          <w:sz w:val="20"/>
          <w:szCs w:val="20"/>
          <w:color w:val="auto"/>
        </w:rPr>
      </w:pPr>
      <w:r>
        <w:rPr>
          <w:rFonts w:ascii="Arial" w:cs="Arial" w:eastAsia="Arial" w:hAnsi="Arial"/>
          <w:sz w:val="20"/>
          <w:szCs w:val="20"/>
          <w:color w:val="auto"/>
        </w:rPr>
        <w:t>compliance costs. Any losses, costs or liabilities may not be covered by, or may exceed the coverage limits of, any or all applicable insurance policies.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Employee Matters and Managing Growth</w:t>
      </w:r>
    </w:p>
    <w:p>
      <w:pPr>
        <w:spacing w:after="0" w:line="22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Our future growth and ability to compete depends on our ability to retain our key personnel and recruit additional qualified personnel.</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depends upon the contributions of our key management, scientific and technical personnel, many of whom have been instrumental for us and have substantial experience with ensifentrine and related technologies. Our key management individuals include our chief executive officer, David Zaccardelli, our chief financial officer, Mark Hahn, our general counsel, Claire Poll, our chief medical officer, Kathleen Rickard, our senior vice president, regulatory affairs, Caroline Diaz, our chief commercial officer, Christopher Martin, and our chief development officer, Tara Rheault. The loss of key personnel could delay our commercialization and research and development activities. In addition, the competition for qualified personnel in the biopharmaceutical and pharmaceutical field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product candidate development objectives, raise additional capital and implement our business strategy.</w:t>
      </w:r>
    </w:p>
    <w:p>
      <w:pPr>
        <w:spacing w:after="0" w:line="5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We expect to expand our development, regulatory, commercial, sales, marketing, reimbursement and distribution capabilities, and as a result, we may encounter difficulties in managing our growth, which could disrupt our operations.</w:t>
      </w:r>
    </w:p>
    <w:p>
      <w:pPr>
        <w:spacing w:after="0" w:line="7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We expect to experience significant growth in the number of our employees and the scope of our operations, particularly in the areas of commercial operations and sales, marketing, reimbursement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ADSs</w:t>
      </w:r>
    </w:p>
    <w:p>
      <w:pPr>
        <w:spacing w:after="0" w:line="227" w:lineRule="exact"/>
        <w:rPr>
          <w:sz w:val="20"/>
          <w:szCs w:val="20"/>
          <w:color w:val="auto"/>
        </w:rPr>
      </w:pPr>
    </w:p>
    <w:p>
      <w:pPr>
        <w:jc w:val="both"/>
        <w:spacing w:after="0" w:line="347" w:lineRule="auto"/>
        <w:rPr>
          <w:sz w:val="20"/>
          <w:szCs w:val="20"/>
          <w:color w:val="auto"/>
        </w:rPr>
      </w:pPr>
      <w:r>
        <w:rPr>
          <w:rFonts w:ascii="Arial" w:cs="Arial" w:eastAsia="Arial" w:hAnsi="Arial"/>
          <w:sz w:val="17"/>
          <w:szCs w:val="17"/>
          <w:b w:val="1"/>
          <w:bCs w:val="1"/>
          <w:i w:val="1"/>
          <w:iCs w:val="1"/>
          <w:color w:val="auto"/>
        </w:rPr>
        <w:t>Certain of our shareholders, members of our board of directors, and senior management who own our ordinary shares (including ordinary shares represented by ADSs) may be able to exercise significant control over us.</w:t>
      </w:r>
    </w:p>
    <w:p>
      <w:pPr>
        <w:jc w:val="both"/>
        <w:spacing w:after="0" w:line="247" w:lineRule="auto"/>
        <w:rPr>
          <w:sz w:val="20"/>
          <w:szCs w:val="20"/>
          <w:color w:val="auto"/>
        </w:rPr>
      </w:pPr>
      <w:r>
        <w:rPr>
          <w:rFonts w:ascii="Arial" w:cs="Arial" w:eastAsia="Arial" w:hAnsi="Arial"/>
          <w:sz w:val="19"/>
          <w:szCs w:val="19"/>
          <w:color w:val="auto"/>
        </w:rPr>
        <w:t>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Among other consequences, this concentration of ownership may have the effect of delaying or preventing a change in control and might therefore negatively affect the market price of our ADSs and ordinary shares.</w:t>
      </w:r>
    </w:p>
    <w:p>
      <w:pPr>
        <w:spacing w:after="0" w:line="6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Because we do not anticipate paying any cash dividends on our ADSs or ordinary shares in the foreseeable future, capital appreciation, if any, will be our ADS holders’ and shareholders’ sole source of gains and they may never receive a return on their investment.</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Under current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As a result, capital appreciation, if any, on our ADSs or ordinary shares will be our ADS holders’ and shareholders’ sole source of gain for the foreseeable future, and they will suffer a loss on their investment if they are unable to sell their ADSs or ordinary shares at or above the price at which they were purchased. Investors seeking cash dividends should not purchase our ADSs or ordinary shares.</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9320"/>
          </w:cols>
          <w:pgMar w:left="1280" w:top="1229" w:right="1280" w:bottom="0" w:gutter="0" w:footer="0" w:header="0"/>
          <w:type w:val="continuous"/>
        </w:sectPr>
      </w:pPr>
    </w:p>
    <w:bookmarkStart w:id="80" w:name="page81"/>
    <w:bookmarkEnd w:id="80"/>
    <w:p>
      <w:pPr>
        <w:jc w:val="both"/>
        <w:spacing w:after="0" w:line="265" w:lineRule="auto"/>
        <w:rPr>
          <w:sz w:val="20"/>
          <w:szCs w:val="20"/>
          <w:color w:val="auto"/>
        </w:rPr>
      </w:pPr>
      <w:r>
        <w:rPr>
          <w:rFonts w:ascii="Arial" w:cs="Arial" w:eastAsia="Arial" w:hAnsi="Arial"/>
          <w:sz w:val="20"/>
          <w:szCs w:val="20"/>
          <w:b w:val="1"/>
          <w:bCs w:val="1"/>
          <w:i w:val="1"/>
          <w:iCs w:val="1"/>
          <w:color w:val="auto"/>
        </w:rPr>
        <w:t>Holders of our ADSs may not have the same voting rights as the holders of our ordinary shares and may not receive voting materials in time to be able to exercise their right to vote.</w:t>
      </w:r>
    </w:p>
    <w:p>
      <w:pPr>
        <w:spacing w:after="0" w:line="58"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Holders of our ADSs are not able to exercise voting rights attaching to the ordinary shares evidenced by our ADSs on an individual basis. Holders of our ADSs have appointed a depositary as their representative to exercise the voting rights attaching to the ordinary shares represented by their ADSs. Holders of our ADSs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voting rights and may lack recourse if their ADSs are not voted as requested. In addition, holders of our ADSs will not be able to call a shareholders’ meeting.</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Holders of our ADSs may not receive distributions on our ordinary shares represented by our ADSs or any value for them if it is illegal or impractical to make them available to them.</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depositary for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entered into with the depositary, it may be unlawful or impractical to make a distribution available to holders of our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 distributions available to them. These restrictions may have a material adverse effect on the value of our ADSs.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Holders of our ADSs may be subject to limitations on transfer of their ADSs.</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 These limitations on transfer may have a material adverse effect on the value of our ADSs.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rights of our shareholders may differ from the rights typically offered to shareholders of a U.S. corporation.</w:t>
      </w:r>
    </w:p>
    <w:p>
      <w:pPr>
        <w:spacing w:after="0" w:line="15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material respects from the rights of shareholders in typical U.S. corporations. As a result, investors in our ordinary shares or ADSs may not have the same protections or rights as they would if they had invested in a U.S. corporation. This may make our ADSs less attractive to such investors, which could harm the value of our ADSs.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Claims of U.S. civil liabilities may not be enforceable against us.</w:t>
      </w:r>
    </w:p>
    <w:p>
      <w:pPr>
        <w:spacing w:after="0" w:line="11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U.K.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w:t>
      </w:r>
    </w:p>
    <w:p>
      <w:pPr>
        <w:sectPr>
          <w:pgSz w:w="11880" w:h="15480" w:orient="portrait"/>
          <w:cols w:equalWidth="0" w:num="1">
            <w:col w:w="9320"/>
          </w:cols>
          <w:pgMar w:left="1280" w:top="122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9320"/>
          </w:cols>
          <w:pgMar w:left="1280" w:top="1221" w:right="1280" w:bottom="0" w:gutter="0" w:footer="0" w:header="0"/>
          <w:type w:val="continuous"/>
        </w:sectPr>
      </w:pPr>
    </w:p>
    <w:bookmarkStart w:id="81" w:name="page82"/>
    <w:bookmarkEnd w:id="81"/>
    <w:p>
      <w:pPr>
        <w:jc w:val="both"/>
        <w:spacing w:after="0" w:line="239" w:lineRule="auto"/>
        <w:rPr>
          <w:sz w:val="20"/>
          <w:szCs w:val="20"/>
          <w:color w:val="auto"/>
        </w:rPr>
      </w:pPr>
      <w:r>
        <w:rPr>
          <w:rFonts w:ascii="Arial" w:cs="Arial" w:eastAsia="Arial" w:hAnsi="Arial"/>
          <w:sz w:val="20"/>
          <w:szCs w:val="20"/>
          <w:color w:val="auto"/>
        </w:rPr>
        <w:t>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80"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4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ADSs.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Taxation</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77"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New income, sales use or other tax laws, statutes, rules, regulations or ordinances could be enacted at any time, or interpreted, changed, modified or applied adversely to us, any of which could adversely affect our business operations and financial performance. We are currently unable to predict whether such changes will occur and, if so, the ultimate impact on our business. To the extent that such changes have a negative impact on us, including as a result of related uncertainty, these changes may materially and adversely impact our business, financial condition, results of operations and cash flows.</w:t>
      </w:r>
    </w:p>
    <w:p>
      <w:pPr>
        <w:spacing w:after="0" w:line="8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carry out research and development activities including, but not limited to, developing ensifentrine for various indications and delivery methods, and as a result we currently benefit in the U.K. from the HM Revenue and Customs, or HMRC, small and medium sized enterprises research and development relief, or SME R&amp;D Relief, which currently provides relief against U.K. Corporation Tax.</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Broadly, SME R&amp;D Relief comprises two elements, (a) allowing qualifying SMEs to deduct a total of 186% of their qualifying expenditure from their yearly profit for U.K. Corporation Tax purposes (the deduction is given by allowing an additional 86% deduction plus the usual 100% deduction), or the SME R&amp;D Additional Deduction and,</w:t>
      </w:r>
    </w:p>
    <w:p>
      <w:pPr>
        <w:spacing w:after="0" w:line="2" w:lineRule="exact"/>
        <w:rPr>
          <w:sz w:val="20"/>
          <w:szCs w:val="20"/>
          <w:color w:val="auto"/>
        </w:rPr>
      </w:pPr>
    </w:p>
    <w:p>
      <w:pPr>
        <w:jc w:val="both"/>
        <w:ind w:firstLine="3"/>
        <w:spacing w:after="0" w:line="239" w:lineRule="auto"/>
        <w:tabs>
          <w:tab w:leader="none" w:pos="334" w:val="left"/>
        </w:tabs>
        <w:numPr>
          <w:ilvl w:val="0"/>
          <w:numId w:val="46"/>
        </w:numPr>
        <w:rPr>
          <w:rFonts w:ascii="Arial" w:cs="Arial" w:eastAsia="Arial" w:hAnsi="Arial"/>
          <w:sz w:val="20"/>
          <w:szCs w:val="20"/>
          <w:color w:val="auto"/>
        </w:rPr>
      </w:pPr>
      <w:r>
        <w:rPr>
          <w:rFonts w:ascii="Arial" w:cs="Arial" w:eastAsia="Arial" w:hAnsi="Arial"/>
          <w:sz w:val="20"/>
          <w:szCs w:val="20"/>
          <w:color w:val="auto"/>
        </w:rPr>
        <w:t>where there are not sufficient profits for U.K. Corporation Tax purposes to fully utilize the SME R&amp;D Additional Deduction, the excess (“surrenderable losses”) can be carried forward to offset against future taxable profits, or a tax credit currently equal to 10% of such surrenderable loss can be claimed in cash, or the SME R&amp;D Tax Credit.</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Based on criteria established by HMRC a portion of expenditure incurred in relation to our research and development activities including, but not limited to, operating clinical trials, manufacturing, consultant and salary and related costs, is eligible for the SME R&amp;D Additional Deduction. Our consequential surrenderable losses are currently eligible for the SME R&amp;D Tax Credit, in accordance with HMRC criteria.</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the financial statements for the years ended December 31, 2023 and December 31, 2022, we recorded SME R&amp;D Tax Credits of $2.3 million and $8.6 million, respectively. Based on the HMRC criteria, we expect to receive these SME R&amp;D Tax Credits in the year ending December 31, 2024.</w:t>
      </w:r>
    </w:p>
    <w:p>
      <w:pPr>
        <w:spacing w:after="0" w:line="7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Changes to the U.K.’s SME R&amp;D Relief regime may adversely affect our financial condition. At the 2023 Autumn Statement, the U.K. Government confirmed that it would introduce a single R&amp;D relief regime which merges the current “RDEC” and SME R&amp;D Relief scheme. The proposed credit rate under the draft legislation is 20% of</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9320"/>
          </w:cols>
          <w:pgMar w:left="1280" w:top="1229" w:right="1280" w:bottom="0" w:gutter="0" w:footer="0" w:header="0"/>
          <w:type w:val="continuous"/>
        </w:sectPr>
      </w:pPr>
    </w:p>
    <w:bookmarkStart w:id="82" w:name="page83"/>
    <w:bookmarkEnd w:id="82"/>
    <w:p>
      <w:pPr>
        <w:jc w:val="both"/>
        <w:spacing w:after="0" w:line="260" w:lineRule="auto"/>
        <w:rPr>
          <w:sz w:val="20"/>
          <w:szCs w:val="20"/>
          <w:color w:val="auto"/>
        </w:rPr>
      </w:pPr>
      <w:r>
        <w:rPr>
          <w:rFonts w:ascii="Arial" w:cs="Arial" w:eastAsia="Arial" w:hAnsi="Arial"/>
          <w:sz w:val="18"/>
          <w:szCs w:val="18"/>
          <w:color w:val="auto"/>
        </w:rPr>
        <w:t>qualifying expenditure, with the credit itself subject to U.K. corporation tax. The credit will therefore be reduced by the applicable rate of U.K. corporation tax (the main rate of which is currently 25%), although the notional tax rate that applies to loss-making companies will be set at the lower rate of 19% for the purposes of the new R&amp;D relief regime. Therefore, under the proposed regime and current rates of U.K. corporation tax, profitable businesses subject to the main rate of U.K. corporation tax will effectively receive a credit of 15% of qualifying expenditure whilst loss-making businesses will receive a credit of 16.2%. The proposed legislation also contains restrictions on R&amp;D relief which can be claimed where a company contracts R&amp;D activity to a third party or makes payments for externally provided workers so that, broadly, a taxpayer will only be able to claim relief where the work is performed in the U.K. It is proposed that the only expenditure allowable outside the U.K. would be for activities which are necessary due to geographical, environmental or social conditions not present or replicable in the U.K. The proposed legislation also contains new rules relating to subcontracting of R&amp;D activities to a third party.</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In addition, it is proposed that for accounting periods beginning on or after 1 April 2024, the R&amp;D intensive loss-making SME scheme threshold (broadly, the proportion of qualifying R&amp;D expenditure compared to total expenditure) will be 30%. Therefore, loss-making SMEs with qualifying R&amp;D expenditure of 30% or more of its total expenditure may claim an enhanced deduction of 86% and a repayable credit of 14.5%.</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It is proposed that the new U.K. R&amp;D tax relief regime will apply to accounting periods starting on or after 1 April 2024. The legislation for the new regime is not yet finalized and therefore the impact on our financial position cannot be fully known, however the proposed changes to the scheme and/or any further changes could have a material adverse effect on our financial position, results of operations or cash flows.</w:t>
      </w:r>
    </w:p>
    <w:p>
      <w:pPr>
        <w:spacing w:after="0" w:line="58"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If we were classified as a passive foreign investment company, it would result in adverse U.S. federal income tax consequences to U.S. holders.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Based on the composition of our income and assets and the value of our assets in the taxable year ended December 31, 2023, we believe that we are a Passive Foreign Investment Company (“PFIC”) for U.S. federal income tax purposes for our taxable year ended December 31, 2023. However, no assurances regarding our PFIC status can be provided for any past taxable years, the taxable year ending December 31, 2024, or any future taxable years. If we are classified as a PFIC for any taxable year during which a U.S. Holder (as defined below) holds our ordinary shares or ADSs, certain adverse U.S. federal income tax consequences could apply to such U.S. Holder, including (i) the treatment of all or a portion of any gain on disposition of our ordinary shares or ADSs as ordinary income, (ii) the application of a deferred interest charge on such gain and the receipt of certain dividends, and (iii) the obligation to comply certain reporting requirements. We cannot provide any assurances that we will furnish to any U.S. Holder information that may be necessary to comply with the aforementioned reporting and tax payment obligations.</w:t>
      </w:r>
    </w:p>
    <w:p>
      <w:pPr>
        <w:spacing w:after="0" w:line="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non-U.S. corporation will generally be considered a passive foreign investment company, or PFIC, for any taxable year in which (i) 75% or more of its gross income consists of passive income or (ii) 50% or more of the average quarterly value of its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the assets and income of such corporation. The determination of whether we are a PFIC is a fact-intensive determination made on an annual basis applying principles and methodologies that in some circumstances are unclear and subject to varying interpretation. Under the income test, our status as a PFIC depends on the composition of our income which will depend on the transactions we enter into and our corporate structure. The composition of our income and assets is also affected by the spending of the cash we raise in any offering. Each U.S. Holder should consult its own tax advisors with respect to the potential adverse U.S. tax consequences to it if we are a PFIC.</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A “U.S. Holder” is a holder who, for U.S. federal income tax purposes, is a beneficial owner of our ordinary shares or ADSs and who is a citizen or individual resident of the United States; a corporation, or other entity taxable as a corporation, created or organized in or under the laws of the United States, any state therein or the District of Columbia; an estate the income of which is subject to U.S. federal income taxation regardless of its source; or a trust that (i) is subject to the supervision of a U.S. court and all substantial decisions of which are subject to the control of one or more “United States persons” (within the meaning of Section 7701(a)(30) of the Code), or (ii) has a valid election in effect to be treated as a United States person.</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If we are classified as a PFIC in any year with respect to which a U.S. Holder owns our ordinary shares or ADSs, we will continue to be treated as a PFIC with respect to such U.S. Holder in all succeeding years during which the U.S. Holder owns our ordinary shares or ADSs, regardless of whether we continue to meet the PFIC test described above, unless the U.S. Holder makes a specified election once we cease to be a PFIC.</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9320"/>
          </w:cols>
          <w:pgMar w:left="1280" w:top="1229" w:right="1280" w:bottom="0" w:gutter="0" w:footer="0" w:header="0"/>
          <w:type w:val="continuous"/>
        </w:sectPr>
      </w:pPr>
    </w:p>
    <w:bookmarkStart w:id="83" w:name="page84"/>
    <w:bookmarkEnd w:id="83"/>
    <w:p>
      <w:pPr>
        <w:jc w:val="both"/>
        <w:spacing w:after="0" w:line="265" w:lineRule="auto"/>
        <w:rPr>
          <w:sz w:val="20"/>
          <w:szCs w:val="20"/>
          <w:color w:val="auto"/>
        </w:rPr>
      </w:pPr>
      <w:r>
        <w:rPr>
          <w:rFonts w:ascii="Arial" w:cs="Arial" w:eastAsia="Arial" w:hAnsi="Arial"/>
          <w:sz w:val="20"/>
          <w:szCs w:val="20"/>
          <w:b w:val="1"/>
          <w:bCs w:val="1"/>
          <w:i w:val="1"/>
          <w:iCs w:val="1"/>
          <w:color w:val="auto"/>
        </w:rPr>
        <w:t>If a U.S. Holder is treated as owning at least 10% of our ordinary shares or ADSs, such holder may be subject to adverse U.S. federal income tax consequences.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 U.S. Holder (as defined above) is treated as owning, directly, indirectly or constructively, at least 10% of the value or voting power of our ordinary shares or ADSs, such U.S. Holder may be treated as a “United States shareholder” with respect to each “controlled foreign corporation” or “CFC” in our group, if any. Because our group includes one or more U.S. subsidiaries, certain of our non-U.S. subsidiaries could be treated as CFCs, regardless of whether we are treated as a CFC. A United States shareholder of a CFC may be required to annually report and include in its U.S. taxable income its pro rata share of “Subpart F income,” “global intangible low-taxed income” and investments in U.S. property by such CFCs, regardless of whether such CFC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our investors in determining whether we or any of our non-U.S. subsidiaries are treated as a CFC or whether such investor is treated as a United States shareholder with respect to any of such CFCs. Further, we cannot provide any assurances that we will furnish to any United States shareholder information that may be necessary to comply with the reporting and tax paying obligations described in this risk factor. U.S. Holders should consult their tax advisors regarding the potential application of these rules to their investment in our ordinary shares or ADSs.</w:t>
      </w:r>
    </w:p>
    <w:p>
      <w:pPr>
        <w:sectPr>
          <w:pgSz w:w="11880" w:h="15480" w:orient="portrait"/>
          <w:cols w:equalWidth="0" w:num="1">
            <w:col w:w="9320"/>
          </w:cols>
          <w:pgMar w:left="1280" w:top="122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9320"/>
          </w:cols>
          <w:pgMar w:left="1280" w:top="1221" w:right="1280" w:bottom="0" w:gutter="0" w:footer="0" w:header="0"/>
          <w:type w:val="continuous"/>
        </w:sectPr>
      </w:pPr>
    </w:p>
    <w:bookmarkStart w:id="84" w:name="page85"/>
    <w:bookmarkEnd w:id="84"/>
    <w:p>
      <w:pPr>
        <w:spacing w:after="0"/>
        <w:rPr>
          <w:sz w:val="20"/>
          <w:szCs w:val="20"/>
          <w:color w:val="auto"/>
        </w:rPr>
      </w:pPr>
      <w:r>
        <w:rPr>
          <w:rFonts w:ascii="Arial" w:cs="Arial" w:eastAsia="Arial" w:hAnsi="Arial"/>
          <w:sz w:val="20"/>
          <w:szCs w:val="20"/>
          <w:b w:val="1"/>
          <w:bCs w:val="1"/>
          <w:color w:val="auto"/>
        </w:rPr>
        <w:t>General Risks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price of our ADSs may be volatile and may fluctuate due to factors beyond our control.</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trading market for publicly traded emerging biopharmaceutical and drug discovery and development companies has been highly volatile and is likely to remain highly volatile in the future. The market price of our ADSs may fluctuate significantly due to a variety of factors, including:</w:t>
      </w:r>
    </w:p>
    <w:p>
      <w:pPr>
        <w:spacing w:after="0" w:line="75" w:lineRule="exact"/>
        <w:rPr>
          <w:sz w:val="20"/>
          <w:szCs w:val="20"/>
          <w:color w:val="auto"/>
        </w:rPr>
      </w:pPr>
    </w:p>
    <w:p>
      <w:pPr>
        <w:ind w:left="360" w:hanging="357"/>
        <w:spacing w:after="0"/>
        <w:tabs>
          <w:tab w:leader="none" w:pos="3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positive or negative results from, or delays in, clinical trials of ensifentrine;</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developments in our competitors’ businesses;</w:t>
      </w:r>
    </w:p>
    <w:p>
      <w:pPr>
        <w:spacing w:after="0" w:line="10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delays in entering into collaborations and strategic relationships with respect to development or commercialization of ensifentrine or entry into collaborations and strategic relationships on terms that are not deemed to be favorable to us;</w:t>
      </w:r>
    </w:p>
    <w:p>
      <w:pPr>
        <w:spacing w:after="0" w:line="74" w:lineRule="exact"/>
        <w:rPr>
          <w:rFonts w:ascii="Arial" w:cs="Arial" w:eastAsia="Arial" w:hAnsi="Arial"/>
          <w:sz w:val="20"/>
          <w:szCs w:val="20"/>
          <w:color w:val="auto"/>
        </w:rPr>
      </w:pPr>
    </w:p>
    <w:p>
      <w:pPr>
        <w:ind w:left="360" w:hanging="357"/>
        <w:spacing w:after="0"/>
        <w:tabs>
          <w:tab w:leader="none" w:pos="3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technological innovations or commercial product introductions by us or competitors;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changes in government regulations;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developments concerning proprietary rights, including patents and litigation matters;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public concern relating to the commercial value or safety of ensifentrine;</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financing or other corporate transactions;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publication of research reports or comments by securities or industry analysts or commentators;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general market conditions in the pharmaceutical industry or in the economy as a whole;</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loss of any of our key scientific or senior management personnel;</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of our ADSs by us, our senior management or board members, and significant holders of our ADSs; or</w:t>
      </w:r>
    </w:p>
    <w:p>
      <w:pPr>
        <w:spacing w:after="0" w:line="131" w:lineRule="exact"/>
        <w:rPr>
          <w:rFonts w:ascii="Arial" w:cs="Arial" w:eastAsia="Arial" w:hAnsi="Arial"/>
          <w:sz w:val="18"/>
          <w:szCs w:val="18"/>
          <w:color w:val="auto"/>
        </w:rPr>
      </w:pPr>
    </w:p>
    <w:p>
      <w:pPr>
        <w:ind w:left="360" w:hanging="357"/>
        <w:spacing w:after="0"/>
        <w:tabs>
          <w:tab w:leader="none" w:pos="3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other events and factors, many of which are beyond our control.</w:t>
      </w:r>
    </w:p>
    <w:p>
      <w:pPr>
        <w:spacing w:after="0" w:line="10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our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Future sales, or the possibility of future sales, of a substantial number of our ADSs or ordinary shares could adversely affect the price of our ADSs.</w:t>
      </w:r>
    </w:p>
    <w:p>
      <w:pPr>
        <w:spacing w:after="0" w:line="57"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Future sales of a substantial number of our ADSs or ordinary shares, or the perception that such sales will occur, could cause a decline in the market price of our ADSs. Sales in the United States of our ADSs and ordinary shares held by our directors, officers and affiliated shareholders are subject to restrictions. If these shareholders sell substantial amounts of ordinary shares or ADSs in the public market, or the market perceives that such sales may occur, the market price of our ADSs and our ability to raise capital through an issue of equity securities in the future could be adversely affected.</w:t>
      </w:r>
    </w:p>
    <w:p>
      <w:pPr>
        <w:spacing w:after="0" w:line="8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Unstable market and economic conditions may have serious adverse consequences on our business and financial condition and the price of our ADSs.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If the equity and credit markets continue to deteriorate or the United Kingdom or the United States enters a recession, it may make any necessary debt or equity financing more difficult to obtain in a timely manner or on favorable terms, more costly or more dilutive. In addition, there is a risk that one or more of our CROs, suppliers or other third-party providers may not survive an economic downturn or recession. As a result, our business, results of operations and price of our ADSs may be adversely affected.</w:t>
      </w:r>
    </w:p>
    <w:p>
      <w:pPr>
        <w:sectPr>
          <w:pgSz w:w="11880" w:h="15480" w:orient="portrait"/>
          <w:cols w:equalWidth="0" w:num="1">
            <w:col w:w="9320"/>
          </w:cols>
          <w:pgMar w:left="1280" w:top="1222"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880" w:h="15480" w:orient="portrait"/>
          <w:cols w:equalWidth="0" w:num="1">
            <w:col w:w="9320"/>
          </w:cols>
          <w:pgMar w:left="1280" w:top="1222" w:right="1280" w:bottom="0" w:gutter="0" w:footer="0" w:header="0"/>
          <w:type w:val="continuous"/>
        </w:sectPr>
      </w:pPr>
    </w:p>
    <w:bookmarkStart w:id="85" w:name="page86"/>
    <w:bookmarkEnd w:id="85"/>
    <w:p>
      <w:pPr>
        <w:jc w:val="both"/>
        <w:spacing w:after="0" w:line="291" w:lineRule="auto"/>
        <w:rPr>
          <w:sz w:val="20"/>
          <w:szCs w:val="20"/>
          <w:color w:val="auto"/>
        </w:rPr>
      </w:pPr>
      <w:r>
        <w:rPr>
          <w:rFonts w:ascii="Arial" w:cs="Arial" w:eastAsia="Arial" w:hAnsi="Arial"/>
          <w:sz w:val="19"/>
          <w:szCs w:val="19"/>
          <w:b w:val="1"/>
          <w:bCs w:val="1"/>
          <w:i w:val="1"/>
          <w:iCs w:val="1"/>
          <w:color w:val="auto"/>
        </w:rPr>
        <w:t>If securities or industry analysts or commentators publish inaccurate or unfavorable research, about our business, the price of our ADSs and ordinary shares and our trading volume could decline.</w:t>
      </w:r>
    </w:p>
    <w:p>
      <w:pPr>
        <w:spacing w:after="0" w:line="3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trading market for our ADSs and ordinary shares depends in part on the research and reports that securities or industry analysts or commentators publish about us or our business. If one or more of the analysts who cover us downgrade our ADSs or if they or other industry commentators publish inaccurate or unfavorable research or comments about our business, the price of our ADSs and ordinary shares would likely decline. If one or more of these analysts cease coverage of us or fail to publish reports on us regularly, demand for our ADSs could decrease, which might cause the price of our ADSs and ordinary shares and trading volume to decline.</w:t>
      </w:r>
    </w:p>
    <w:p>
      <w:pPr>
        <w:spacing w:after="0" w:line="4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We have incurred and expect to continue to incur increased costs as a result of operating as a public company in the United States, and our senior management are required to devote substantial time to new compliance initiatives and corporate governance practices.</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a U.S. public company, we have incurred and expect to continue to incur significant legal, accounting and other expenses that we did not incur prior to becoming a U.S. public company, including in connection with our transition to large accelerated filer as of December 31, 2023.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have devoted and will need to continue to devote a substantial amount of time to these compliance initiatives. Moreover, these rules and regulations will continue to increase our legal and financial compliance costs and will make some activities more time-consuming and costly.</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Section 404 of the Sarbanes-Oxley Act of 2002, or Section 404, we are required to furnish a report by our senior management on our internal control over financial reporting and an attestation report on internal control over financial reporting issued by our independent registered public accounting firm. To prepare for and maintain compliance with Section 404(b), we have implemented a process of documenting and evaluating our internal control over financial reporting. In this regard, we have dedicated, and will need to continue to dedicate, internal resources, engage outside consultants and pursue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which is both costly and challenging. Despite our efforts, there is a risk that we will not be able to conclude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interruptions could adversely affect our operations.</w:t>
      </w:r>
    </w:p>
    <w:p>
      <w:pPr>
        <w:spacing w:after="0" w:line="116"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Our operations are potentially vulnerable to interruption by fire, severe weather conditions, power loss, telecommunications failure, terrorist activity, public health crises and pandemic diseases, such as COVID-19, and other natural and man-made disasters or events beyond our control. Our facilities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320"/>
          </w:cols>
          <w:pgMar w:left="1280" w:top="1221"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9320"/>
          </w:cols>
          <w:pgMar w:left="1280" w:top="1221" w:right="1280" w:bottom="0" w:gutter="0" w:footer="0" w:header="0"/>
          <w:type w:val="continuous"/>
        </w:sectPr>
      </w:pPr>
    </w:p>
    <w:bookmarkStart w:id="86" w:name="page87"/>
    <w:bookmarkEnd w:id="86"/>
    <w:p>
      <w:pPr>
        <w:spacing w:after="0"/>
        <w:rPr>
          <w:sz w:val="20"/>
          <w:szCs w:val="20"/>
          <w:color w:val="auto"/>
        </w:rPr>
      </w:pPr>
      <w:r>
        <w:rPr>
          <w:rFonts w:ascii="Arial" w:cs="Arial" w:eastAsia="Arial" w:hAnsi="Arial"/>
          <w:sz w:val="20"/>
          <w:szCs w:val="20"/>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Cybersecurity Risk Management and Strategy</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have developed and implemented a cybersecurity risk management program intended to protect the confidentiality, integrity, and availability of our critical systems and information.</w:t>
      </w:r>
    </w:p>
    <w:p>
      <w:pPr>
        <w:spacing w:after="0" w:line="5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design and assess our program based on the National Institute of Standards and Technology Cybersecurity Framework (“NIST CSF”).This does not imply that we meet any particular technical standards, specifications, or requirements, only that we use the NIST CSF as a guide to help us identify, assess, and manage cybersecurity risks relevant to our business.</w:t>
      </w:r>
    </w:p>
    <w:p>
      <w:pPr>
        <w:spacing w:after="0" w:line="79"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Our cybersecurity risk management program includes:</w:t>
      </w:r>
    </w:p>
    <w:p>
      <w:pPr>
        <w:spacing w:after="0" w:line="108" w:lineRule="exact"/>
        <w:rPr>
          <w:sz w:val="20"/>
          <w:szCs w:val="20"/>
          <w:color w:val="auto"/>
        </w:rPr>
      </w:pPr>
    </w:p>
    <w:p>
      <w:pPr>
        <w:ind w:left="360" w:hanging="357"/>
        <w:spacing w:after="0" w:line="260" w:lineRule="auto"/>
        <w:tabs>
          <w:tab w:leader="none" w:pos="3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risk assessments designed to help identify material cybersecurity risks to our critical systems, information, products, services, and our broader enterprise IT environment;</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an information technology team principally responsible for managing (1) our cybersecurity risk assessment processes, (2) our security controls, and (3) our response to cybersecurity incidents;</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use of external advisors and service providers, where appropriate, to assess, test or otherwise assist with aspects of our security controls;</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cybersecurity awareness training of our employees, contractors, incident response personnel, and senior management;</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 cybersecurity incident response plan that includes procedures for responding to cybersecurity incidents and alignment with the broader corporate business continuity plan; and</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 third-party risk management process for service providers, suppliers, and vendors that have access to our critical systems and information.</w:t>
      </w:r>
    </w:p>
    <w:p>
      <w:pPr>
        <w:spacing w:after="0" w:line="5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titled “Risk Factor— Our business and operations may suffer in the event of information technology system failures, cyberattacks or deficiencies in our cybersecurity.”</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Cybersecurity Governance</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Board considers cybersecurity risk as part of its risk oversight function and has delegated to the Audit Committee (Committee) oversight of cybersecurity and other information technology risks. The Committee oversees management’s implementation of our cybersecurity risk management program.</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Committee receives quarterly reports from management on our cybersecurity risks. In addition, management updates the Committee, as necessary, regarding any material cybersecurity incidents, as well as any incidents with lesser impact potential.</w:t>
      </w:r>
    </w:p>
    <w:p>
      <w:pPr>
        <w:spacing w:after="0" w:line="7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Committee reports to the full Board regarding its activities, including those related to cybersecurity. The full Board also receives briefings from management on our cyber risk management program. Board members receive presentations on cybersecurity topics from our Vice President, Digital and Information Technology, internal security staff or external experts as part of the Board’s continuing education on topics that impact public companies.</w:t>
      </w:r>
    </w:p>
    <w:p>
      <w:pPr>
        <w:spacing w:after="0" w:line="50"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Our management team, including our Vice President, Digital and Information Technology and Chief Financial Officer,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team’s experience includes decades of managing public pharmaceutical companies, including their related information technology and cybersecurity risk management programs.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ectPr>
          <w:pgSz w:w="11880" w:h="15480" w:orient="portrait"/>
          <w:cols w:equalWidth="0" w:num="1">
            <w:col w:w="9320"/>
          </w:cols>
          <w:pgMar w:left="1280" w:top="1222" w:right="1280" w:bottom="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880" w:h="15480" w:orient="portrait"/>
          <w:cols w:equalWidth="0" w:num="1">
            <w:col w:w="9320"/>
          </w:cols>
          <w:pgMar w:left="1280" w:top="1222" w:right="1280" w:bottom="0" w:gutter="0" w:footer="0" w:header="0"/>
          <w:type w:val="continuous"/>
        </w:sectPr>
      </w:pPr>
    </w:p>
    <w:bookmarkStart w:id="87" w:name="page88"/>
    <w:bookmarkEnd w:id="87"/>
    <w:p>
      <w:pPr>
        <w:spacing w:after="0"/>
        <w:rPr>
          <w:sz w:val="20"/>
          <w:szCs w:val="20"/>
          <w:color w:val="auto"/>
        </w:rPr>
      </w:pPr>
      <w:r>
        <w:rPr>
          <w:rFonts w:ascii="Arial" w:cs="Arial" w:eastAsia="Arial" w:hAnsi="Arial"/>
          <w:sz w:val="20"/>
          <w:szCs w:val="20"/>
          <w:b w:val="1"/>
          <w:bCs w:val="1"/>
          <w:color w:val="auto"/>
        </w:rPr>
        <w:t>Item 2. Properties</w:t>
      </w: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Our corporate headquarters is in leased office space at 3 More London Riverside, London, U.K. The leases for these offices expire in the first quarter of 2025. We also have office space at 33 Park of Commerce, Suite 300, Savannah, Georgia, 31405, which expires in the fourth quarter of 2025, and 8529 Six Forks Road, Suite 400, Raleigh, North Carolina, 27615, which expires in the fourth quarter of 2027. We believe that these facilities are adequate to meet our current and near term needs.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From time to time, we may become involved in legal proceedings arising in the ordinary course of our business. We are not currently subject to any material 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320"/>
          </w:cols>
          <w:pgMar w:left="1280" w:top="1222"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9320"/>
          </w:cols>
          <w:pgMar w:left="1280" w:top="1222" w:right="1280" w:bottom="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24"/>
          <w:szCs w:val="24"/>
          <w:b w:val="1"/>
          <w:bCs w:val="1"/>
          <w:color w:val="auto"/>
        </w:rPr>
        <w:t>PART II</w:t>
      </w:r>
    </w:p>
    <w:p>
      <w:pPr>
        <w:spacing w:after="0" w:line="26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Information and Holders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Prior to October 30, 2020, our ordinary shares were traded on the AIM Market of the London Stock Exchange under the symbol “VRP”. We canceled the admission of the ordinary shares to trading on AIM on October 30, 2020 and our ordinary shares are now not publicly traded. Our American Depositary Shares (“ADSs”) have been publicly traded on the Nasdaq Global Market under the symbol “VRNA” since April 27, 2017.</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auto"/>
        </w:rPr>
        <w:t>Each ADS represents eight ordinary shares of Verona Pharma plc.</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of February 27, 2024, we had 423 registered holders of ordinary voting shares. 99.9% of our voting ordinary shares are held in ADS form. The 0.1% balance of our ordinary voting shares are held as unlisted voting ordinary shares. We also have 48,088,896 unlisted non-voting ordinary shares.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Dividends</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 Sales of Unregistered Securities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3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i w:val="1"/>
          <w:iCs w:val="1"/>
          <w:color w:val="auto"/>
        </w:rPr>
        <w:t>You should read the following discussion and analysis of our financial condition and results of operations in conjunction with the Consolidated Financial Statements and the related notes to those statements included later in this Annual Report on Form 10-K.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Important factors that could cause or contribute to these differences include those discussed below and elsewhere in this Annual Report on Form 10-K, particularly in Part I, Item 1A. “Risk Factors” and the section entitled “Cautionary Note Regarding Forward-Looking Statements.”</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9"/>
          <w:szCs w:val="19"/>
          <w:b w:val="1"/>
          <w:bCs w:val="1"/>
          <w:i w:val="1"/>
          <w:iCs w:val="1"/>
          <w:color w:val="auto"/>
        </w:rPr>
        <w:t>In this Item 7, we discuss the results of operations for the years ended December 31, 2023 and 2022 and comparisons of the year ended December 31, 2023 to the year ended December 31, 2022. Discussion and analysis of our 2021 fiscal year specifically, as well as the year-over-year comparison of our 2022 financial performance to 2021, are located in Part II, Item 7 - Management’s Discussion and Analysis of Financial Condition and Results of Operations in our Annual Report on Form 10-K for the fiscal year ended December 31, 2022, filed with the SEC on March 7, 2023.</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We are a clinical-stage biopharmaceutical company focused on developing and commercializing innovative therapeutics for the treatment of chronic respiratory diseases with significant unmet medical needs. Our product candidate, ensifentrine, is an investigational, first-in-class, inhaled, selective, small molecule and dual inhibitor of the enzymes phosphodiesterase 3 and 4 (“PDE3” and “PDE4”), combining bronchodilator and non-steroidal anti-inflammatory activities in one compound.</w:t>
      </w:r>
    </w:p>
    <w:p>
      <w:pPr>
        <w:spacing w:after="0" w:line="78"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Initially, we are developing inhaled ensifentrine for the maintenance treatment of chronic obstructive pulmonary disease (“COPD”), a common, chronic, progressive, and life-threatening respiratory disease without a cure. If successfully developed and approved, ensifentrine is expected to be the first inhaled therapeutic with a novel mode of action for the maintenance treatment of COPD in over 20 years.</w:t>
      </w:r>
    </w:p>
    <w:p>
      <w:pPr>
        <w:sectPr>
          <w:pgSz w:w="11880" w:h="15480" w:orient="portrait"/>
          <w:cols w:equalWidth="0" w:num="1">
            <w:col w:w="9320"/>
          </w:cols>
          <w:pgMar w:left="1280" w:top="120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9320"/>
          </w:cols>
          <w:pgMar w:left="1280" w:top="1208" w:right="1280" w:bottom="0" w:gutter="0" w:footer="0" w:header="0"/>
          <w:type w:val="continuous"/>
        </w:sectPr>
      </w:pPr>
    </w:p>
    <w:bookmarkStart w:id="89" w:name="page90"/>
    <w:bookmarkEnd w:id="89"/>
    <w:p>
      <w:pPr>
        <w:jc w:val="both"/>
        <w:spacing w:after="0" w:line="239" w:lineRule="auto"/>
        <w:rPr>
          <w:sz w:val="20"/>
          <w:szCs w:val="20"/>
          <w:color w:val="auto"/>
        </w:rPr>
      </w:pPr>
      <w:r>
        <w:rPr>
          <w:rFonts w:ascii="Arial" w:cs="Arial" w:eastAsia="Arial" w:hAnsi="Arial"/>
          <w:sz w:val="20"/>
          <w:szCs w:val="20"/>
          <w:color w:val="auto"/>
        </w:rPr>
        <w:t>In August 2023, the U.S. Food and Drug Administration (“FDA”) accepted for review our New Drug Application (“NDA”) seeking approval of ensifentrine for the maintenance treatment of COPD and assigned a Prescription Drug User Fee Act (“PDUFA”) target action date of June 26, 2024. The FDA stated it is not currently planning to hold an advisory committee meeting to discuss the application.</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Based on the results from our successful Phase 3 ENHANCE (“Ensifentrine as a Novel inHAled Nebulized COPD thErapy”) program, we believe ensifentrine, if approved, has the potential to change the treatment paradigm for COPD. Ensifentrine met the primary endpoint in both the ENHANCE-1 and ENHANCE-2 trials demonstrating statistically significant and clinically meaningful improvements in measures of lung function. In addition, other endpoint data demonstrated that ensifentrine substantially reduced the rate and risk of COPD exacerbations in ENHANCE-1 and ENHANCE-2. Ensifentrine was well tolerated in both trials.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recently presented additional analyses of data from the ENHANCE trials at international scientific conferences:</w:t>
      </w:r>
    </w:p>
    <w:p>
      <w:pPr>
        <w:spacing w:after="0" w:line="131" w:lineRule="exact"/>
        <w:rPr>
          <w:sz w:val="20"/>
          <w:szCs w:val="20"/>
          <w:color w:val="auto"/>
        </w:rPr>
      </w:pPr>
    </w:p>
    <w:p>
      <w:pPr>
        <w:jc w:val="both"/>
        <w:ind w:firstLine="3"/>
        <w:spacing w:after="0" w:line="239" w:lineRule="auto"/>
        <w:tabs>
          <w:tab w:leader="none" w:pos="716"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 October 2023, we gave four presentations on pooled and subgroup analyses from ENHANCE-1 and ENHANCE-2 covering data related to exacerbations, lung function, symptoms and quality of life endpoints and use of daily medication, at CHEST Annual Meeting 2023. The data are published in the CHEST Annual Meeting online supplement.</w:t>
      </w:r>
    </w:p>
    <w:p>
      <w:pPr>
        <w:spacing w:after="0" w:line="78" w:lineRule="exact"/>
        <w:rPr>
          <w:rFonts w:ascii="Arial" w:cs="Arial" w:eastAsia="Arial" w:hAnsi="Arial"/>
          <w:sz w:val="20"/>
          <w:szCs w:val="20"/>
          <w:color w:val="auto"/>
        </w:rPr>
      </w:pPr>
    </w:p>
    <w:p>
      <w:pPr>
        <w:jc w:val="both"/>
        <w:ind w:firstLine="3"/>
        <w:spacing w:after="0" w:line="255" w:lineRule="auto"/>
        <w:tabs>
          <w:tab w:leader="none" w:pos="716" w:val="left"/>
        </w:tabs>
        <w:numPr>
          <w:ilvl w:val="0"/>
          <w:numId w:val="49"/>
        </w:numPr>
        <w:rPr>
          <w:rFonts w:ascii="Arial" w:cs="Arial" w:eastAsia="Arial" w:hAnsi="Arial"/>
          <w:sz w:val="19"/>
          <w:szCs w:val="19"/>
          <w:color w:val="auto"/>
        </w:rPr>
      </w:pPr>
      <w:r>
        <w:rPr>
          <w:rFonts w:ascii="Arial" w:cs="Arial" w:eastAsia="Arial" w:hAnsi="Arial"/>
          <w:sz w:val="19"/>
          <w:szCs w:val="19"/>
          <w:color w:val="auto"/>
        </w:rPr>
        <w:t>Also at CHEST Annual Meeting, we launched a disease awareness campaign highlighting that despite suffering symptoms that have a substantial impact on everyday life, many COPD patients struggle to fully disclose to their healthcare provider the true extent or severity of their symptoms. This campaign was designed to encourage healthcare providers to find out how patients are coping with COPD.</w:t>
      </w:r>
    </w:p>
    <w:p>
      <w:pPr>
        <w:spacing w:after="0" w:line="66" w:lineRule="exact"/>
        <w:rPr>
          <w:rFonts w:ascii="Arial" w:cs="Arial" w:eastAsia="Arial" w:hAnsi="Arial"/>
          <w:sz w:val="19"/>
          <w:szCs w:val="19"/>
          <w:color w:val="auto"/>
        </w:rPr>
      </w:pPr>
    </w:p>
    <w:p>
      <w:pPr>
        <w:jc w:val="both"/>
        <w:ind w:firstLine="3"/>
        <w:spacing w:after="0" w:line="252" w:lineRule="auto"/>
        <w:tabs>
          <w:tab w:leader="none" w:pos="7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In September 2023, we gave a presentation on an analysis of the ENHANCE-1 24-week exacerbation data at ERS International Congress 2023. The abstract is published in the peer reviewed publication, </w:t>
      </w:r>
      <w:r>
        <w:rPr>
          <w:rFonts w:ascii="Arial" w:cs="Arial" w:eastAsia="Arial" w:hAnsi="Arial"/>
          <w:sz w:val="18"/>
          <w:szCs w:val="18"/>
          <w:b w:val="1"/>
          <w:bCs w:val="1"/>
          <w:i w:val="1"/>
          <w:iCs w:val="1"/>
          <w:color w:val="auto"/>
        </w:rPr>
        <w:t>European</w:t>
      </w:r>
    </w:p>
    <w:p>
      <w:pPr>
        <w:spacing w:after="0"/>
        <w:rPr>
          <w:rFonts w:ascii="Arial" w:cs="Arial" w:eastAsia="Arial" w:hAnsi="Arial"/>
          <w:sz w:val="18"/>
          <w:szCs w:val="18"/>
          <w:color w:val="auto"/>
        </w:rPr>
      </w:pPr>
      <w:r>
        <w:rPr>
          <w:rFonts w:ascii="Arial" w:cs="Arial" w:eastAsia="Arial" w:hAnsi="Arial"/>
          <w:sz w:val="20"/>
          <w:szCs w:val="20"/>
          <w:b w:val="1"/>
          <w:bCs w:val="1"/>
          <w:i w:val="1"/>
          <w:iCs w:val="1"/>
          <w:color w:val="auto"/>
        </w:rPr>
        <w:t>Respiratory Journal.</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If approved, we intend to commercialize inhaled ensifentrine for the maintenance treatment of COPD in the United States (“U.S.”). Ensifentrine is not considered a drug device combination because patients use a readily available standard jet nebulizer to take ensifentrine. Outside the U.S., we intend to license ensifentrine to companies with expertise and experience in developing and commercializing products in those regions. To that end, we have entered into a strategic collaboration with Nuance Pharma Limited, a Shanghai-based specialty pharmaceutical company (“Nuance Pharma”), to develop and commercialize ensifentrine in Greater China.</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Phase 2 clinical trials, ensifentrine has demonstrated positive results in patients with COPD, asthma and cystic fibrosis (“CF”). Two additional formulations of ensifentrine have been evaluated in Phase 2 trials for the treatment of COPD: dry powder inhaler (“DPI”) and pressurized metered-dose inhaler (“pMDI”).</w:t>
      </w:r>
    </w:p>
    <w:p>
      <w:pPr>
        <w:spacing w:after="0" w:line="58"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have incurred recurring losses and negative cash flows from operations since inception, and have an accumulated deficit of $388.4 million as of December 31, 2023. We expect to incur additional losses and negative cash flows from operations until our product candidates potentially gain regulatory approval and reach commercial profitability, if at all.</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We anticipate significant expenses in connection with our ongoing activities, if and as we:</w:t>
      </w:r>
    </w:p>
    <w:p>
      <w:pPr>
        <w:spacing w:after="0" w:line="108" w:lineRule="exact"/>
        <w:rPr>
          <w:sz w:val="20"/>
          <w:szCs w:val="20"/>
          <w:color w:val="auto"/>
        </w:rPr>
      </w:pPr>
    </w:p>
    <w:p>
      <w:pPr>
        <w:jc w:val="both"/>
        <w:ind w:left="360" w:hanging="357"/>
        <w:spacing w:after="0" w:line="244" w:lineRule="auto"/>
        <w:tabs>
          <w:tab w:leader="none" w:pos="3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establish a sales, marketing and distribution infrastructure, ramp up production to commercial scale with our manufacturing and other Chemistry, Manufacturing and Controls activities to potentially commercialize any products for which we may obtain regulatory approval;</w:t>
      </w:r>
    </w:p>
    <w:p>
      <w:pPr>
        <w:spacing w:after="0" w:line="74"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continue the clinical development of our DPI and pMDI formulations of ensifentrine and research and development of other formulations of ensifentrine, as well as a fixed-dose combination of ensifentrine and a long-acting muscarinic antagonist;</w:t>
      </w:r>
    </w:p>
    <w:p>
      <w:pPr>
        <w:spacing w:after="0" w:line="74"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initiate and conduct further clinical trials for ensifentrine for the treatment of non-CF bronchiectasis, acute COPD, CF or any other indication;</w:t>
      </w:r>
    </w:p>
    <w:p>
      <w:pPr>
        <w:spacing w:after="0" w:line="58" w:lineRule="exact"/>
        <w:rPr>
          <w:rFonts w:ascii="Arial" w:cs="Arial" w:eastAsia="Arial" w:hAnsi="Arial"/>
          <w:sz w:val="20"/>
          <w:szCs w:val="20"/>
          <w:color w:val="auto"/>
        </w:rPr>
      </w:pPr>
    </w:p>
    <w:p>
      <w:pPr>
        <w:ind w:left="360" w:hanging="357"/>
        <w:spacing w:after="0"/>
        <w:tabs>
          <w:tab w:leader="none" w:pos="3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initiate and progress pre-clinical studies relating to other potential indications of ensifentrine;</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seek to discover and develop additional product candidates;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seek regulatory approvals for any of our product candidates that successfully complete clinical trials;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maintain, expand and protect our intellectual property portfolio;</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seek to discover and develop or in-license additional respiratory product candidates;</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9320"/>
          </w:cols>
          <w:pgMar w:left="1280" w:top="1229" w:right="1280" w:bottom="0" w:gutter="0" w:footer="0" w:header="0"/>
          <w:type w:val="continuous"/>
        </w:sectPr>
      </w:pPr>
    </w:p>
    <w:bookmarkStart w:id="90" w:name="page91"/>
    <w:bookmarkEnd w:id="90"/>
    <w:p>
      <w:pPr>
        <w:jc w:val="both"/>
        <w:ind w:left="360" w:hanging="357"/>
        <w:spacing w:after="0" w:line="244" w:lineRule="auto"/>
        <w:tabs>
          <w:tab w:leader="none" w:pos="3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add clinical, scientific, operational, financial and management information systems and personnel, including personnel to support our product development and potential future commercialization efforts and to support our continuing operations as a U.S. public company; and</w:t>
      </w:r>
    </w:p>
    <w:p>
      <w:pPr>
        <w:spacing w:after="0" w:line="74"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experience any delays or encounter any issues from any of the above, including but not limited to failed studies, complex results, safety issues or other regulatory challenges.</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December 27, 2023, we entered into a term loan facility (the “2023 Term Loan”) of up to $400.0 million with Oxford Finance LLC (“Oxford”), as collateral agent, and certain funds managed by Oxford and Hercules Capital, Inc. At closing $50.0 million was funded with up to four additional advances of an aggregate $350.0 million available subject to meeting certain regulatory and commercial milestones. The 2023 Term Loan replaced the our existing $150.0 million facility with Oxford Finance Luxembourg S.A R.L. Refer to Note 5 - Debt to our Consolidated Financial Statements and related notes included elsewhere in this Annual Report for additional details.</w:t>
      </w:r>
    </w:p>
    <w:p>
      <w:pPr>
        <w:spacing w:after="0" w:line="56"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We believe that our cash and cash equivalents as of December 31, 2023 and funding expected to become available under the 2023 Term Loan will enable us to fund our planned operating expenses and capital expenditure requirements through at least the end of 2026 including the planned commercial launch of ensifentrine in the U.S., if approved. The remaining advances under the 2023 Term Loan are contingent upon the achievement of certain clinical and regulatory milestones and other specified conditions. See “Liquidity and capital resources”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agreements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Ligand agreement</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2006 we acquired Rhinopharma and assumed contingent liabilities owed to Ligand UK Development Limited (“Ligand”) (formerly Vernalis Development Limited). We refer to the assignment and license agreement as the Ligand Agreement.</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Ligand assigned to us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We are obligated to pay a milestone payment of £5.0 million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 Royalties payable are based on the future sales performance so the amount payable is unlimited.</w:t>
      </w:r>
    </w:p>
    <w:p>
      <w:pPr>
        <w:spacing w:after="0" w:line="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the time each contingency is resolved, we will record the contingent consideration payment (or payable) in connection with the Ligand Agreement as an expense.</w:t>
      </w:r>
    </w:p>
    <w:p>
      <w:pPr>
        <w:spacing w:after="0" w:line="59"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In March 2022, we entered into an Amendment Agreement (the “Amendment”) with Ligand whereby the Ligand Agreement was amended to clarify certain ambiguous terms in the Ligand Agreement. Pursuant to the Amendment:</w:t>
      </w:r>
    </w:p>
    <w:p>
      <w:pPr>
        <w:spacing w:after="0" w:line="14" w:lineRule="exact"/>
        <w:rPr>
          <w:sz w:val="20"/>
          <w:szCs w:val="20"/>
          <w:color w:val="auto"/>
        </w:rPr>
      </w:pPr>
    </w:p>
    <w:p>
      <w:pPr>
        <w:jc w:val="both"/>
        <w:ind w:left="360" w:hanging="357"/>
        <w:spacing w:after="0" w:line="251" w:lineRule="auto"/>
        <w:tabs>
          <w:tab w:leader="none" w:pos="3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we agreed to pay to Ligand (i) $2.0 million within five business days of the date of the Amendment and (ii) $15.0 million upon the first commercial sale of ensifentrine by us or a sub-licensee, which amount is payable in cash or, at the our discretion, by the issuance of Company equity of equivalent value, as determined based on the volume-weighted average price of the our American Depositary Shares on the Nasdaq Global Market over the ten (10) trading days including and prior to such milestone event;</w:t>
      </w:r>
    </w:p>
    <w:p>
      <w:pPr>
        <w:spacing w:after="0" w:line="71" w:lineRule="exact"/>
        <w:rPr>
          <w:rFonts w:ascii="Arial" w:cs="Arial" w:eastAsia="Arial" w:hAnsi="Arial"/>
          <w:sz w:val="19"/>
          <w:szCs w:val="19"/>
          <w:color w:val="auto"/>
        </w:rPr>
      </w:pPr>
    </w:p>
    <w:p>
      <w:pPr>
        <w:ind w:left="360" w:hanging="357"/>
        <w:spacing w:after="0" w:line="260" w:lineRule="auto"/>
        <w:tabs>
          <w:tab w:leader="none" w:pos="3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Ligand Agreement shall expire on March 24, 2042 unless terminated earlier by either party in accordance with its terms;</w:t>
      </w:r>
    </w:p>
    <w:p>
      <w:pPr>
        <w:spacing w:after="0" w:line="5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upon termination of the Ligand Agreement, any Sub-licensee (as defined in the Amendment) shall have the right to enter into a direct license agreement with Ligand for the portion of the Program IP (as defined in the Amendment) that was sub-licensed by such Sub-licensee;</w:t>
      </w:r>
    </w:p>
    <w:p>
      <w:pPr>
        <w:spacing w:after="0" w:line="74"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Milestone Payment may be paid in cash or, at our discretion, by issuing to Ligand shares in the Company of equivalent value; and</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9320"/>
          </w:cols>
          <w:pgMar w:left="1280" w:top="1229" w:right="1280" w:bottom="0" w:gutter="0" w:footer="0" w:header="0"/>
          <w:type w:val="continuous"/>
        </w:sectPr>
      </w:pPr>
    </w:p>
    <w:bookmarkStart w:id="91" w:name="page92"/>
    <w:bookmarkEnd w:id="91"/>
    <w:p>
      <w:pPr>
        <w:jc w:val="both"/>
        <w:ind w:left="360" w:hanging="357"/>
        <w:spacing w:after="0" w:line="244" w:lineRule="auto"/>
        <w:tabs>
          <w:tab w:leader="none" w:pos="3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each party’s right to terminate the Ligand Agreement is conditioned upon such party obtaining a final judgment of the English High Court declaring that the other party is in material breach of its obligations under the Ligand Agreement.</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accounted for the $2.0 million payment at execution of the Amendment as selling, general and administrative expense in the consolidated statements of operations and comprehensive loss as the payment is related to a contract modification.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Nuance agreement</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entered into a collaboration and license agreement (the “Nuance Agreement”) with Nuance Pharma effective June 9, 2021 (the “Nuance Effective Date”) under which we granted Nuance Pharma the exclusive rights to develop and commercialize ensifentrine in Greater China (China, Taiwan, Hong Kong and Macau). In return, we received an unconditional right to consideration aggregating $40.0 million consisting of $25.0 million in cash and an equity interest valued at $15.0 million as of the Effective Date in Nuance Biotech, the parent company of Nuance Pharma. We are eligible to receive future milestone payments of up to $179.0 million, triggered upon achievement of certain clinical, regulatory, and commercial milestones as well as tiered double-digit royalties on net sales in Greater China. We will recognize these milestones when it is probable that a significant revenue reversal would not occur.</w:t>
      </w:r>
    </w:p>
    <w:p>
      <w:pPr>
        <w:spacing w:after="0" w:line="6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As of December 31, 2023, the $15.0 million equity interest was recorded as Equity interest on the Consolidated Balance Sheet, included elsewhere in this Annual Report. The Equity interest is recorded at cost as we have elected to use the measurement alternative for equity investments without readily determinable fair values. We will evaluate this investment for indicators of impairment quarterly. We evaluate this investment for indicators of impairment quarterly. We did not identify events or changes in circumstances that may have a significant effect on the fair value of the investment during the year ended December 31, 2023.</w:t>
      </w:r>
    </w:p>
    <w:p>
      <w:pPr>
        <w:spacing w:after="0" w:line="7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Nuance Pharma will be responsible for all costs related to clinical development and commercialization of ensifentrine in Greater China. In August 2022, Nuance Pharma, received clearance from China’s Center for Drug Evaluation to begin Phase 1 and Phase 3 studies with ensifentrine for COPD in mainland China. Nuance Pharma initiated a Phase 1 trial with ensifentrine in healthy volunteers in March 2023. In April 2023, Nuance Pharma dosed the first subject in its pivotal Phase 3 clinical trial evaluating ensifentrine for the maintenance treatment of COPD in mainland China. A joint steering committee has been established between us and Nuance Pharma to oversee and coordinate the overall conduct of such clinical development and commercialization. We intend to use the joint steering committee to help ensure the clinical development of ensifentrine in Greater China aligns with our overall global development and commercialization strategy.</w:t>
      </w:r>
    </w:p>
    <w:p>
      <w:pPr>
        <w:spacing w:after="0" w:line="74"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Under the terms of the Nuance Agreement, at any time until three months prior to the expected submission of the first New Drug Application in Greater China, if (i) a third party is interested in partnering with us, either globally or in territory covering at least the United States or Europe, for the development and/or commercialization of ensifentrine or (ii) we undergo a change of control, we will have an exclusive option right to buy back the license granted to Nuance Pharma and all related assets. The price is agreed to be equal to the aggregate of (i) all prior amounts paid by Nuance Pharma to us in cash under the agreement and (ii) all development and regulatory costs incurred and paid by Nuance Pharma in connection with the development and commercialization of the ensifentrine under the Nuance Agreement multiplied by a single-digit factor range dependent upon achievement of certain milestones, subject to a specified maximum amount.</w:t>
      </w:r>
    </w:p>
    <w:p>
      <w:pPr>
        <w:spacing w:after="0" w:line="7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5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reviewed the buy-back option and determined that because it is conditional on a third party we do not have the practical ability to exercise it and, accordingly, the contract is accounted for under ASC 606.</w:t>
      </w:r>
    </w:p>
    <w:p>
      <w:pPr>
        <w:spacing w:after="0" w:line="5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On April 13, 2022, we entered into an Agreement for the Manufacture and Supply of ensifentrine (“Nuance Supply Agreement”) with Nuance Pharma. We determined that the manufacturing and supply of ensifentrine to Nuance represents a distinct and separate performance obligation, for which consideration to be received is variable based on the quantities to be ordered by Nuance. Revenue earned with the manufacture and supply of the licensed product is, and will be, recognized as the supply is delivered to Nuance. We have determined we are acting as principal in relation to the manufacture and supply under the Agreement. In its capacity as principal, we will recognize the associated revenue on a gross basis. In the year ended December 31, 2022, we recognized $0.5 million in relation to the clinical supply of ensifentrine to Nuance Pharma.</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9320"/>
          </w:cols>
          <w:pgMar w:left="1280" w:top="1229" w:right="1280" w:bottom="0" w:gutter="0" w:footer="0" w:header="0"/>
          <w:type w:val="continuous"/>
        </w:sectPr>
      </w:pPr>
    </w:p>
    <w:bookmarkStart w:id="92" w:name="page93"/>
    <w:bookmarkEnd w:id="92"/>
    <w:p>
      <w:pPr>
        <w:jc w:val="both"/>
        <w:spacing w:after="0" w:line="260" w:lineRule="auto"/>
        <w:rPr>
          <w:sz w:val="20"/>
          <w:szCs w:val="20"/>
          <w:color w:val="auto"/>
        </w:rPr>
      </w:pPr>
      <w:r>
        <w:rPr>
          <w:rFonts w:ascii="Arial" w:cs="Arial" w:eastAsia="Arial" w:hAnsi="Arial"/>
          <w:sz w:val="20"/>
          <w:szCs w:val="20"/>
          <w:color w:val="auto"/>
        </w:rPr>
        <w:t>For additional information regarding the Nuance Agreement, see Note 6 - Significant agreements to our Consolidated Financial Statements and related notes included elsewhere in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of America (“U.S. GAAP”). The preparation of these financial statements requires us to make estimates, judgments and assumptions that affect the reported amounts of assets and liabilities, disclosure of contingent liabilities as of the dates of the balance sheets and the reported amounts of expenses during the reporting periods. In accordance with U.S. GAAP, we evaluate our estimates and judgments on an ongoing basis.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While our significant accounting policies are described in more detail in the notes to our Consolidated Financial Statements included elsewhere in this Annual Report, we believe that the following accounting policy is most critical to the judgments and estimates used in the preparation of our Consolidated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costs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(“R&amp;D”) costs are charged to the consolidated statements of operations and comprehensive loss, as incurred. We are required to estimate our expenses resulting from our obligation under contracts with vendors and consultants and clinical site agreements in connection with our R&amp;D efforts. The financial terms of these contracts are subject to negotiations which vary contract to contract and may result in payment flows that do not match the periods over which materials or services are provided under such contracts. Our objective is to reflect the appropriate clinical trial expenses in our financial statements by matching those expenses with the period in which services and efforts are expended. We account for these expenses according to the progress of the trials and other development activities measured by patient progression and the timing of various aspects of the trial. We also determine prepaid and accrual estimates through discussions with applicable personnel and outside service providers as to the progress of clinical trials, or other services completed. During the course of a clinical trial, we may adjust our rate of clinical trial expense recognition if actual results differ from its estimates. We make estimates of our prepaid and accrued expenses as of each balance sheet date in our financial statements based on facts and circumstances known at that time.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for any particular period. Our clinical trial prepaid and accrual expense is dependent upon the timely and accurate reporting of study recruitment from contract research organizations and activities carried out by other third-party vendors as well as the timely processing of any change orders from the contract research organizations. As of December 31, 2023 and 2022, accrued expenses related to clinical trial and other development costs was $0.7 million and $12.3 million.</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9320"/>
          </w:cols>
          <w:pgMar w:left="1280" w:top="1229" w:right="1280" w:bottom="0" w:gutter="0" w:footer="0" w:header="0"/>
          <w:type w:val="continuous"/>
        </w:sectPr>
      </w:pPr>
    </w:p>
    <w:bookmarkStart w:id="93" w:name="page94"/>
    <w:bookmarkEnd w:id="93"/>
    <w:p>
      <w:pPr>
        <w:spacing w:after="0"/>
        <w:rPr>
          <w:sz w:val="20"/>
          <w:szCs w:val="20"/>
          <w:color w:val="auto"/>
        </w:rPr>
      </w:pPr>
      <w:r>
        <w:rPr>
          <w:rFonts w:ascii="Arial" w:cs="Arial" w:eastAsia="Arial" w:hAnsi="Arial"/>
          <w:sz w:val="20"/>
          <w:szCs w:val="20"/>
          <w:b w:val="1"/>
          <w:bCs w:val="1"/>
          <w:color w:val="auto"/>
        </w:rPr>
        <w:t>Components of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We anticipate that our expenses will increase substantially if and as we:</w:t>
      </w:r>
    </w:p>
    <w:p>
      <w:pPr>
        <w:spacing w:after="0" w:line="108" w:lineRule="exact"/>
        <w:rPr>
          <w:sz w:val="20"/>
          <w:szCs w:val="20"/>
          <w:color w:val="auto"/>
        </w:rPr>
      </w:pPr>
    </w:p>
    <w:p>
      <w:pPr>
        <w:ind w:left="360" w:hanging="357"/>
        <w:spacing w:after="0" w:line="260"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initiate and conduct clinical trials of ensifentrine for the treatment of non-cystic fibrosis bronchiectasis (“NCFBE”), cystic fibrosis (“CF”), asthma or other indications;</w:t>
      </w:r>
    </w:p>
    <w:p>
      <w:pPr>
        <w:spacing w:after="0" w:line="58" w:lineRule="exact"/>
        <w:rPr>
          <w:rFonts w:ascii="Arial" w:cs="Arial" w:eastAsia="Arial" w:hAnsi="Arial"/>
          <w:sz w:val="20"/>
          <w:szCs w:val="20"/>
          <w:color w:val="auto"/>
        </w:rPr>
      </w:pPr>
    </w:p>
    <w:p>
      <w:pPr>
        <w:jc w:val="both"/>
        <w:ind w:left="360" w:hanging="357"/>
        <w:spacing w:after="0" w:line="315" w:lineRule="auto"/>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initiate and conduct other future clinical trials of ensifentrine in other formulations, including in combination with other active ingredients including fixed-dose combinations, for the treatment of COPD or other indications;</w:t>
      </w:r>
    </w:p>
    <w:p>
      <w:pPr>
        <w:spacing w:after="0" w:line="13" w:lineRule="exact"/>
        <w:rPr>
          <w:rFonts w:ascii="Arial" w:cs="Arial" w:eastAsia="Arial" w:hAnsi="Arial"/>
          <w:sz w:val="18"/>
          <w:szCs w:val="18"/>
          <w:color w:val="auto"/>
        </w:rPr>
      </w:pPr>
    </w:p>
    <w:p>
      <w:pPr>
        <w:ind w:left="360" w:hanging="357"/>
        <w:spacing w:after="0"/>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initiate and conduct clinical pharmacology studies with any formulation;</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seek to discover and develop or in-license additional respiratory product candidates;</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conduct pre-clinical studies to support ensifentrine and potentially other future product candidates;</w:t>
      </w:r>
    </w:p>
    <w:p>
      <w:pPr>
        <w:spacing w:after="0" w:line="10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develop the manufacturing processes and produce clinical and commercial supplies of the ensifentrine active pharmaceutical ingredient and formulated drug products derived from it;</w:t>
      </w:r>
    </w:p>
    <w:p>
      <w:pPr>
        <w:spacing w:after="0" w:line="58" w:lineRule="exact"/>
        <w:rPr>
          <w:rFonts w:ascii="Arial" w:cs="Arial" w:eastAsia="Arial" w:hAnsi="Arial"/>
          <w:sz w:val="20"/>
          <w:szCs w:val="20"/>
          <w:color w:val="auto"/>
        </w:rPr>
      </w:pPr>
    </w:p>
    <w:p>
      <w:pPr>
        <w:ind w:left="360" w:hanging="357"/>
        <w:spacing w:after="0"/>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seek regulatory approvals of ensifentrine;</w:t>
      </w:r>
    </w:p>
    <w:p>
      <w:pPr>
        <w:spacing w:after="0" w:line="10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grow the commercial infrastructure to support the potential commercialization of ensifentrine, including sales, marketing, operations, reimbursement and distribution infrastructure and scale-up manufacturing capabilities to commercialize ensifentrine, if approved;</w:t>
      </w:r>
    </w:p>
    <w:p>
      <w:pPr>
        <w:spacing w:after="0" w:line="74" w:lineRule="exact"/>
        <w:rPr>
          <w:rFonts w:ascii="Arial" w:cs="Arial" w:eastAsia="Arial" w:hAnsi="Arial"/>
          <w:sz w:val="20"/>
          <w:szCs w:val="20"/>
          <w:color w:val="auto"/>
        </w:rPr>
      </w:pPr>
    </w:p>
    <w:p>
      <w:pPr>
        <w:ind w:left="360" w:hanging="357"/>
        <w:spacing w:after="0"/>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maintain, expand and protect our intellectual property portfolio;</w:t>
      </w:r>
    </w:p>
    <w:p>
      <w:pPr>
        <w:spacing w:after="0" w:line="108" w:lineRule="exact"/>
        <w:rPr>
          <w:rFonts w:ascii="Arial" w:cs="Arial" w:eastAsia="Arial" w:hAnsi="Arial"/>
          <w:sz w:val="20"/>
          <w:szCs w:val="20"/>
          <w:color w:val="auto"/>
        </w:rPr>
      </w:pPr>
    </w:p>
    <w:p>
      <w:pPr>
        <w:ind w:left="360" w:hanging="357"/>
        <w:spacing w:after="0"/>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secure, maintain or obtain freedom to operate for our in-licensed technologies and products;</w:t>
      </w:r>
    </w:p>
    <w:p>
      <w:pPr>
        <w:spacing w:after="0" w:line="108" w:lineRule="exact"/>
        <w:rPr>
          <w:rFonts w:ascii="Arial" w:cs="Arial" w:eastAsia="Arial" w:hAnsi="Arial"/>
          <w:sz w:val="20"/>
          <w:szCs w:val="20"/>
          <w:color w:val="auto"/>
        </w:rPr>
      </w:pPr>
    </w:p>
    <w:p>
      <w:pPr>
        <w:ind w:left="360" w:hanging="357"/>
        <w:spacing w:after="0" w:line="286" w:lineRule="auto"/>
        <w:tabs>
          <w:tab w:leader="none" w:pos="3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add clinical, scientific, operational, financial and management information systems and personnel, including personnel to support our product development and potential future commercialization efforts; and</w:t>
      </w:r>
    </w:p>
    <w:p>
      <w:pPr>
        <w:spacing w:after="0" w:line="36" w:lineRule="exact"/>
        <w:rPr>
          <w:rFonts w:ascii="Arial" w:cs="Arial" w:eastAsia="Arial" w:hAnsi="Arial"/>
          <w:sz w:val="19"/>
          <w:szCs w:val="19"/>
          <w:color w:val="auto"/>
        </w:rPr>
      </w:pPr>
    </w:p>
    <w:p>
      <w:pPr>
        <w:ind w:left="360" w:hanging="357"/>
        <w:spacing w:after="0"/>
        <w:tabs>
          <w:tab w:leader="none" w:pos="3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expand our operations in the United States, the United Kingdom (“U.K.”) and possibly elsewhere.</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To date, we have not generated revenue from the sale of any products. All revenue to date has been derived from the receipt of up-front proceeds and supply of ensifentrine under the Nuance Agreement.</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future, we anticipate generating revenue from a combination of sales of our products, if approved, whether through our own or a third-party sales force, and license fees, milestone payments and royalties in connection with strategic collaborations regarding ensifentrine or other potential products. We expect that any revenue we generate will fluctuate from quarter to quarter. If we or our strategic partners fail to complete the development of ensifentrine in a timely manner or obtain regulatory approval for them, or if we fail to develop our own sales force or find one or more strategic partners for the commercialization of approved products, our ability to generate future revenue, and our financial condition and results of operations would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costs</w:t>
      </w:r>
    </w:p>
    <w:p>
      <w:pPr>
        <w:spacing w:after="0" w:line="11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Research and development costs consist of salary and personnel related costs and third party costs for our research and development activities for ensifentrine. Personnel related costs include a share-based compensation charge relating to our stock option plan. The largest component of third party costs is for clinical trials, as well as manufacturing for clinical supplies and associated development, and pre-clinical studies. Research and development costs are expensed as incurred.</w:t>
      </w:r>
    </w:p>
    <w:p>
      <w:pPr>
        <w:spacing w:after="0" w:line="7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As the Phase 3 ENHANCE program has completed study conduct and analysis, we expect our research and development costs to decrease as compared to the prior year same period over the first half of 2024 until we add new compounds or develop ensifentrine further in other delivery methods or indications. Due to the nature of research and development, the expected costs are inherently uncertain and may vary significantly from our current expectations.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general and administrative costs</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Selling, general and administrative costs consist of salary and personnel related costs, including share-based compensation, expenses relating to operating as a public company, including professional fees, insurance and commercial related costs, as well as other operating expenses.</w:t>
      </w:r>
    </w:p>
    <w:p>
      <w:pPr>
        <w:sectPr>
          <w:pgSz w:w="11880" w:h="15480" w:orient="portrait"/>
          <w:cols w:equalWidth="0" w:num="1">
            <w:col w:w="9320"/>
          </w:cols>
          <w:pgMar w:left="1280" w:top="1222"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9320"/>
          </w:cols>
          <w:pgMar w:left="1280" w:top="1222" w:right="1280" w:bottom="0" w:gutter="0" w:footer="0" w:header="0"/>
          <w:type w:val="continuous"/>
        </w:sectPr>
      </w:pPr>
    </w:p>
    <w:bookmarkStart w:id="94" w:name="page95"/>
    <w:bookmarkEnd w:id="94"/>
    <w:p>
      <w:pPr>
        <w:jc w:val="both"/>
        <w:spacing w:after="0" w:line="239" w:lineRule="auto"/>
        <w:rPr>
          <w:sz w:val="20"/>
          <w:szCs w:val="20"/>
          <w:color w:val="auto"/>
        </w:rPr>
      </w:pPr>
      <w:r>
        <w:rPr>
          <w:rFonts w:ascii="Arial" w:cs="Arial" w:eastAsia="Arial" w:hAnsi="Arial"/>
          <w:sz w:val="20"/>
          <w:szCs w:val="20"/>
          <w:color w:val="auto"/>
        </w:rPr>
        <w:t>We expect commercial costs to significantly increase as we continue to develop our commercial operations, prepare for a potential launch and, in the event of successful regulatory approval, incur sales force, marketing and other launch related costs. As we develop our knowledge of the market and refine our commercialization plans, expected costs may vary significantly from our current expectations.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income/(expense)</w:t>
      </w:r>
    </w:p>
    <w:p>
      <w:pPr>
        <w:spacing w:after="0" w:line="111"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Other income/(expense) are driven by interest income and expense, foreign exchange movements on cash and cash equivalents and taxes receivable, and the U.K. research and development tax credits (the “R&amp;D tax credit”).</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participate in the U.K. Small and Medium Enterprises research and development tax relief program. The tax credits are calculated as a percentage of qualifying research and development expenditure and are payable in cash by the U.K. government to us. Credits recorded related to the 2022 and 2023 financial years are expected to be received in 2024.</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Taxation</w:t>
      </w:r>
    </w:p>
    <w:p>
      <w:pPr>
        <w:spacing w:after="0" w:line="11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are subject to corporate taxation in the United States and the United Kingdom. We have generated losses since inception and have therefore not paid United Kingdom corporation tax. The income taxes presented in our consolidated statements of operations and comprehensive loss represents the tax impact from our operating activities in the United States, which generates taxable income based on intercompany service arrangements.</w:t>
      </w:r>
    </w:p>
    <w:p>
      <w:pPr>
        <w:spacing w:after="0" w:line="5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United Kingdom losses may be carried forward indefinitely to be offset against future taxable profits, subject to various utilization criteria and restrictions. The amount that can be offset each year is limited to £5.0 million plus an incremental 50% of U.K. taxable profits.</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9320"/>
          </w:cols>
          <w:pgMar w:left="1280" w:top="1229" w:right="1280" w:bottom="0" w:gutter="0" w:footer="0" w:header="0"/>
          <w:type w:val="continuous"/>
        </w:sectPr>
      </w:pPr>
    </w:p>
    <w:bookmarkStart w:id="95" w:name="page96"/>
    <w:bookmarkEnd w:id="95"/>
    <w:p>
      <w:pPr>
        <w:spacing w:after="0"/>
        <w:rPr>
          <w:sz w:val="20"/>
          <w:szCs w:val="20"/>
          <w:color w:val="auto"/>
        </w:rPr>
      </w:pPr>
      <w:r>
        <w:rPr>
          <w:rFonts w:ascii="Arial" w:cs="Arial" w:eastAsia="Arial" w:hAnsi="Arial"/>
          <w:sz w:val="20"/>
          <w:szCs w:val="20"/>
          <w:b w:val="1"/>
          <w:bCs w:val="1"/>
          <w:color w:val="auto"/>
        </w:rPr>
        <w:t>Results of operations for the years ended December 31, 2023 and 2022</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shows our statements of operations for the years ended December 31, 2023 and 2022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572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E6E6E6"/>
            </w:tcBorders>
          </w:tcPr>
          <w:p>
            <w:pPr>
              <w:spacing w:after="0"/>
              <w:rPr>
                <w:sz w:val="19"/>
                <w:szCs w:val="19"/>
                <w:color w:val="auto"/>
              </w:rPr>
            </w:pPr>
          </w:p>
        </w:tc>
        <w:tc>
          <w:tcPr>
            <w:tcW w:w="20" w:type="dxa"/>
            <w:vAlign w:val="bottom"/>
            <w:tcBorders>
              <w:bottom w:val="single" w:sz="8" w:color="E6E6E6"/>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Variance</w:t>
            </w:r>
          </w:p>
        </w:tc>
      </w:tr>
      <w:tr>
        <w:trPr>
          <w:trHeight w:val="244"/>
        </w:trPr>
        <w:tc>
          <w:tcPr>
            <w:tcW w:w="5740" w:type="dxa"/>
            <w:vAlign w:val="bottom"/>
            <w:gridSpan w:val="2"/>
            <w:shd w:val="clear" w:color="auto" w:fill="E6E6E6"/>
          </w:tcPr>
          <w:p>
            <w:pPr>
              <w:ind w:left="300"/>
              <w:spacing w:after="0"/>
              <w:rPr>
                <w:sz w:val="20"/>
                <w:szCs w:val="20"/>
                <w:color w:val="auto"/>
              </w:rPr>
            </w:pPr>
            <w:r>
              <w:rPr>
                <w:rFonts w:ascii="Arial" w:cs="Arial" w:eastAsia="Arial" w:hAnsi="Arial"/>
                <w:sz w:val="20"/>
                <w:szCs w:val="20"/>
                <w:color w:val="auto"/>
              </w:rPr>
              <w:t>Revenue</w:t>
            </w:r>
          </w:p>
        </w:tc>
        <w:tc>
          <w:tcPr>
            <w:tcW w:w="22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60" w:type="dxa"/>
            <w:vAlign w:val="bottom"/>
            <w:shd w:val="clear" w:color="auto" w:fill="E6E6E6"/>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458</w:t>
            </w: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(458)</w:t>
            </w:r>
          </w:p>
        </w:tc>
        <w:tc>
          <w:tcPr>
            <w:tcW w:w="20" w:type="dxa"/>
            <w:vAlign w:val="bottom"/>
            <w:shd w:val="clear" w:color="auto" w:fill="E6E6E6"/>
          </w:tcPr>
          <w:p>
            <w:pPr>
              <w:spacing w:after="0"/>
              <w:rPr>
                <w:sz w:val="21"/>
                <w:szCs w:val="21"/>
                <w:color w:val="auto"/>
              </w:rPr>
            </w:pPr>
          </w:p>
        </w:tc>
      </w:tr>
      <w:tr>
        <w:trPr>
          <w:trHeight w:val="244"/>
        </w:trPr>
        <w:tc>
          <w:tcPr>
            <w:tcW w:w="5740" w:type="dxa"/>
            <w:vAlign w:val="bottom"/>
            <w:gridSpan w:val="2"/>
          </w:tcPr>
          <w:p>
            <w:pPr>
              <w:ind w:left="300"/>
              <w:spacing w:after="0"/>
              <w:rPr>
                <w:sz w:val="20"/>
                <w:szCs w:val="20"/>
                <w:color w:val="auto"/>
              </w:rPr>
            </w:pPr>
            <w:r>
              <w:rPr>
                <w:rFonts w:ascii="Arial" w:cs="Arial" w:eastAsia="Arial" w:hAnsi="Arial"/>
                <w:sz w:val="20"/>
                <w:szCs w:val="20"/>
                <w:color w:val="auto"/>
              </w:rPr>
              <w:t>Cost of sales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(346)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346</w:t>
            </w:r>
          </w:p>
        </w:tc>
        <w:tc>
          <w:tcPr>
            <w:tcW w:w="20" w:type="dxa"/>
            <w:vAlign w:val="bottom"/>
          </w:tcPr>
          <w:p>
            <w:pPr>
              <w:spacing w:after="0"/>
              <w:rPr>
                <w:sz w:val="21"/>
                <w:szCs w:val="21"/>
                <w:color w:val="auto"/>
              </w:rPr>
            </w:pPr>
          </w:p>
        </w:tc>
      </w:tr>
      <w:tr>
        <w:trPr>
          <w:trHeight w:val="254"/>
        </w:trPr>
        <w:tc>
          <w:tcPr>
            <w:tcW w:w="5720" w:type="dxa"/>
            <w:vAlign w:val="bottom"/>
            <w:tcBorders>
              <w:top w:val="single" w:sz="8" w:color="E6E6E6"/>
              <w:bottom w:val="single" w:sz="8" w:color="E6E6E6"/>
            </w:tcBorders>
            <w:shd w:val="clear" w:color="auto" w:fill="E6E6E6"/>
          </w:tcPr>
          <w:p>
            <w:pPr>
              <w:ind w:left="60"/>
              <w:spacing w:after="0"/>
              <w:rPr>
                <w:sz w:val="20"/>
                <w:szCs w:val="20"/>
                <w:color w:val="auto"/>
              </w:rPr>
            </w:pPr>
            <w:r>
              <w:rPr>
                <w:rFonts w:ascii="Arial" w:cs="Arial" w:eastAsia="Arial" w:hAnsi="Arial"/>
                <w:sz w:val="20"/>
                <w:szCs w:val="20"/>
                <w:b w:val="1"/>
                <w:bCs w:val="1"/>
                <w:color w:val="auto"/>
              </w:rPr>
              <w:t>Gross profit</w:t>
            </w:r>
          </w:p>
        </w:tc>
        <w:tc>
          <w:tcPr>
            <w:tcW w:w="20" w:type="dxa"/>
            <w:vAlign w:val="bottom"/>
            <w:tcBorders>
              <w:top w:val="single" w:sz="8" w:color="auto"/>
              <w:bottom w:val="single" w:sz="8" w:color="auto"/>
            </w:tcBorders>
            <w:shd w:val="clear" w:color="auto" w:fill="E6E6E6"/>
          </w:tcPr>
          <w:p>
            <w:pPr>
              <w:spacing w:after="0"/>
              <w:rPr>
                <w:sz w:val="22"/>
                <w:szCs w:val="22"/>
                <w:color w:val="auto"/>
              </w:rPr>
            </w:pPr>
          </w:p>
        </w:tc>
        <w:tc>
          <w:tcPr>
            <w:tcW w:w="220" w:type="dxa"/>
            <w:vAlign w:val="bottom"/>
            <w:tcBorders>
              <w:top w:val="single" w:sz="8" w:color="auto"/>
              <w:bottom w:val="single" w:sz="8" w:color="auto"/>
            </w:tcBorders>
            <w:shd w:val="clear" w:color="auto" w:fill="E6E6E6"/>
          </w:tcPr>
          <w:p>
            <w:pPr>
              <w:spacing w:after="0"/>
              <w:rPr>
                <w:sz w:val="22"/>
                <w:szCs w:val="22"/>
                <w:color w:val="auto"/>
              </w:rPr>
            </w:pPr>
          </w:p>
        </w:tc>
        <w:tc>
          <w:tcPr>
            <w:tcW w:w="9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top w:val="single" w:sz="8" w:color="E6E6E6"/>
              <w:bottom w:val="single" w:sz="8" w:color="E6E6E6"/>
            </w:tcBorders>
            <w:shd w:val="clear" w:color="auto" w:fill="E6E6E6"/>
          </w:tcPr>
          <w:p>
            <w:pPr>
              <w:spacing w:after="0"/>
              <w:rPr>
                <w:sz w:val="22"/>
                <w:szCs w:val="22"/>
                <w:color w:val="auto"/>
              </w:rPr>
            </w:pPr>
          </w:p>
        </w:tc>
        <w:tc>
          <w:tcPr>
            <w:tcW w:w="20" w:type="dxa"/>
            <w:vAlign w:val="bottom"/>
            <w:tcBorders>
              <w:top w:val="single" w:sz="8" w:color="E6E6E6"/>
              <w:bottom w:val="single" w:sz="8" w:color="E6E6E6"/>
            </w:tcBorders>
            <w:shd w:val="clear" w:color="auto" w:fill="E6E6E6"/>
          </w:tcPr>
          <w:p>
            <w:pPr>
              <w:spacing w:after="0"/>
              <w:rPr>
                <w:sz w:val="22"/>
                <w:szCs w:val="22"/>
                <w:color w:val="auto"/>
              </w:rPr>
            </w:pPr>
          </w:p>
        </w:tc>
        <w:tc>
          <w:tcPr>
            <w:tcW w:w="260" w:type="dxa"/>
            <w:vAlign w:val="bottom"/>
            <w:tcBorders>
              <w:top w:val="single" w:sz="8" w:color="auto"/>
              <w:bottom w:val="single" w:sz="8" w:color="auto"/>
            </w:tcBorders>
            <w:shd w:val="clear" w:color="auto" w:fill="E6E6E6"/>
          </w:tcPr>
          <w:p>
            <w:pPr>
              <w:spacing w:after="0"/>
              <w:rPr>
                <w:sz w:val="22"/>
                <w:szCs w:val="22"/>
                <w:color w:val="auto"/>
              </w:rPr>
            </w:pPr>
          </w:p>
        </w:tc>
        <w:tc>
          <w:tcPr>
            <w:tcW w:w="8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112</w:t>
            </w:r>
          </w:p>
        </w:tc>
        <w:tc>
          <w:tcPr>
            <w:tcW w:w="20" w:type="dxa"/>
            <w:vAlign w:val="bottom"/>
            <w:tcBorders>
              <w:top w:val="single" w:sz="8" w:color="E6E6E6"/>
              <w:bottom w:val="single" w:sz="8" w:color="E6E6E6"/>
            </w:tcBorders>
            <w:shd w:val="clear" w:color="auto" w:fill="E6E6E6"/>
          </w:tcPr>
          <w:p>
            <w:pPr>
              <w:spacing w:after="0"/>
              <w:rPr>
                <w:sz w:val="22"/>
                <w:szCs w:val="22"/>
                <w:color w:val="auto"/>
              </w:rPr>
            </w:pPr>
          </w:p>
        </w:tc>
        <w:tc>
          <w:tcPr>
            <w:tcW w:w="40" w:type="dxa"/>
            <w:vAlign w:val="bottom"/>
            <w:tcBorders>
              <w:top w:val="single" w:sz="8" w:color="E6E6E6"/>
              <w:bottom w:val="single" w:sz="8" w:color="E6E6E6"/>
            </w:tcBorders>
            <w:shd w:val="clear" w:color="auto" w:fill="E6E6E6"/>
          </w:tcPr>
          <w:p>
            <w:pPr>
              <w:spacing w:after="0"/>
              <w:rPr>
                <w:sz w:val="22"/>
                <w:szCs w:val="22"/>
                <w:color w:val="auto"/>
              </w:rPr>
            </w:pPr>
          </w:p>
        </w:tc>
        <w:tc>
          <w:tcPr>
            <w:tcW w:w="20" w:type="dxa"/>
            <w:vAlign w:val="bottom"/>
            <w:tcBorders>
              <w:top w:val="single" w:sz="8" w:color="E6E6E6"/>
              <w:bottom w:val="single" w:sz="8" w:color="E6E6E6"/>
            </w:tcBorders>
            <w:shd w:val="clear" w:color="auto" w:fill="E6E6E6"/>
          </w:tcPr>
          <w:p>
            <w:pPr>
              <w:spacing w:after="0"/>
              <w:rPr>
                <w:sz w:val="22"/>
                <w:szCs w:val="22"/>
                <w:color w:val="auto"/>
              </w:rPr>
            </w:pPr>
          </w:p>
        </w:tc>
        <w:tc>
          <w:tcPr>
            <w:tcW w:w="200" w:type="dxa"/>
            <w:vAlign w:val="bottom"/>
            <w:tcBorders>
              <w:top w:val="single" w:sz="8" w:color="auto"/>
              <w:bottom w:val="single" w:sz="8" w:color="auto"/>
            </w:tcBorders>
            <w:shd w:val="clear" w:color="auto" w:fill="E6E6E6"/>
          </w:tcPr>
          <w:p>
            <w:pPr>
              <w:spacing w:after="0"/>
              <w:rPr>
                <w:sz w:val="22"/>
                <w:szCs w:val="22"/>
                <w:color w:val="auto"/>
              </w:rPr>
            </w:pPr>
          </w:p>
        </w:tc>
        <w:tc>
          <w:tcPr>
            <w:tcW w:w="9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(112)</w:t>
            </w:r>
          </w:p>
        </w:tc>
        <w:tc>
          <w:tcPr>
            <w:tcW w:w="20" w:type="dxa"/>
            <w:vAlign w:val="bottom"/>
            <w:tcBorders>
              <w:top w:val="single" w:sz="8" w:color="auto"/>
              <w:bottom w:val="single" w:sz="8" w:color="auto"/>
            </w:tcBorders>
            <w:shd w:val="clear" w:color="auto" w:fill="E6E6E6"/>
          </w:tcPr>
          <w:p>
            <w:pPr>
              <w:spacing w:after="0"/>
              <w:rPr>
                <w:sz w:val="22"/>
                <w:szCs w:val="22"/>
                <w:color w:val="auto"/>
              </w:rPr>
            </w:pPr>
          </w:p>
        </w:tc>
      </w:tr>
      <w:tr>
        <w:trPr>
          <w:trHeight w:val="224"/>
        </w:trPr>
        <w:tc>
          <w:tcPr>
            <w:tcW w:w="5720" w:type="dxa"/>
            <w:vAlign w:val="bottom"/>
          </w:tcPr>
          <w:p>
            <w:pPr>
              <w:ind w:left="60"/>
              <w:spacing w:after="0" w:line="224" w:lineRule="exact"/>
              <w:rPr>
                <w:sz w:val="20"/>
                <w:szCs w:val="20"/>
                <w:color w:val="auto"/>
              </w:rPr>
            </w:pPr>
            <w:r>
              <w:rPr>
                <w:rFonts w:ascii="Arial" w:cs="Arial" w:eastAsia="Arial" w:hAnsi="Arial"/>
                <w:sz w:val="20"/>
                <w:szCs w:val="20"/>
                <w:b w:val="1"/>
                <w:bCs w:val="1"/>
                <w:color w:val="auto"/>
              </w:rPr>
              <w:t>Operating expenses: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8"/>
        </w:trPr>
        <w:tc>
          <w:tcPr>
            <w:tcW w:w="5740" w:type="dxa"/>
            <w:vAlign w:val="bottom"/>
            <w:tcBorders>
              <w:bottom w:val="single" w:sz="8" w:color="E6E6E6"/>
            </w:tcBorders>
            <w:gridSpan w:val="2"/>
            <w:shd w:val="clear" w:color="auto" w:fill="E6E6E6"/>
          </w:tcPr>
          <w:p>
            <w:pPr>
              <w:ind w:left="300"/>
              <w:spacing w:after="0"/>
              <w:rPr>
                <w:sz w:val="20"/>
                <w:szCs w:val="20"/>
                <w:color w:val="auto"/>
              </w:rPr>
            </w:pPr>
            <w:r>
              <w:rPr>
                <w:rFonts w:ascii="Arial" w:cs="Arial" w:eastAsia="Arial" w:hAnsi="Arial"/>
                <w:sz w:val="20"/>
                <w:szCs w:val="20"/>
                <w:color w:val="auto"/>
              </w:rPr>
              <w:t>Research and development (Note 11)</w:t>
            </w:r>
          </w:p>
        </w:tc>
        <w:tc>
          <w:tcPr>
            <w:tcW w:w="22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17,216</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49,283</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(32,067)</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88"/>
        </w:trPr>
        <w:tc>
          <w:tcPr>
            <w:tcW w:w="5740" w:type="dxa"/>
            <w:vAlign w:val="bottom"/>
            <w:gridSpan w:val="2"/>
          </w:tcPr>
          <w:p>
            <w:pPr>
              <w:ind w:left="300"/>
              <w:spacing w:after="0"/>
              <w:rPr>
                <w:sz w:val="20"/>
                <w:szCs w:val="20"/>
                <w:color w:val="auto"/>
              </w:rPr>
            </w:pPr>
            <w:r>
              <w:rPr>
                <w:rFonts w:ascii="Arial" w:cs="Arial" w:eastAsia="Arial" w:hAnsi="Arial"/>
                <w:sz w:val="20"/>
                <w:szCs w:val="20"/>
                <w:color w:val="auto"/>
              </w:rPr>
              <w:t>Selling, general and administrative</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50,353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26,579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23,774</w:t>
            </w:r>
          </w:p>
        </w:tc>
        <w:tc>
          <w:tcPr>
            <w:tcW w:w="20" w:type="dxa"/>
            <w:vAlign w:val="bottom"/>
          </w:tcPr>
          <w:p>
            <w:pPr>
              <w:spacing w:after="0"/>
              <w:rPr>
                <w:sz w:val="24"/>
                <w:szCs w:val="24"/>
                <w:color w:val="auto"/>
              </w:rPr>
            </w:pPr>
          </w:p>
        </w:tc>
      </w:tr>
      <w:tr>
        <w:trPr>
          <w:trHeight w:val="289"/>
        </w:trPr>
        <w:tc>
          <w:tcPr>
            <w:tcW w:w="5720" w:type="dxa"/>
            <w:vAlign w:val="bottom"/>
            <w:tcBorders>
              <w:top w:val="single" w:sz="8" w:color="E6E6E6"/>
              <w:bottom w:val="single" w:sz="8" w:color="E6E6E6"/>
            </w:tcBorders>
            <w:shd w:val="clear" w:color="auto" w:fill="E6E6E6"/>
          </w:tcPr>
          <w:p>
            <w:pPr>
              <w:ind w:left="60"/>
              <w:spacing w:after="0"/>
              <w:rPr>
                <w:sz w:val="20"/>
                <w:szCs w:val="20"/>
                <w:color w:val="auto"/>
              </w:rPr>
            </w:pPr>
            <w:r>
              <w:rPr>
                <w:rFonts w:ascii="Arial" w:cs="Arial" w:eastAsia="Arial" w:hAnsi="Arial"/>
                <w:sz w:val="20"/>
                <w:szCs w:val="20"/>
                <w:b w:val="1"/>
                <w:bCs w:val="1"/>
                <w:color w:val="auto"/>
              </w:rPr>
              <w:t>Total operating expenses</w:t>
            </w:r>
          </w:p>
        </w:tc>
        <w:tc>
          <w:tcPr>
            <w:tcW w:w="20" w:type="dxa"/>
            <w:vAlign w:val="bottom"/>
            <w:tcBorders>
              <w:top w:val="single" w:sz="8" w:color="auto"/>
              <w:bottom w:val="single" w:sz="8" w:color="auto"/>
            </w:tcBorders>
            <w:shd w:val="clear" w:color="auto" w:fill="E6E6E6"/>
          </w:tcPr>
          <w:p>
            <w:pPr>
              <w:spacing w:after="0"/>
              <w:rPr>
                <w:sz w:val="24"/>
                <w:szCs w:val="24"/>
                <w:color w:val="auto"/>
              </w:rPr>
            </w:pPr>
          </w:p>
        </w:tc>
        <w:tc>
          <w:tcPr>
            <w:tcW w:w="220" w:type="dxa"/>
            <w:vAlign w:val="bottom"/>
            <w:tcBorders>
              <w:top w:val="single" w:sz="8" w:color="auto"/>
              <w:bottom w:val="single" w:sz="8" w:color="auto"/>
            </w:tcBorders>
            <w:shd w:val="clear" w:color="auto" w:fill="E6E6E6"/>
          </w:tcPr>
          <w:p>
            <w:pPr>
              <w:spacing w:after="0"/>
              <w:rPr>
                <w:sz w:val="24"/>
                <w:szCs w:val="24"/>
                <w:color w:val="auto"/>
              </w:rPr>
            </w:pPr>
          </w:p>
        </w:tc>
        <w:tc>
          <w:tcPr>
            <w:tcW w:w="9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67,569</w:t>
            </w:r>
          </w:p>
        </w:tc>
        <w:tc>
          <w:tcPr>
            <w:tcW w:w="8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60" w:type="dxa"/>
            <w:vAlign w:val="bottom"/>
            <w:tcBorders>
              <w:top w:val="single" w:sz="8" w:color="auto"/>
              <w:bottom w:val="single" w:sz="8" w:color="auto"/>
            </w:tcBorders>
            <w:shd w:val="clear" w:color="auto" w:fill="E6E6E6"/>
          </w:tcPr>
          <w:p>
            <w:pPr>
              <w:spacing w:after="0"/>
              <w:rPr>
                <w:sz w:val="24"/>
                <w:szCs w:val="24"/>
                <w:color w:val="auto"/>
              </w:rPr>
            </w:pPr>
          </w:p>
        </w:tc>
        <w:tc>
          <w:tcPr>
            <w:tcW w:w="8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75,862</w:t>
            </w: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40" w:type="dxa"/>
            <w:vAlign w:val="bottom"/>
            <w:tcBorders>
              <w:top w:val="single" w:sz="8" w:color="E6E6E6"/>
              <w:bottom w:val="single" w:sz="8" w:color="E6E6E6"/>
            </w:tcBorders>
            <w:shd w:val="clear" w:color="auto" w:fill="E6E6E6"/>
          </w:tcPr>
          <w:p>
            <w:pPr>
              <w:spacing w:after="0"/>
              <w:rPr>
                <w:sz w:val="24"/>
                <w:szCs w:val="24"/>
                <w:color w:val="auto"/>
              </w:rPr>
            </w:pPr>
          </w:p>
        </w:tc>
        <w:tc>
          <w:tcPr>
            <w:tcW w:w="20" w:type="dxa"/>
            <w:vAlign w:val="bottom"/>
            <w:tcBorders>
              <w:top w:val="single" w:sz="8" w:color="E6E6E6"/>
              <w:bottom w:val="single" w:sz="8" w:color="E6E6E6"/>
            </w:tcBorders>
            <w:shd w:val="clear" w:color="auto" w:fill="E6E6E6"/>
          </w:tcPr>
          <w:p>
            <w:pPr>
              <w:spacing w:after="0"/>
              <w:rPr>
                <w:sz w:val="24"/>
                <w:szCs w:val="24"/>
                <w:color w:val="auto"/>
              </w:rPr>
            </w:pPr>
          </w:p>
        </w:tc>
        <w:tc>
          <w:tcPr>
            <w:tcW w:w="200" w:type="dxa"/>
            <w:vAlign w:val="bottom"/>
            <w:tcBorders>
              <w:top w:val="single" w:sz="8" w:color="auto"/>
              <w:bottom w:val="single" w:sz="8" w:color="auto"/>
            </w:tcBorders>
            <w:shd w:val="clear" w:color="auto" w:fill="E6E6E6"/>
          </w:tcPr>
          <w:p>
            <w:pPr>
              <w:spacing w:after="0"/>
              <w:rPr>
                <w:sz w:val="24"/>
                <w:szCs w:val="24"/>
                <w:color w:val="auto"/>
              </w:rPr>
            </w:pPr>
          </w:p>
        </w:tc>
        <w:tc>
          <w:tcPr>
            <w:tcW w:w="9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(8,293)</w:t>
            </w:r>
          </w:p>
        </w:tc>
        <w:tc>
          <w:tcPr>
            <w:tcW w:w="20" w:type="dxa"/>
            <w:vAlign w:val="bottom"/>
            <w:tcBorders>
              <w:top w:val="single" w:sz="8" w:color="auto"/>
              <w:bottom w:val="single" w:sz="8" w:color="E6E6E6"/>
            </w:tcBorders>
            <w:shd w:val="clear" w:color="auto" w:fill="E6E6E6"/>
          </w:tcPr>
          <w:p>
            <w:pPr>
              <w:spacing w:after="0"/>
              <w:rPr>
                <w:sz w:val="24"/>
                <w:szCs w:val="24"/>
                <w:color w:val="auto"/>
              </w:rPr>
            </w:pPr>
          </w:p>
        </w:tc>
      </w:tr>
      <w:tr>
        <w:trPr>
          <w:trHeight w:val="249"/>
        </w:trPr>
        <w:tc>
          <w:tcPr>
            <w:tcW w:w="5720" w:type="dxa"/>
            <w:vAlign w:val="bottom"/>
          </w:tcPr>
          <w:p>
            <w:pPr>
              <w:ind w:left="60"/>
              <w:spacing w:after="0"/>
              <w:rPr>
                <w:sz w:val="20"/>
                <w:szCs w:val="20"/>
                <w:color w:val="auto"/>
              </w:rPr>
            </w:pPr>
            <w:r>
              <w:rPr>
                <w:rFonts w:ascii="Arial" w:cs="Arial" w:eastAsia="Arial" w:hAnsi="Arial"/>
                <w:sz w:val="20"/>
                <w:szCs w:val="20"/>
                <w:b w:val="1"/>
                <w:bCs w:val="1"/>
                <w:color w:val="auto"/>
              </w:rPr>
              <w:t>Operating loss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(67,569)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(75,750)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8,181</w:t>
            </w:r>
          </w:p>
        </w:tc>
        <w:tc>
          <w:tcPr>
            <w:tcW w:w="20" w:type="dxa"/>
            <w:vAlign w:val="bottom"/>
          </w:tcPr>
          <w:p>
            <w:pPr>
              <w:spacing w:after="0"/>
              <w:rPr>
                <w:sz w:val="21"/>
                <w:szCs w:val="21"/>
                <w:color w:val="auto"/>
              </w:rPr>
            </w:pPr>
          </w:p>
        </w:tc>
      </w:tr>
      <w:tr>
        <w:trPr>
          <w:trHeight w:val="28"/>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9"/>
        </w:trPr>
        <w:tc>
          <w:tcPr>
            <w:tcW w:w="574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20"/>
                <w:szCs w:val="20"/>
                <w:b w:val="1"/>
                <w:bCs w:val="1"/>
                <w:color w:val="auto"/>
              </w:rPr>
              <w:t>Other income/(expense):</w:t>
            </w:r>
          </w:p>
        </w:tc>
        <w:tc>
          <w:tcPr>
            <w:tcW w:w="22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spacing w:after="0"/>
              <w:rPr>
                <w:sz w:val="24"/>
                <w:szCs w:val="24"/>
                <w:color w:val="auto"/>
              </w:rPr>
            </w:pP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9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5740" w:type="dxa"/>
            <w:vAlign w:val="bottom"/>
            <w:gridSpan w:val="2"/>
          </w:tcPr>
          <w:p>
            <w:pPr>
              <w:ind w:left="300"/>
              <w:spacing w:after="0"/>
              <w:rPr>
                <w:sz w:val="20"/>
                <w:szCs w:val="20"/>
                <w:color w:val="auto"/>
              </w:rPr>
            </w:pPr>
            <w:r>
              <w:rPr>
                <w:rFonts w:ascii="Arial" w:cs="Arial" w:eastAsia="Arial" w:hAnsi="Arial"/>
                <w:sz w:val="20"/>
                <w:szCs w:val="20"/>
                <w:color w:val="auto"/>
              </w:rPr>
              <w:t>Research and development tax credit</w:t>
            </w: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1,104</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9,634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(8,530)</w:t>
            </w:r>
          </w:p>
        </w:tc>
        <w:tc>
          <w:tcPr>
            <w:tcW w:w="20" w:type="dxa"/>
            <w:vAlign w:val="bottom"/>
          </w:tcPr>
          <w:p>
            <w:pPr>
              <w:spacing w:after="0"/>
              <w:rPr>
                <w:sz w:val="23"/>
                <w:szCs w:val="23"/>
                <w:color w:val="auto"/>
              </w:rPr>
            </w:pPr>
          </w:p>
        </w:tc>
      </w:tr>
      <w:tr>
        <w:trPr>
          <w:trHeight w:val="31"/>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8"/>
        </w:trPr>
        <w:tc>
          <w:tcPr>
            <w:tcW w:w="5740" w:type="dxa"/>
            <w:vAlign w:val="bottom"/>
            <w:tcBorders>
              <w:bottom w:val="single" w:sz="8" w:color="E6E6E6"/>
            </w:tcBorders>
            <w:gridSpan w:val="2"/>
            <w:shd w:val="clear" w:color="auto" w:fill="E6E6E6"/>
          </w:tcPr>
          <w:p>
            <w:pPr>
              <w:ind w:left="300"/>
              <w:spacing w:after="0"/>
              <w:rPr>
                <w:sz w:val="20"/>
                <w:szCs w:val="20"/>
                <w:color w:val="auto"/>
              </w:rPr>
            </w:pPr>
            <w:r>
              <w:rPr>
                <w:rFonts w:ascii="Arial" w:cs="Arial" w:eastAsia="Arial" w:hAnsi="Arial"/>
                <w:sz w:val="20"/>
                <w:szCs w:val="20"/>
                <w:color w:val="auto"/>
              </w:rPr>
              <w:t>Loss on extinguishment of debt</w:t>
            </w:r>
          </w:p>
        </w:tc>
        <w:tc>
          <w:tcPr>
            <w:tcW w:w="22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(815)</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815</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5740" w:type="dxa"/>
            <w:vAlign w:val="bottom"/>
            <w:gridSpan w:val="2"/>
          </w:tcPr>
          <w:p>
            <w:pPr>
              <w:ind w:left="300"/>
              <w:spacing w:after="0"/>
              <w:rPr>
                <w:sz w:val="20"/>
                <w:szCs w:val="20"/>
                <w:color w:val="auto"/>
              </w:rPr>
            </w:pPr>
            <w:r>
              <w:rPr>
                <w:rFonts w:ascii="Arial" w:cs="Arial" w:eastAsia="Arial" w:hAnsi="Arial"/>
                <w:sz w:val="20"/>
                <w:szCs w:val="20"/>
                <w:color w:val="auto"/>
              </w:rPr>
              <w:t>Interest income</w:t>
            </w: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12,761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2,821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9,940</w:t>
            </w:r>
          </w:p>
        </w:tc>
        <w:tc>
          <w:tcPr>
            <w:tcW w:w="20" w:type="dxa"/>
            <w:vAlign w:val="bottom"/>
          </w:tcPr>
          <w:p>
            <w:pPr>
              <w:spacing w:after="0"/>
              <w:rPr>
                <w:sz w:val="23"/>
                <w:szCs w:val="23"/>
                <w:color w:val="auto"/>
              </w:rPr>
            </w:pPr>
          </w:p>
        </w:tc>
      </w:tr>
      <w:tr>
        <w:trPr>
          <w:trHeight w:val="31"/>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9"/>
        </w:trPr>
        <w:tc>
          <w:tcPr>
            <w:tcW w:w="5740" w:type="dxa"/>
            <w:vAlign w:val="bottom"/>
            <w:tcBorders>
              <w:bottom w:val="single" w:sz="8" w:color="E6E6E6"/>
            </w:tcBorders>
            <w:gridSpan w:val="2"/>
            <w:shd w:val="clear" w:color="auto" w:fill="E6E6E6"/>
          </w:tcPr>
          <w:p>
            <w:pPr>
              <w:ind w:left="300"/>
              <w:spacing w:after="0"/>
              <w:rPr>
                <w:sz w:val="20"/>
                <w:szCs w:val="20"/>
                <w:color w:val="auto"/>
              </w:rPr>
            </w:pPr>
            <w:r>
              <w:rPr>
                <w:rFonts w:ascii="Arial" w:cs="Arial" w:eastAsia="Arial" w:hAnsi="Arial"/>
                <w:sz w:val="20"/>
                <w:szCs w:val="20"/>
                <w:color w:val="auto"/>
              </w:rPr>
              <w:t>Interest expense</w:t>
            </w:r>
          </w:p>
        </w:tc>
        <w:tc>
          <w:tcPr>
            <w:tcW w:w="22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(2,057)</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(521)</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(1,536)</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68"/>
        </w:trPr>
        <w:tc>
          <w:tcPr>
            <w:tcW w:w="5740" w:type="dxa"/>
            <w:vAlign w:val="bottom"/>
            <w:gridSpan w:val="2"/>
          </w:tcPr>
          <w:p>
            <w:pPr>
              <w:ind w:left="300"/>
              <w:spacing w:after="0"/>
              <w:rPr>
                <w:sz w:val="20"/>
                <w:szCs w:val="20"/>
                <w:color w:val="auto"/>
              </w:rPr>
            </w:pPr>
            <w:r>
              <w:rPr>
                <w:rFonts w:ascii="Arial" w:cs="Arial" w:eastAsia="Arial" w:hAnsi="Arial"/>
                <w:sz w:val="20"/>
                <w:szCs w:val="20"/>
                <w:color w:val="auto"/>
              </w:rPr>
              <w:t>Foreign exchange gain/(loss)</w:t>
            </w: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1,866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(3,817)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5,683</w:t>
            </w:r>
          </w:p>
        </w:tc>
        <w:tc>
          <w:tcPr>
            <w:tcW w:w="20" w:type="dxa"/>
            <w:vAlign w:val="bottom"/>
          </w:tcPr>
          <w:p>
            <w:pPr>
              <w:spacing w:after="0"/>
              <w:rPr>
                <w:sz w:val="23"/>
                <w:szCs w:val="23"/>
                <w:color w:val="auto"/>
              </w:rPr>
            </w:pPr>
          </w:p>
        </w:tc>
      </w:tr>
      <w:tr>
        <w:trPr>
          <w:trHeight w:val="21"/>
        </w:trPr>
        <w:tc>
          <w:tcPr>
            <w:tcW w:w="572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c>
          <w:tcPr>
            <w:tcW w:w="40" w:type="dxa"/>
            <w:vAlign w:val="bottom"/>
            <w:tcBorders>
              <w:bottom w:val="single" w:sz="8" w:color="E6E6E6"/>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E6E6E6"/>
            </w:tcBorders>
          </w:tcPr>
          <w:p>
            <w:pPr>
              <w:spacing w:after="0" w:line="20" w:lineRule="exact"/>
              <w:rPr>
                <w:sz w:val="1"/>
                <w:szCs w:val="1"/>
                <w:color w:val="auto"/>
              </w:rPr>
            </w:pPr>
          </w:p>
        </w:tc>
      </w:tr>
      <w:tr>
        <w:trPr>
          <w:trHeight w:val="289"/>
        </w:trPr>
        <w:tc>
          <w:tcPr>
            <w:tcW w:w="57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b w:val="1"/>
                <w:bCs w:val="1"/>
                <w:color w:val="auto"/>
              </w:rPr>
              <w:t>Total other income, net</w:t>
            </w:r>
          </w:p>
        </w:tc>
        <w:tc>
          <w:tcPr>
            <w:tcW w:w="20" w:type="dxa"/>
            <w:vAlign w:val="bottom"/>
            <w:tcBorders>
              <w:bottom w:val="single" w:sz="8" w:color="auto"/>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13,674</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7,302</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20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6,372</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49"/>
        </w:trPr>
        <w:tc>
          <w:tcPr>
            <w:tcW w:w="5720" w:type="dxa"/>
            <w:vAlign w:val="bottom"/>
          </w:tcPr>
          <w:p>
            <w:pPr>
              <w:ind w:left="60"/>
              <w:spacing w:after="0"/>
              <w:rPr>
                <w:sz w:val="20"/>
                <w:szCs w:val="20"/>
                <w:color w:val="auto"/>
              </w:rPr>
            </w:pPr>
            <w:r>
              <w:rPr>
                <w:rFonts w:ascii="Arial" w:cs="Arial" w:eastAsia="Arial" w:hAnsi="Arial"/>
                <w:sz w:val="20"/>
                <w:szCs w:val="20"/>
                <w:b w:val="1"/>
                <w:bCs w:val="1"/>
                <w:color w:val="auto"/>
              </w:rPr>
              <w:t>Loss before income taxes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(53,895)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(68,448)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14,553</w:t>
            </w:r>
          </w:p>
        </w:tc>
        <w:tc>
          <w:tcPr>
            <w:tcW w:w="20" w:type="dxa"/>
            <w:vAlign w:val="bottom"/>
          </w:tcPr>
          <w:p>
            <w:pPr>
              <w:spacing w:after="0"/>
              <w:rPr>
                <w:sz w:val="21"/>
                <w:szCs w:val="21"/>
                <w:color w:val="auto"/>
              </w:rPr>
            </w:pPr>
          </w:p>
        </w:tc>
      </w:tr>
      <w:tr>
        <w:trPr>
          <w:trHeight w:val="28"/>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14"/>
        </w:trPr>
        <w:tc>
          <w:tcPr>
            <w:tcW w:w="5740" w:type="dxa"/>
            <w:vAlign w:val="bottom"/>
            <w:tcBorders>
              <w:bottom w:val="single" w:sz="8" w:color="E6E6E6"/>
            </w:tcBorders>
            <w:gridSpan w:val="2"/>
            <w:shd w:val="clear" w:color="auto" w:fill="E6E6E6"/>
          </w:tcPr>
          <w:p>
            <w:pPr>
              <w:ind w:left="300"/>
              <w:spacing w:after="0"/>
              <w:rPr>
                <w:sz w:val="20"/>
                <w:szCs w:val="20"/>
                <w:color w:val="auto"/>
              </w:rPr>
            </w:pPr>
            <w:r>
              <w:rPr>
                <w:rFonts w:ascii="Arial" w:cs="Arial" w:eastAsia="Arial" w:hAnsi="Arial"/>
                <w:sz w:val="20"/>
                <w:szCs w:val="20"/>
                <w:color w:val="auto"/>
              </w:rPr>
              <w:t>Income tax expense</w:t>
            </w:r>
          </w:p>
        </w:tc>
        <w:tc>
          <w:tcPr>
            <w:tcW w:w="22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(474)</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(253)</w:t>
            </w:r>
          </w:p>
        </w:tc>
        <w:tc>
          <w:tcPr>
            <w:tcW w:w="20" w:type="dxa"/>
            <w:vAlign w:val="bottom"/>
            <w:tcBorders>
              <w:bottom w:val="single" w:sz="8" w:color="E6E6E6"/>
            </w:tcBorders>
            <w:shd w:val="clear" w:color="auto" w:fill="E6E6E6"/>
          </w:tcPr>
          <w:p>
            <w:pPr>
              <w:spacing w:after="0"/>
              <w:rPr>
                <w:sz w:val="24"/>
                <w:szCs w:val="24"/>
                <w:color w:val="auto"/>
              </w:rPr>
            </w:pPr>
          </w:p>
        </w:tc>
        <w:tc>
          <w:tcPr>
            <w:tcW w:w="4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00" w:type="dxa"/>
            <w:vAlign w:val="bottom"/>
            <w:tcBorders>
              <w:bottom w:val="single" w:sz="8" w:color="E6E6E6"/>
            </w:tcBorders>
            <w:shd w:val="clear" w:color="auto" w:fill="E6E6E6"/>
          </w:tcPr>
          <w:p>
            <w:pPr>
              <w:spacing w:after="0"/>
              <w:rPr>
                <w:sz w:val="24"/>
                <w:szCs w:val="24"/>
                <w:color w:val="auto"/>
              </w:rPr>
            </w:pPr>
          </w:p>
        </w:tc>
        <w:tc>
          <w:tcPr>
            <w:tcW w:w="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(221)</w:t>
            </w:r>
          </w:p>
        </w:tc>
        <w:tc>
          <w:tcPr>
            <w:tcW w:w="20" w:type="dxa"/>
            <w:vAlign w:val="bottom"/>
            <w:tcBorders>
              <w:bottom w:val="single" w:sz="8" w:color="E6E6E6"/>
            </w:tcBorders>
            <w:shd w:val="clear" w:color="auto" w:fill="E6E6E6"/>
          </w:tcPr>
          <w:p>
            <w:pPr>
              <w:spacing w:after="0"/>
              <w:rPr>
                <w:sz w:val="24"/>
                <w:szCs w:val="24"/>
                <w:color w:val="auto"/>
              </w:rPr>
            </w:pPr>
          </w:p>
        </w:tc>
      </w:tr>
      <w:tr>
        <w:trPr>
          <w:trHeight w:val="239"/>
        </w:trPr>
        <w:tc>
          <w:tcPr>
            <w:tcW w:w="5720" w:type="dxa"/>
            <w:vAlign w:val="bottom"/>
            <w:tcBorders>
              <w:top w:val="single" w:sz="8" w:color="E6E6E6"/>
            </w:tcBorders>
          </w:tcPr>
          <w:p>
            <w:pPr>
              <w:ind w:left="60"/>
              <w:spacing w:after="0"/>
              <w:rPr>
                <w:sz w:val="20"/>
                <w:szCs w:val="20"/>
                <w:color w:val="auto"/>
              </w:rPr>
            </w:pPr>
            <w:r>
              <w:rPr>
                <w:rFonts w:ascii="Arial" w:cs="Arial" w:eastAsia="Arial" w:hAnsi="Arial"/>
                <w:sz w:val="20"/>
                <w:szCs w:val="20"/>
                <w:b w:val="1"/>
                <w:bCs w:val="1"/>
                <w:color w:val="auto"/>
              </w:rPr>
              <w:t>Net loss</w:t>
            </w: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(54,369)</w:t>
            </w:r>
          </w:p>
        </w:tc>
        <w:tc>
          <w:tcPr>
            <w:tcW w:w="80" w:type="dxa"/>
            <w:vAlign w:val="bottom"/>
            <w:tcBorders>
              <w:top w:val="single" w:sz="8" w:color="E6E6E6"/>
            </w:tcBorders>
          </w:tcPr>
          <w:p>
            <w:pPr>
              <w:spacing w:after="0"/>
              <w:rPr>
                <w:sz w:val="20"/>
                <w:szCs w:val="20"/>
                <w:color w:val="auto"/>
              </w:rPr>
            </w:pPr>
          </w:p>
        </w:tc>
        <w:tc>
          <w:tcPr>
            <w:tcW w:w="28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(68,701)</w:t>
            </w:r>
          </w:p>
        </w:tc>
        <w:tc>
          <w:tcPr>
            <w:tcW w:w="20" w:type="dxa"/>
            <w:vAlign w:val="bottom"/>
            <w:tcBorders>
              <w:top w:val="single" w:sz="8" w:color="E6E6E6"/>
            </w:tcBorders>
          </w:tcPr>
          <w:p>
            <w:pPr>
              <w:spacing w:after="0"/>
              <w:rPr>
                <w:sz w:val="20"/>
                <w:szCs w:val="20"/>
                <w:color w:val="auto"/>
              </w:rPr>
            </w:pPr>
          </w:p>
        </w:tc>
        <w:tc>
          <w:tcPr>
            <w:tcW w:w="40" w:type="dxa"/>
            <w:vAlign w:val="bottom"/>
            <w:tcBorders>
              <w:top w:val="single" w:sz="8" w:color="E6E6E6"/>
            </w:tcBorders>
          </w:tcPr>
          <w:p>
            <w:pPr>
              <w:spacing w:after="0"/>
              <w:rPr>
                <w:sz w:val="20"/>
                <w:szCs w:val="20"/>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14,332</w:t>
            </w:r>
          </w:p>
        </w:tc>
        <w:tc>
          <w:tcPr>
            <w:tcW w:w="20" w:type="dxa"/>
            <w:vAlign w:val="bottom"/>
            <w:tcBorders>
              <w:top w:val="single" w:sz="8" w:color="E6E6E6"/>
            </w:tcBorders>
          </w:tcPr>
          <w:p>
            <w:pPr>
              <w:spacing w:after="0"/>
              <w:rPr>
                <w:sz w:val="20"/>
                <w:szCs w:val="20"/>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-3329305</wp:posOffset>
            </wp:positionV>
            <wp:extent cx="230949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09495" cy="2540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-3006725</wp:posOffset>
            </wp:positionV>
            <wp:extent cx="230949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09495" cy="2540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-2846070</wp:posOffset>
            </wp:positionV>
            <wp:extent cx="230949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09495" cy="2540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-2305685</wp:posOffset>
            </wp:positionV>
            <wp:extent cx="230949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09495" cy="2540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-2115820</wp:posOffset>
            </wp:positionV>
            <wp:extent cx="230949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09495" cy="2540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-789305</wp:posOffset>
            </wp:positionV>
            <wp:extent cx="230949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09495" cy="2540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-599440</wp:posOffset>
            </wp:positionV>
            <wp:extent cx="230949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09495" cy="2540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-220345</wp:posOffset>
            </wp:positionV>
            <wp:extent cx="230949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09495" cy="2540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Revenue of $0.5 million for the year ended December 31, 2022 was related to sales of clinical supply materials to Nuance Pharma.</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sales</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Cost of sales of $0.3 million for the year ended December 31, 2022 related to the manufacture of the clinical supply materials sold to Nuance Pharma.</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costs</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Research and development costs were $17.2 million for the year ended December 31, 2023, compared to $49.3 million for the year ended December 31, 2022, a decrease of $32.1 million. This decrease was primarily due to a $32.7 million decrease in clinical trial and other development costs as we incurred less costs under the Phase 3 ENHANCE program which completed study conduct and analysis in 2023 whereas in 2022 significant costs were incurred associated with the then ongoing study conduct. The 2023 clinical trial and other development costs also include the impact of $2.2 million of credits received related to the final financial reconciliation of a Phase 3 ENHANCE program supplier. The decrease in clinical trial and other development costs also includes a reversal of $1.5 million of costs which were expensed in the year ended December 31, 2022 related to the resolution of the supplier matter, as discussed in Note 11 - Commitments and contingencies to our Consolidated Financial Statements and related notes included elsewhere in this Annual Report. .</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Selling, general and administrative costs</w:t>
      </w:r>
    </w:p>
    <w:p>
      <w:pPr>
        <w:spacing w:after="0" w:line="11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Selling, general and administrative costs were $50.4 million for the year ended December 31, 2023 compared to $26.6 million for the year ended December 31, 2022, an increase of $23.8 million. This increase was driven primarily by a $15.6 million increase in people related costs, inclusive of share-based compensation, an increase of $9.7 million related to the build-out of the commercial and information technology infrastructures in preparation for</w:t>
      </w:r>
    </w:p>
    <w:p>
      <w:pPr>
        <w:sectPr>
          <w:pgSz w:w="11880" w:h="15480" w:orient="portrait"/>
          <w:cols w:equalWidth="0" w:num="1">
            <w:col w:w="9320"/>
          </w:cols>
          <w:pgMar w:left="1280" w:top="1222"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9320"/>
          </w:cols>
          <w:pgMar w:left="1280" w:top="1222" w:right="1280" w:bottom="0" w:gutter="0" w:footer="0" w:header="0"/>
          <w:type w:val="continuous"/>
        </w:sectPr>
      </w:pPr>
    </w:p>
    <w:bookmarkStart w:id="96" w:name="page97"/>
    <w:bookmarkEnd w:id="96"/>
    <w:p>
      <w:pPr>
        <w:jc w:val="both"/>
        <w:spacing w:after="0" w:line="284" w:lineRule="auto"/>
        <w:rPr>
          <w:sz w:val="20"/>
          <w:szCs w:val="20"/>
          <w:color w:val="auto"/>
        </w:rPr>
      </w:pPr>
      <w:r>
        <w:rPr>
          <w:rFonts w:ascii="Arial" w:cs="Arial" w:eastAsia="Arial" w:hAnsi="Arial"/>
          <w:sz w:val="18"/>
          <w:szCs w:val="18"/>
          <w:color w:val="auto"/>
        </w:rPr>
        <w:t>commercial launch, marketing and market development expenses, travel and other corporate costs. These increases were partially offset by a non-recurring $2.0 million charge related to the modification of the assignment and license agreement with Ligand UK Development Limited, which was incurred in the three months ended March 31, 2022.</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 (expense)</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Other income/(expense) for the year ended December 31, 2023 was $13.7 million compared to $7.3 million for the year ended December 31, 2022, an increase of $6.4 million. The increase was primarily attributable to an increase of $9.9 million in interest income from a higher average cash balance and higher interest rates as well as an increase of $5.7 million related to the strengthening of the pound sterling while the pound sterling weakened in 2022. This was partially offset by a $8.5 million decrease in the R&amp;D tax credit due to the decreased activity of the Phase 3 ENHANCE program in 2023 as compared to 2022 as well as the impact of the supplier final reconciliation credits.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2023 and 2022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right"/>
              <w:ind w:right="223"/>
              <w:spacing w:after="0"/>
              <w:rPr>
                <w:sz w:val="20"/>
                <w:szCs w:val="20"/>
                <w:color w:val="auto"/>
              </w:rPr>
            </w:pPr>
            <w:r>
              <w:rPr>
                <w:rFonts w:ascii="Arial" w:cs="Arial" w:eastAsia="Arial" w:hAnsi="Arial"/>
                <w:sz w:val="16"/>
                <w:szCs w:val="16"/>
                <w:b w:val="1"/>
                <w:bCs w:val="1"/>
                <w:color w:val="auto"/>
                <w:w w:val="92"/>
              </w:rPr>
              <w:t>Year ended December 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8"/>
        </w:trPr>
        <w:tc>
          <w:tcPr>
            <w:tcW w:w="57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E6E6E6"/>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b w:val="1"/>
                <w:bCs w:val="1"/>
                <w:color w:val="auto"/>
                <w:w w:val="98"/>
              </w:rPr>
              <w:t>Variance</w:t>
            </w:r>
          </w:p>
        </w:tc>
      </w:tr>
      <w:tr>
        <w:trPr>
          <w:trHeight w:val="268"/>
        </w:trPr>
        <w:tc>
          <w:tcPr>
            <w:tcW w:w="574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20"/>
                <w:szCs w:val="20"/>
                <w:b w:val="1"/>
                <w:bCs w:val="1"/>
                <w:color w:val="auto"/>
              </w:rPr>
              <w:t>Cash and cash equivalents at beginning of the year</w:t>
            </w: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227,827</w:t>
            </w:r>
          </w:p>
        </w:tc>
        <w:tc>
          <w:tcPr>
            <w:tcW w:w="80" w:type="dxa"/>
            <w:vAlign w:val="bottom"/>
            <w:tcBorders>
              <w:bottom w:val="single" w:sz="8" w:color="E6E6E6"/>
            </w:tcBorders>
            <w:shd w:val="clear" w:color="auto" w:fill="E6E6E6"/>
          </w:tcPr>
          <w:p>
            <w:pPr>
              <w:spacing w:after="0"/>
              <w:rPr>
                <w:sz w:val="23"/>
                <w:szCs w:val="23"/>
                <w:color w:val="auto"/>
              </w:rPr>
            </w:pPr>
          </w:p>
        </w:tc>
        <w:tc>
          <w:tcPr>
            <w:tcW w:w="2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E6E6E6"/>
            </w:tcBorders>
            <w:shd w:val="clear" w:color="auto" w:fill="E6E6E6"/>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148,380</w:t>
            </w:r>
          </w:p>
        </w:tc>
        <w:tc>
          <w:tcPr>
            <w:tcW w:w="60" w:type="dxa"/>
            <w:vAlign w:val="bottom"/>
            <w:tcBorders>
              <w:bottom w:val="single" w:sz="8" w:color="E6E6E6"/>
            </w:tcBorders>
            <w:shd w:val="clear" w:color="auto" w:fill="E6E6E6"/>
          </w:tcPr>
          <w:p>
            <w:pPr>
              <w:spacing w:after="0"/>
              <w:rPr>
                <w:sz w:val="23"/>
                <w:szCs w:val="23"/>
                <w:color w:val="auto"/>
              </w:rPr>
            </w:pPr>
          </w:p>
        </w:tc>
        <w:tc>
          <w:tcPr>
            <w:tcW w:w="2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79,447</w:t>
            </w:r>
          </w:p>
        </w:tc>
      </w:tr>
      <w:tr>
        <w:trPr>
          <w:trHeight w:val="260"/>
        </w:trPr>
        <w:tc>
          <w:tcPr>
            <w:tcW w:w="5740" w:type="dxa"/>
            <w:vAlign w:val="bottom"/>
            <w:gridSpan w:val="2"/>
          </w:tcPr>
          <w:p>
            <w:pPr>
              <w:ind w:left="300"/>
              <w:spacing w:after="0"/>
              <w:rPr>
                <w:sz w:val="20"/>
                <w:szCs w:val="20"/>
                <w:color w:val="auto"/>
              </w:rPr>
            </w:pPr>
            <w:r>
              <w:rPr>
                <w:rFonts w:ascii="Arial" w:cs="Arial" w:eastAsia="Arial" w:hAnsi="Arial"/>
                <w:sz w:val="20"/>
                <w:szCs w:val="20"/>
                <w:color w:val="auto"/>
              </w:rPr>
              <w:t>Net cash used in operating activities</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(50,222)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(59,862)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9,640</w:t>
            </w:r>
          </w:p>
        </w:tc>
      </w:tr>
      <w:tr>
        <w:trPr>
          <w:trHeight w:val="38"/>
        </w:trPr>
        <w:tc>
          <w:tcPr>
            <w:tcW w:w="57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79"/>
        </w:trPr>
        <w:tc>
          <w:tcPr>
            <w:tcW w:w="5740" w:type="dxa"/>
            <w:vAlign w:val="bottom"/>
            <w:tcBorders>
              <w:bottom w:val="single" w:sz="8" w:color="E6E6E6"/>
            </w:tcBorders>
            <w:gridSpan w:val="2"/>
            <w:shd w:val="clear" w:color="auto" w:fill="E6E6E6"/>
          </w:tcPr>
          <w:p>
            <w:pPr>
              <w:ind w:left="300"/>
              <w:spacing w:after="0"/>
              <w:rPr>
                <w:sz w:val="20"/>
                <w:szCs w:val="20"/>
                <w:color w:val="auto"/>
              </w:rPr>
            </w:pPr>
            <w:r>
              <w:rPr>
                <w:rFonts w:ascii="Arial" w:cs="Arial" w:eastAsia="Arial" w:hAnsi="Arial"/>
                <w:sz w:val="20"/>
                <w:szCs w:val="20"/>
                <w:color w:val="auto"/>
              </w:rPr>
              <w:t>Net cash used in investing activities</w:t>
            </w:r>
          </w:p>
        </w:tc>
        <w:tc>
          <w:tcPr>
            <w:tcW w:w="220" w:type="dxa"/>
            <w:vAlign w:val="bottom"/>
            <w:tcBorders>
              <w:bottom w:val="single" w:sz="8" w:color="E6E6E6"/>
            </w:tcBorders>
            <w:shd w:val="clear" w:color="auto" w:fill="E6E6E6"/>
          </w:tcPr>
          <w:p>
            <w:pPr>
              <w:spacing w:after="0"/>
              <w:rPr>
                <w:sz w:val="24"/>
                <w:szCs w:val="24"/>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(29)</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E6E6E6"/>
            </w:tcBorders>
            <w:shd w:val="clear" w:color="auto" w:fill="E6E6E6"/>
          </w:tcPr>
          <w:p>
            <w:pPr>
              <w:spacing w:after="0"/>
              <w:rPr>
                <w:sz w:val="24"/>
                <w:szCs w:val="24"/>
                <w:color w:val="auto"/>
              </w:rPr>
            </w:pPr>
          </w:p>
        </w:tc>
        <w:tc>
          <w:tcPr>
            <w:tcW w:w="9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29</w:t>
            </w:r>
          </w:p>
        </w:tc>
      </w:tr>
      <w:tr>
        <w:trPr>
          <w:trHeight w:val="260"/>
        </w:trPr>
        <w:tc>
          <w:tcPr>
            <w:tcW w:w="5740" w:type="dxa"/>
            <w:vAlign w:val="bottom"/>
            <w:gridSpan w:val="2"/>
          </w:tcPr>
          <w:p>
            <w:pPr>
              <w:ind w:left="300"/>
              <w:spacing w:after="0"/>
              <w:rPr>
                <w:sz w:val="20"/>
                <w:szCs w:val="20"/>
                <w:color w:val="auto"/>
              </w:rPr>
            </w:pPr>
            <w:r>
              <w:rPr>
                <w:rFonts w:ascii="Arial" w:cs="Arial" w:eastAsia="Arial" w:hAnsi="Arial"/>
                <w:sz w:val="20"/>
                <w:szCs w:val="20"/>
                <w:color w:val="auto"/>
              </w:rPr>
              <w:t>Net cash provided by financing activities</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92,869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140,818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(47,949)</w:t>
            </w:r>
          </w:p>
        </w:tc>
      </w:tr>
      <w:tr>
        <w:trPr>
          <w:trHeight w:val="23"/>
        </w:trPr>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2"/>
        </w:trPr>
        <w:tc>
          <w:tcPr>
            <w:tcW w:w="5740" w:type="dxa"/>
            <w:vAlign w:val="bottom"/>
            <w:tcBorders>
              <w:bottom w:val="single" w:sz="8" w:color="E6E6E6"/>
            </w:tcBorders>
            <w:gridSpan w:val="2"/>
            <w:shd w:val="clear" w:color="auto" w:fill="E6E6E6"/>
          </w:tcPr>
          <w:p>
            <w:pPr>
              <w:ind w:left="300"/>
              <w:spacing w:after="0"/>
              <w:rPr>
                <w:sz w:val="20"/>
                <w:szCs w:val="20"/>
                <w:color w:val="auto"/>
              </w:rPr>
            </w:pPr>
            <w:r>
              <w:rPr>
                <w:rFonts w:ascii="Arial" w:cs="Arial" w:eastAsia="Arial" w:hAnsi="Arial"/>
                <w:sz w:val="20"/>
                <w:szCs w:val="20"/>
                <w:color w:val="auto"/>
                <w:w w:val="97"/>
              </w:rPr>
              <w:t>Effect of exchange rate changes on cash and cash equivalents</w:t>
            </w:r>
          </w:p>
        </w:tc>
        <w:tc>
          <w:tcPr>
            <w:tcW w:w="22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1,298</w:t>
            </w:r>
          </w:p>
        </w:tc>
        <w:tc>
          <w:tcPr>
            <w:tcW w:w="80" w:type="dxa"/>
            <w:vAlign w:val="bottom"/>
            <w:tcBorders>
              <w:bottom w:val="single" w:sz="8" w:color="E6E6E6"/>
            </w:tcBorders>
            <w:shd w:val="clear" w:color="auto" w:fill="E6E6E6"/>
          </w:tcPr>
          <w:p>
            <w:pPr>
              <w:spacing w:after="0"/>
              <w:rPr>
                <w:sz w:val="24"/>
                <w:szCs w:val="24"/>
                <w:color w:val="auto"/>
              </w:rPr>
            </w:pPr>
          </w:p>
        </w:tc>
        <w:tc>
          <w:tcPr>
            <w:tcW w:w="20" w:type="dxa"/>
            <w:vAlign w:val="bottom"/>
            <w:tcBorders>
              <w:bottom w:val="single" w:sz="8" w:color="auto"/>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(1,480)</w:t>
            </w:r>
          </w:p>
        </w:tc>
        <w:tc>
          <w:tcPr>
            <w:tcW w:w="60" w:type="dxa"/>
            <w:vAlign w:val="bottom"/>
            <w:tcBorders>
              <w:bottom w:val="single" w:sz="8" w:color="E6E6E6"/>
            </w:tcBorders>
            <w:shd w:val="clear" w:color="auto" w:fill="E6E6E6"/>
          </w:tcPr>
          <w:p>
            <w:pPr>
              <w:spacing w:after="0"/>
              <w:rPr>
                <w:sz w:val="24"/>
                <w:szCs w:val="24"/>
                <w:color w:val="auto"/>
              </w:rPr>
            </w:pPr>
          </w:p>
        </w:tc>
        <w:tc>
          <w:tcPr>
            <w:tcW w:w="220" w:type="dxa"/>
            <w:vAlign w:val="bottom"/>
            <w:tcBorders>
              <w:bottom w:val="single" w:sz="8" w:color="auto"/>
            </w:tcBorders>
            <w:shd w:val="clear" w:color="auto" w:fill="E6E6E6"/>
          </w:tcPr>
          <w:p>
            <w:pPr>
              <w:spacing w:after="0"/>
              <w:rPr>
                <w:sz w:val="24"/>
                <w:szCs w:val="24"/>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2,778</w:t>
            </w:r>
          </w:p>
        </w:tc>
      </w:tr>
      <w:tr>
        <w:trPr>
          <w:trHeight w:val="225"/>
        </w:trPr>
        <w:tc>
          <w:tcPr>
            <w:tcW w:w="5740" w:type="dxa"/>
            <w:vAlign w:val="bottom"/>
            <w:gridSpan w:val="2"/>
          </w:tcPr>
          <w:p>
            <w:pPr>
              <w:ind w:left="60"/>
              <w:spacing w:after="0" w:line="225" w:lineRule="exact"/>
              <w:rPr>
                <w:sz w:val="20"/>
                <w:szCs w:val="20"/>
                <w:color w:val="auto"/>
              </w:rPr>
            </w:pPr>
            <w:r>
              <w:rPr>
                <w:rFonts w:ascii="Arial" w:cs="Arial" w:eastAsia="Arial" w:hAnsi="Arial"/>
                <w:sz w:val="20"/>
                <w:szCs w:val="20"/>
                <w:b w:val="1"/>
                <w:bCs w:val="1"/>
                <w:color w:val="auto"/>
              </w:rPr>
              <w:t>Cash and cash equivalents at end of the year</w:t>
            </w:r>
          </w:p>
        </w:tc>
        <w:tc>
          <w:tcPr>
            <w:tcW w:w="2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900" w:type="dxa"/>
            <w:vAlign w:val="bottom"/>
          </w:tcPr>
          <w:p>
            <w:pPr>
              <w:jc w:val="right"/>
              <w:spacing w:after="0" w:line="225" w:lineRule="exact"/>
              <w:rPr>
                <w:sz w:val="20"/>
                <w:szCs w:val="20"/>
                <w:color w:val="auto"/>
              </w:rPr>
            </w:pPr>
            <w:r>
              <w:rPr>
                <w:rFonts w:ascii="Arial" w:cs="Arial" w:eastAsia="Arial" w:hAnsi="Arial"/>
                <w:sz w:val="20"/>
                <w:szCs w:val="20"/>
                <w:color w:val="auto"/>
              </w:rPr>
              <w:t>271,772</w:t>
            </w:r>
          </w:p>
        </w:tc>
        <w:tc>
          <w:tcPr>
            <w:tcW w:w="80" w:type="dxa"/>
            <w:vAlign w:val="bottom"/>
          </w:tcPr>
          <w:p>
            <w:pPr>
              <w:spacing w:after="0"/>
              <w:rPr>
                <w:sz w:val="19"/>
                <w:szCs w:val="19"/>
                <w:color w:val="auto"/>
              </w:rPr>
            </w:pPr>
          </w:p>
        </w:tc>
        <w:tc>
          <w:tcPr>
            <w:tcW w:w="280" w:type="dxa"/>
            <w:vAlign w:val="bottom"/>
            <w:gridSpan w:val="2"/>
          </w:tcPr>
          <w:p>
            <w:pPr>
              <w:jc w:val="right"/>
              <w:ind w:right="21"/>
              <w:spacing w:after="0" w:line="225" w:lineRule="exact"/>
              <w:rPr>
                <w:sz w:val="20"/>
                <w:szCs w:val="20"/>
                <w:color w:val="auto"/>
              </w:rPr>
            </w:pPr>
            <w:r>
              <w:rPr>
                <w:rFonts w:ascii="Arial" w:cs="Arial" w:eastAsia="Arial" w:hAnsi="Arial"/>
                <w:sz w:val="20"/>
                <w:szCs w:val="20"/>
                <w:color w:val="auto"/>
              </w:rPr>
              <w:t>$</w:t>
            </w:r>
          </w:p>
        </w:tc>
        <w:tc>
          <w:tcPr>
            <w:tcW w:w="880" w:type="dxa"/>
            <w:vAlign w:val="bottom"/>
          </w:tcPr>
          <w:p>
            <w:pPr>
              <w:jc w:val="right"/>
              <w:spacing w:after="0" w:line="225" w:lineRule="exact"/>
              <w:rPr>
                <w:sz w:val="20"/>
                <w:szCs w:val="20"/>
                <w:color w:val="auto"/>
              </w:rPr>
            </w:pPr>
            <w:r>
              <w:rPr>
                <w:rFonts w:ascii="Arial" w:cs="Arial" w:eastAsia="Arial" w:hAnsi="Arial"/>
                <w:sz w:val="20"/>
                <w:szCs w:val="20"/>
                <w:color w:val="auto"/>
              </w:rPr>
              <w:t>227,827</w:t>
            </w:r>
          </w:p>
        </w:tc>
        <w:tc>
          <w:tcPr>
            <w:tcW w:w="60" w:type="dxa"/>
            <w:vAlign w:val="bottom"/>
          </w:tcPr>
          <w:p>
            <w:pPr>
              <w:spacing w:after="0"/>
              <w:rPr>
                <w:sz w:val="19"/>
                <w:szCs w:val="19"/>
                <w:color w:val="auto"/>
              </w:rPr>
            </w:pPr>
          </w:p>
        </w:tc>
        <w:tc>
          <w:tcPr>
            <w:tcW w:w="220" w:type="dxa"/>
            <w:vAlign w:val="bottom"/>
          </w:tcPr>
          <w:p>
            <w:pPr>
              <w:jc w:val="right"/>
              <w:spacing w:after="0" w:line="225"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25" w:lineRule="exact"/>
              <w:rPr>
                <w:sz w:val="20"/>
                <w:szCs w:val="20"/>
                <w:color w:val="auto"/>
              </w:rPr>
            </w:pPr>
            <w:r>
              <w:rPr>
                <w:rFonts w:ascii="Arial" w:cs="Arial" w:eastAsia="Arial" w:hAnsi="Arial"/>
                <w:sz w:val="20"/>
                <w:szCs w:val="20"/>
                <w:color w:val="auto"/>
              </w:rPr>
              <w:t>43,945</w:t>
            </w:r>
          </w:p>
        </w:tc>
      </w:tr>
      <w:tr>
        <w:trPr>
          <w:trHeight w:val="20"/>
        </w:trPr>
        <w:tc>
          <w:tcPr>
            <w:tcW w:w="57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3619500</wp:posOffset>
            </wp:positionH>
            <wp:positionV relativeFrom="paragraph">
              <wp:posOffset>-1139825</wp:posOffset>
            </wp:positionV>
            <wp:extent cx="230949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09495" cy="25400"/>
                    </a:xfrm>
                    <a:prstGeom prst="rect">
                      <a:avLst/>
                    </a:prstGeom>
                    <a:noFill/>
                  </pic:spPr>
                </pic:pic>
              </a:graphicData>
            </a:graphic>
          </wp:anchor>
        </w:drawing>
        <w:drawing>
          <wp:anchor simplePos="0" relativeHeight="251657728" behindDoc="1" locked="0" layoutInCell="0" allowOverlap="1">
            <wp:simplePos x="0" y="0"/>
            <wp:positionH relativeFrom="column">
              <wp:posOffset>3619500</wp:posOffset>
            </wp:positionH>
            <wp:positionV relativeFrom="paragraph">
              <wp:posOffset>-210820</wp:posOffset>
            </wp:positionV>
            <wp:extent cx="230949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09495" cy="2540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1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Net cash used in operating activities was $50.2 million in the year ended December 31, 2023 compared to $59.9 million during the year ended December 31, 2022, a decrease of $9.6 million. The decrease in cash used in operating activities was primarily due to the decrease in clinical trial and other development costs, partially offset by payments made throughout the twelve months ended December 31, 2023 related to Accounts payable and Accrued expenses balances included on the Consolidated Balance Sheet as of December 31, 2022. This was partially offset by the increase in people related costs and costs associated with the build out of information technology and commercial infrastructure in preparation for the planned commercial launch. Additionally, in the year ended December 31, 2022 we received payment of the 2021 R&amp;D tax credit while at December 31, 2023, our 2022 R&amp;D tax credit of $8.7 million was not yet received.</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decrease in cash provided by financing activities was primarily due to a decrease in proceeds received from equity issuances of $83.4 million partially offset by an increase in net proceeds related to the issuance of debt instruments of $34.8 million.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do not currently have any approved products and have never generated any revenue from product sales. To date, we have financed our operations primarily through the issuances of our equity securities, including warrants, from borrowings under our term loan facilities and from upfront payments received under the Nuance Agreement. See “Significant Agreements” for additional information.</w:t>
      </w:r>
    </w:p>
    <w:p>
      <w:pPr>
        <w:spacing w:after="0" w:line="79"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We have incurred recurring losses since inception, including net losses of $54.4 million, and $68.7 million for the years ended December 31, 2023, and 2022, respectively. In addition, as of December 31, 2023, we had an accumulated deficit of $388.4 million. We may continue to incur significant operating losses for the foreseeable future as we expand our research and development efforts, advance our clinical development of ensifentrine in other formulations or for other indications, and seek to obtain regulatory approval for and commercialize ensifentrine in various formulations or indications.</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9320"/>
          </w:cols>
          <w:pgMar w:left="1280" w:top="1229" w:right="1280" w:bottom="0" w:gutter="0" w:footer="0" w:header="0"/>
          <w:type w:val="continuous"/>
        </w:sectPr>
      </w:pPr>
    </w:p>
    <w:bookmarkStart w:id="97" w:name="page98"/>
    <w:bookmarkEnd w:id="97"/>
    <w:p>
      <w:pPr>
        <w:spacing w:after="0" w:line="260" w:lineRule="auto"/>
        <w:rPr>
          <w:sz w:val="20"/>
          <w:szCs w:val="20"/>
          <w:color w:val="auto"/>
        </w:rPr>
      </w:pPr>
      <w:r>
        <w:rPr>
          <w:rFonts w:ascii="Arial" w:cs="Arial" w:eastAsia="Arial" w:hAnsi="Arial"/>
          <w:sz w:val="20"/>
          <w:szCs w:val="20"/>
          <w:color w:val="auto"/>
        </w:rPr>
        <w:t>We have no ongoing material financial commitments, such as lines of credit or guarantees, that are expected to affect our liquidity over the next five years, other than leases and our term loan facility.</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2023 Financing and Capital Transactions</w:t>
      </w:r>
    </w:p>
    <w:p>
      <w:pPr>
        <w:spacing w:after="0" w:line="111" w:lineRule="exact"/>
        <w:rPr>
          <w:sz w:val="20"/>
          <w:szCs w:val="20"/>
          <w:color w:val="auto"/>
        </w:rPr>
      </w:pPr>
    </w:p>
    <w:p>
      <w:pPr>
        <w:jc w:val="both"/>
        <w:ind w:left="360" w:hanging="357"/>
        <w:spacing w:after="0" w:line="244" w:lineRule="auto"/>
        <w:tabs>
          <w:tab w:leader="none" w:pos="3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Received $10.0 million under the second term loan advance related to a loan and security agreement with Oxford Finance Luxembourg S.À R.L. for an aggregate amount of up to $150.0 million (the “Oxford Term Loan”);</w:t>
      </w:r>
    </w:p>
    <w:p>
      <w:pPr>
        <w:spacing w:after="0" w:line="74" w:lineRule="exact"/>
        <w:rPr>
          <w:rFonts w:ascii="Arial" w:cs="Arial" w:eastAsia="Arial" w:hAnsi="Arial"/>
          <w:sz w:val="20"/>
          <w:szCs w:val="20"/>
          <w:color w:val="auto"/>
        </w:rPr>
      </w:pPr>
    </w:p>
    <w:p>
      <w:pPr>
        <w:jc w:val="both"/>
        <w:ind w:left="360" w:hanging="357"/>
        <w:spacing w:after="0" w:line="239" w:lineRule="auto"/>
        <w:tabs>
          <w:tab w:leader="none" w:pos="3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Sold 20,321,384 ordinary shares (equivalent to 2,540,173 ADSs) under the at-the-market offering program entered into in March 2021 (the “2021 ATM Program”), at an average price of approximately $2.88 per share (equivalent to $23.08 per ADS), raising aggregate net proceeds of approximately $56.9 million after deducting issuance costs;</w:t>
      </w:r>
    </w:p>
    <w:p>
      <w:pPr>
        <w:spacing w:after="0" w:line="78" w:lineRule="exact"/>
        <w:rPr>
          <w:rFonts w:ascii="Arial" w:cs="Arial" w:eastAsia="Arial" w:hAnsi="Arial"/>
          <w:sz w:val="20"/>
          <w:szCs w:val="20"/>
          <w:color w:val="auto"/>
        </w:rPr>
      </w:pPr>
    </w:p>
    <w:p>
      <w:pPr>
        <w:ind w:left="360" w:hanging="357"/>
        <w:spacing w:after="0" w:line="286" w:lineRule="auto"/>
        <w:tabs>
          <w:tab w:leader="none" w:pos="360" w:val="left"/>
        </w:tabs>
        <w:numPr>
          <w:ilvl w:val="0"/>
          <w:numId w:val="55"/>
        </w:numPr>
        <w:rPr>
          <w:rFonts w:ascii="Arial" w:cs="Arial" w:eastAsia="Arial" w:hAnsi="Arial"/>
          <w:sz w:val="19"/>
          <w:szCs w:val="19"/>
          <w:color w:val="auto"/>
        </w:rPr>
      </w:pPr>
      <w:r>
        <w:rPr>
          <w:rFonts w:ascii="Arial" w:cs="Arial" w:eastAsia="Arial" w:hAnsi="Arial"/>
          <w:sz w:val="19"/>
          <w:szCs w:val="19"/>
          <w:color w:val="auto"/>
        </w:rPr>
        <w:t>Replaced the 2021 ATM Program with an open market sale agreement with Jefferies LLC (“Jefferies”) to sell our ordinary shares, in the form of ADSs, with aggregate gross proceeds of up to $200.0 million.</w:t>
      </w:r>
    </w:p>
    <w:p>
      <w:pPr>
        <w:spacing w:after="0" w:line="36" w:lineRule="exact"/>
        <w:rPr>
          <w:rFonts w:ascii="Arial" w:cs="Arial" w:eastAsia="Arial" w:hAnsi="Arial"/>
          <w:sz w:val="19"/>
          <w:szCs w:val="19"/>
          <w:color w:val="auto"/>
        </w:rPr>
      </w:pPr>
    </w:p>
    <w:p>
      <w:pPr>
        <w:jc w:val="both"/>
        <w:ind w:left="360" w:hanging="357"/>
        <w:spacing w:after="0" w:line="239" w:lineRule="auto"/>
        <w:tabs>
          <w:tab w:leader="none" w:pos="3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Entered into the 2023 Term Loan with a term loan advance of $50.0 million funded on the closing date and four additional term loan advances aggregating up to $350.0 million, subject to certain terms and conditions. A portion of the proceeds were used to repay, in full, the outstanding indebtedness owed by under the Oxford Term Loan.</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2023 Term Loan requires, among others, that we maintain certain financial covenants, and we were in compliance with all of these covenants as of December 31, 2023.</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Refer to Note 5 - Debt to our Consolidated Financial Statements and related notes included elsewhere in this Annual Report for additional information regarding the 2023 Term Loan and Note 1 - Organization and description of business operations for additional information regarding the ATM programs.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Funding requirements</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believe that our cash and cash equivalents as of December 31, 2023, together with additional funding expected to become available under the 2023 Term Loan, will enable us to fund our planned operating expenses and capital expenditure requirements through at least the end of 2026, including the planned commercial launch of nebulized ensifentrine for COPD maintenance treatment in the U.S. Future advances under the 2023 Term Loan are contingent upon achievement of certain regulatory and commercial milestones as well as other specified conditions.</w:t>
      </w:r>
    </w:p>
    <w:p>
      <w:pPr>
        <w:spacing w:after="0" w:line="5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We may require additional capital to commercialize ensifentrine, to continue the clinical development of our DPI and pMDI formulations of ensifentrine and to research and develop additional formulations of or with ensifentrine. In addition, we may seek to initiate or conduct preclinical or clinical studies with ensifentrine in additional indications or to discover or in-license and develop additional product candidates. We may need to seek additional funding through public or private financings, debt financing, collaboration or licensing agreements and other arrangements. However, there is no guarantee that we will be successful in securing additional capital on acceptable terms, or at all.</w:t>
      </w:r>
    </w:p>
    <w:p>
      <w:pPr>
        <w:spacing w:after="0" w:line="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the ownership interest of our shareholders and ADS holders will be diluted, and the terms of these securities may include liquidation or other preferences that adversely affect such holders’ rights as a shareholder or ADS holder. Any future debt financing or preferred equity financing, if available, may involve agreements that include security interests in our assets and future revenue streams, covenants limiting or restricting our ability to take specific actions, such as incurring additional debt, making capital expenditures or declaring dividends and may require the issuance of warrants, which could potentially dilute our security holders’ ownership interests.</w:t>
      </w:r>
    </w:p>
    <w:p>
      <w:pPr>
        <w:spacing w:after="0" w:line="5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future capital requirements for ensifentrine or any future product candidates will depend on many factors, including:</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9320"/>
          </w:cols>
          <w:pgMar w:left="1280" w:top="1229" w:right="1280" w:bottom="0" w:gutter="0" w:footer="0" w:header="0"/>
          <w:type w:val="continuous"/>
        </w:sectPr>
      </w:pPr>
    </w:p>
    <w:bookmarkStart w:id="98" w:name="page99"/>
    <w:bookmarkEnd w:id="98"/>
    <w:p>
      <w:pPr>
        <w:jc w:val="both"/>
        <w:ind w:left="360" w:hanging="357"/>
        <w:spacing w:after="0" w:line="244" w:lineRule="auto"/>
        <w:tabs>
          <w:tab w:leader="none" w:pos="3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progress, timing and completion of pre-clinical testing and clinical trials for ensifentrine or any future product candidates and the potential that we may be required to conduct additional clinical trials for ensifentrine;</w:t>
      </w:r>
    </w:p>
    <w:p>
      <w:pPr>
        <w:spacing w:after="0" w:line="74" w:lineRule="exact"/>
        <w:rPr>
          <w:rFonts w:ascii="Arial" w:cs="Arial" w:eastAsia="Arial" w:hAnsi="Arial"/>
          <w:sz w:val="20"/>
          <w:szCs w:val="20"/>
          <w:color w:val="auto"/>
        </w:rPr>
      </w:pPr>
    </w:p>
    <w:p>
      <w:pPr>
        <w:ind w:left="360" w:hanging="357"/>
        <w:spacing w:after="0"/>
        <w:tabs>
          <w:tab w:leader="none" w:pos="3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number of potential new product candidates we decide to in-license and develop;</w:t>
      </w:r>
    </w:p>
    <w:p>
      <w:pPr>
        <w:spacing w:after="0" w:line="10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costs involved in growing our organization to the size needed to allow for the research, development and potential commercialization of ensifentrine or any future product candidates;</w:t>
      </w:r>
    </w:p>
    <w:p>
      <w:pPr>
        <w:spacing w:after="0" w:line="58"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costs involved in filing patent applications and maintaining and enforcing patents or defending against claims or infringements raised by third parties;</w:t>
      </w:r>
    </w:p>
    <w:p>
      <w:pPr>
        <w:spacing w:after="0" w:line="5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time and costs involved in obtaining regulatory approvals for ensifentrine or any future product candidate we develop and any delays we may encounter as a result of evolving regulatory requirements or adverse results with respect to ensifentrine or any future product candidates;</w:t>
      </w:r>
    </w:p>
    <w:p>
      <w:pPr>
        <w:spacing w:after="0" w:line="74"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any licensing or milestone fees we might have to pay during future development of ensifentrine or any future product candidates;</w:t>
      </w:r>
    </w:p>
    <w:p>
      <w:pPr>
        <w:spacing w:after="0" w:line="5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selling and marketing activities undertaken in connection with the anticipated commercialization of ensifentrine or any future product candidates, if approved, and costs involved in the creation of an effective sales and marketing organization; and</w:t>
      </w:r>
    </w:p>
    <w:p>
      <w:pPr>
        <w:spacing w:after="0" w:line="74"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amount of revenue, if any, we may derive either directly or in the form of royalty payments from future sales of ensifentrine or any future product candidates, if approved.</w:t>
      </w:r>
    </w:p>
    <w:p>
      <w:pPr>
        <w:spacing w:after="0" w:line="5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commercial revenue, if any, will be derived from sales of products that we do not expect to be commercially available until the second half of 2024, if ever. Accordingly, we may need to obtain substantial additional funds to achieve our business objectives.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For a discussion of pending and recently adopted accounting pronouncements, see Note 2 Basis of Presentation and Summary of Significant Accounting Policie</w:t>
      </w:r>
      <w:r>
        <w:rPr>
          <w:rFonts w:ascii="Arial" w:cs="Arial" w:eastAsia="Arial" w:hAnsi="Arial"/>
          <w:sz w:val="20"/>
          <w:szCs w:val="20"/>
          <w:b w:val="1"/>
          <w:bCs w:val="1"/>
          <w:color w:val="auto"/>
        </w:rPr>
        <w:t>s</w:t>
      </w:r>
      <w:r>
        <w:rPr>
          <w:rFonts w:ascii="Arial" w:cs="Arial" w:eastAsia="Arial" w:hAnsi="Arial"/>
          <w:sz w:val="20"/>
          <w:szCs w:val="20"/>
          <w:color w:val="auto"/>
        </w:rPr>
        <w:t xml:space="preserve"> to our Consolidated Financial Statements included elsewhere in this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35"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We are not required to provide the information required by this Item 7A until our Quarterly Report on Form 10-Q for the first quarter after the fiscal year in which it is determined that we are no longer a smaller reporting company.</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financial statements required to be filed pursuant to this Item 8 are appended to this Annual Report. An index of those financial statements is found in Item 15 of Part IV of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December 14, 2023, the Audit and Risk Committee of the board of directors dismissed PricewaterhouseCoopers LLP (“PwC”) and approved the engagement of Ernst &amp; Young LLP (“EY”) to serve as the Company’s independent registered public accounting firm (“independent auditor”) to audit the Company’s Consolidated Financial Statements as of and for the fiscal year ending December 31, 2024, contingent upon the appointment of EY as the Company’s independent auditor by the Company’s shareholders at its 2024 Annual General Meeting (the “Shareholder Appointment”). Subject to the Shareholder Appointment, EY will replace PwC, the Company’s current independent auditor, which is not being nominated for re-appointment by the shareholders and whose term as independent auditor is expected to end following the Company’s 2024 Annual General Meeting.</w:t>
      </w:r>
    </w:p>
    <w:p>
      <w:pPr>
        <w:spacing w:after="0" w:line="6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reports of PwC on the Company’s Consolidated Financial Statements as of and for the years ended December 31, 2022 and 2021 did not contain an adverse opinion or a disclaimer of opinion, nor were they qualified or modified as to uncertainty, audit scope or accounting principles.</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9320"/>
          </w:cols>
          <w:pgMar w:left="1280" w:top="1229" w:right="1280" w:bottom="0" w:gutter="0" w:footer="0" w:header="0"/>
          <w:type w:val="continuous"/>
        </w:sectPr>
      </w:pPr>
    </w:p>
    <w:bookmarkStart w:id="99" w:name="page100"/>
    <w:bookmarkEnd w:id="99"/>
    <w:p>
      <w:pPr>
        <w:jc w:val="both"/>
        <w:spacing w:after="0" w:line="249" w:lineRule="auto"/>
        <w:rPr>
          <w:sz w:val="20"/>
          <w:szCs w:val="20"/>
          <w:color w:val="auto"/>
        </w:rPr>
      </w:pPr>
      <w:r>
        <w:rPr>
          <w:rFonts w:ascii="Arial" w:cs="Arial" w:eastAsia="Arial" w:hAnsi="Arial"/>
          <w:sz w:val="19"/>
          <w:szCs w:val="19"/>
          <w:color w:val="auto"/>
        </w:rPr>
        <w:t>During the fiscal years ended December 31, 2022 and 2021, and in the subsequent interim period through December 14, 2023, there were (i) no “disagreements” (as that term is defined in Item 304(a)(1)(iv) of Regulation S-K) between the Company and PwC on any matter of accounting principles or practices, financial statement disclosure or auditing scope or procedures, which, if not resolved to the satisfaction of PwC, would have caused PwC to make reference to the matter in its report on the financial statements for such years, and (ii) no “reportable events” (as that term is described in Item 304(a)(1)(v) of Regulation S-K).</w:t>
      </w:r>
    </w:p>
    <w:p>
      <w:pPr>
        <w:spacing w:after="0" w:line="7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provided PwC with a copy of the disclosures contained in its Current Report on Form 8-K filed with the SEC on December 18, 2023 and requested that PwC furnish a letter addressed to the SEC stating whether it agrees with the statements contained herein.</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During the Company’s two most recent fiscal years ended December 31, 2022 and December 31, 2021, and the subsequent interim period from January 1, 2023 through December 14, 2023, neither the Company nor anyone acting on its behalf consulted with EY regarding either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EY concluded was an important factor considered by the Company in reaching a decision as to the accounting, auditing or financial reporting issue; or (ii) any matter that was either the subject of a “disagreement” (as defined in Item 304(a)(1)(iv) of Regulation S-K and the related instructions thereto) or a “reportable event” (as described in Item 304(a)(1)(v) of Regulation S-K).</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Disclosure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Limitations on Effectiveness of Controls and Procedures</w:t>
      </w:r>
    </w:p>
    <w:p>
      <w:pPr>
        <w:spacing w:after="0" w:line="11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Evaluation of Disclosure Controls and Procedures</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Our management, with the participation of our principal executive officer and principal financial officer, has evaluated the effectiveness of our disclosure controls and procedures (as defined in Rules 13a- 15(e) and 15d- 15(e) under the Exchange Act), as of the end of the period covered by this Annual Report. Based on such evaluation, our principal executive officer and principal financial officer have concluded that, as of December 31, 2023,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Management’s Annual Report on Internal Control Over Financial Reporting</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management, including our principal executive officer and principal financial officer, is responsible for establishing and maintaining adequate internal control over our financial reporting, as such term is defined in Rules 13a-15(f) and 15d-15(f) under the Exchange Act.</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management conducted an assessment of the effectiveness of our internal control over financial reporting as of December 31, 2023 based on the criteria established in “Internal Control – Integrated Framework (2013)” issued by the Committee of Sponsoring Organizations of the Treadway Commission.</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Based on this assessment, our management concluded that, as of December 31, 2023, our internal control over financial reporting was effective.</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Attestation Report of the Registered Public Accounting Firm</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independent registered public accounting firm, PricewaterhouseCoopers LLP, has audited the effectiveness of the Company’s internal control over financial reporting as of December 31, 2023, as stated in their report that appears on page F-2 of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Internal Control over Financial Reporting</w:t>
      </w:r>
    </w:p>
    <w:p>
      <w:pPr>
        <w:spacing w:after="0" w:line="111"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identified in management’s evaluation pursuant to Rules 13a-15(d) or 15d-15(d) of the</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9320"/>
          </w:cols>
          <w:pgMar w:left="1280" w:top="1229" w:right="1280" w:bottom="0" w:gutter="0" w:footer="0" w:header="0"/>
          <w:type w:val="continuous"/>
        </w:sectPr>
      </w:pPr>
    </w:p>
    <w:bookmarkStart w:id="100" w:name="page101"/>
    <w:bookmarkEnd w:id="100"/>
    <w:p>
      <w:pPr>
        <w:spacing w:after="0" w:line="260" w:lineRule="auto"/>
        <w:rPr>
          <w:sz w:val="20"/>
          <w:szCs w:val="20"/>
          <w:color w:val="auto"/>
        </w:rPr>
      </w:pPr>
      <w:r>
        <w:rPr>
          <w:rFonts w:ascii="Arial" w:cs="Arial" w:eastAsia="Arial" w:hAnsi="Arial"/>
          <w:sz w:val="20"/>
          <w:szCs w:val="20"/>
          <w:color w:val="auto"/>
        </w:rPr>
        <w:t>Exchange Act that occurred during the quarter ended December 31, 2023 that materially affected, or are reasonably likely to materially affect, our internal control over financial reporting.</w:t>
      </w:r>
    </w:p>
    <w:p>
      <w:pPr>
        <w:spacing w:after="0" w:line="171"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21"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9320"/>
          </w:cols>
          <w:pgMar w:left="1280" w:top="1229" w:right="1280" w:bottom="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24"/>
          <w:szCs w:val="24"/>
          <w:b w:val="1"/>
          <w:bCs w:val="1"/>
          <w:color w:val="auto"/>
        </w:rPr>
        <w:t>PART III</w:t>
      </w:r>
    </w:p>
    <w:p>
      <w:pPr>
        <w:spacing w:after="0" w:line="263" w:lineRule="exact"/>
        <w:rPr>
          <w:sz w:val="20"/>
          <w:szCs w:val="20"/>
          <w:color w:val="auto"/>
        </w:rPr>
      </w:pPr>
    </w:p>
    <w:p>
      <w:pPr>
        <w:ind w:right="3760"/>
        <w:spacing w:after="0" w:line="481" w:lineRule="auto"/>
        <w:rPr>
          <w:sz w:val="20"/>
          <w:szCs w:val="20"/>
          <w:color w:val="auto"/>
        </w:rPr>
      </w:pPr>
      <w:r>
        <w:rPr>
          <w:rFonts w:ascii="Arial" w:cs="Arial" w:eastAsia="Arial" w:hAnsi="Arial"/>
          <w:sz w:val="20"/>
          <w:szCs w:val="20"/>
          <w:b w:val="1"/>
          <w:bCs w:val="1"/>
          <w:color w:val="auto"/>
        </w:rPr>
        <w:t>Item 10. Directors, Executive Officers and Corporate Governance Code of Ethics</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Our board of directors has adopted a written Code of Business Conduct and Ethics applicable to all officers, directors and employees, including our principal executive officer, principal financial officer, principal accounting officer or controller, or persons performing similar functions. We have posted a current copy of our Code of Business Conduct and Ethics on our website at www.veronapharma.com in the “Investors” section under “Corporate Governance.” We intend to satisfy the disclosure requirement under Item 5.05 of Form 8-K regarding amendments to, or waivers from, a provision of our Code of Business Conduct and Ethics, as well as Nasdaq’s requirement to disclose waivers with respect to directors and executive officers, by posting such information on our website at the address and location specified above. The information contained on our website is not incorporated by reference into this Annual Report.</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remaining information required by this item will be included in our definitive proxy statement for the 2024 Annual General Meeting of Shareholders and is incorporated herein by reference to such proxy statement.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information required by this item will be included in our definitive proxy statement for the 2024 Annual General Meeting of Shareholders and is incorporated herein by reference to such proxy statement.</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information required by this item will be included in our definitive proxy statement for the 2024 Annual General Meeting of Shareholders and is incorporated herein by reference to such proxy statement.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information required by this item will be included in our definitive proxy statement for the 2024 Annual General Meeting of Shareholders and is incorporated herein by reference to such proxy statement.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information required by this item will be included in our definitive proxy statement for the 2024 Annual General Meeting of Shareholders and is incorporated herein by reference to such proxy statement.</w:t>
      </w:r>
    </w:p>
    <w:p>
      <w:pPr>
        <w:sectPr>
          <w:pgSz w:w="11880" w:h="15480" w:orient="portrait"/>
          <w:cols w:equalWidth="0" w:num="1">
            <w:col w:w="9320"/>
          </w:cols>
          <w:pgMar w:left="1280" w:top="120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9320"/>
          </w:cols>
          <w:pgMar w:left="1280" w:top="1208" w:right="1280" w:bottom="0" w:gutter="0" w:footer="0" w:header="0"/>
          <w:type w:val="continuous"/>
        </w:sectPr>
      </w:pPr>
    </w:p>
    <w:bookmarkStart w:id="102" w:name="page103"/>
    <w:bookmarkEnd w:id="102"/>
    <w:p>
      <w:pPr>
        <w:ind w:left="4180"/>
        <w:spacing w:after="0"/>
        <w:rPr>
          <w:sz w:val="20"/>
          <w:szCs w:val="20"/>
          <w:color w:val="auto"/>
        </w:rPr>
      </w:pPr>
      <w:r>
        <w:rPr>
          <w:rFonts w:ascii="Arial" w:cs="Arial" w:eastAsia="Arial" w:hAnsi="Arial"/>
          <w:sz w:val="24"/>
          <w:szCs w:val="24"/>
          <w:b w:val="1"/>
          <w:bCs w:val="1"/>
          <w:color w:val="auto"/>
        </w:rPr>
        <w:t>PART IV</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w:t>
      </w:r>
      <w:r>
        <w:rPr>
          <w:rFonts w:ascii="Arial" w:cs="Arial" w:eastAsia="Arial" w:hAnsi="Arial"/>
          <w:sz w:val="20"/>
          <w:szCs w:val="20"/>
          <w:color w:val="auto"/>
        </w:rPr>
        <w: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(a)(1) Financial Statements</w:t>
      </w:r>
    </w:p>
    <w:p>
      <w:pPr>
        <w:spacing w:after="0" w:line="116"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following financial statements and the Report of Independent Registered Accounting Firm are filed as part of this Annual Report: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8540" w:type="dxa"/>
            <w:vAlign w:val="bottom"/>
            <w:shd w:val="clear" w:color="auto" w:fill="E6E6E6"/>
          </w:tcPr>
          <w:p>
            <w:pPr>
              <w:ind w:left="60"/>
              <w:spacing w:after="0"/>
              <w:rPr>
                <w:sz w:val="20"/>
                <w:szCs w:val="20"/>
                <w:color w:val="auto"/>
              </w:rPr>
            </w:pPr>
            <w:r>
              <w:rPr>
                <w:rFonts w:ascii="Arial" w:cs="Arial" w:eastAsia="Arial" w:hAnsi="Arial"/>
                <w:sz w:val="20"/>
                <w:szCs w:val="20"/>
                <w:color w:val="auto"/>
              </w:rPr>
              <w:t>Report of Independent Registered Public Accounting Firm (PCAOB ID: 876)</w:t>
            </w:r>
          </w:p>
        </w:tc>
        <w:tc>
          <w:tcPr>
            <w:tcW w:w="780" w:type="dxa"/>
            <w:vAlign w:val="bottom"/>
            <w:shd w:val="clear" w:color="auto" w:fill="E6E6E6"/>
          </w:tcPr>
          <w:p>
            <w:pPr>
              <w:ind w:left="440"/>
              <w:spacing w:after="0"/>
              <w:rPr>
                <w:sz w:val="20"/>
                <w:szCs w:val="20"/>
                <w:color w:val="auto"/>
              </w:rPr>
            </w:pPr>
            <w:r>
              <w:rPr>
                <w:rFonts w:ascii="Arial" w:cs="Arial" w:eastAsia="Arial" w:hAnsi="Arial"/>
                <w:sz w:val="20"/>
                <w:szCs w:val="20"/>
                <w:color w:val="auto"/>
              </w:rPr>
              <w:t>F-2</w:t>
            </w:r>
          </w:p>
        </w:tc>
        <w:tc>
          <w:tcPr>
            <w:tcW w:w="0" w:type="dxa"/>
            <w:vAlign w:val="bottom"/>
          </w:tcPr>
          <w:p>
            <w:pPr>
              <w:spacing w:after="0"/>
              <w:rPr>
                <w:sz w:val="1"/>
                <w:szCs w:val="1"/>
                <w:color w:val="auto"/>
              </w:rPr>
            </w:pPr>
          </w:p>
        </w:tc>
      </w:tr>
      <w:tr>
        <w:trPr>
          <w:trHeight w:val="307"/>
        </w:trPr>
        <w:tc>
          <w:tcPr>
            <w:tcW w:w="8540" w:type="dxa"/>
            <w:vAlign w:val="bottom"/>
          </w:tcPr>
          <w:p>
            <w:pPr>
              <w:ind w:left="60"/>
              <w:spacing w:after="0"/>
              <w:rPr>
                <w:sz w:val="20"/>
                <w:szCs w:val="20"/>
                <w:color w:val="auto"/>
              </w:rPr>
            </w:pPr>
            <w:r>
              <w:rPr>
                <w:rFonts w:ascii="Arial" w:cs="Arial" w:eastAsia="Arial" w:hAnsi="Arial"/>
                <w:sz w:val="20"/>
                <w:szCs w:val="20"/>
                <w:color w:val="auto"/>
              </w:rPr>
              <w:t>Consolidated Balance Sheets as of December 31, 2023 and 2022</w:t>
            </w:r>
          </w:p>
        </w:tc>
        <w:tc>
          <w:tcPr>
            <w:tcW w:w="780" w:type="dxa"/>
            <w:vAlign w:val="bottom"/>
          </w:tcPr>
          <w:p>
            <w:pPr>
              <w:ind w:left="440"/>
              <w:spacing w:after="0"/>
              <w:rPr>
                <w:sz w:val="20"/>
                <w:szCs w:val="20"/>
                <w:color w:val="auto"/>
              </w:rPr>
            </w:pPr>
            <w:r>
              <w:rPr>
                <w:rFonts w:ascii="Arial" w:cs="Arial" w:eastAsia="Arial" w:hAnsi="Arial"/>
                <w:sz w:val="20"/>
                <w:szCs w:val="20"/>
                <w:color w:val="auto"/>
              </w:rPr>
              <w:t>F-4</w:t>
            </w:r>
          </w:p>
        </w:tc>
        <w:tc>
          <w:tcPr>
            <w:tcW w:w="0" w:type="dxa"/>
            <w:vAlign w:val="bottom"/>
          </w:tcPr>
          <w:p>
            <w:pPr>
              <w:spacing w:after="0"/>
              <w:rPr>
                <w:sz w:val="1"/>
                <w:szCs w:val="1"/>
                <w:color w:val="auto"/>
              </w:rPr>
            </w:pPr>
          </w:p>
        </w:tc>
      </w:tr>
      <w:tr>
        <w:trPr>
          <w:trHeight w:val="197"/>
        </w:trPr>
        <w:tc>
          <w:tcPr>
            <w:tcW w:w="8540" w:type="dxa"/>
            <w:vAlign w:val="bottom"/>
            <w:shd w:val="clear" w:color="auto" w:fill="E6E6E6"/>
          </w:tcPr>
          <w:p>
            <w:pPr>
              <w:ind w:left="60"/>
              <w:spacing w:after="0" w:line="197" w:lineRule="exact"/>
              <w:rPr>
                <w:sz w:val="20"/>
                <w:szCs w:val="20"/>
                <w:color w:val="auto"/>
              </w:rPr>
            </w:pPr>
            <w:r>
              <w:rPr>
                <w:rFonts w:ascii="Arial" w:cs="Arial" w:eastAsia="Arial" w:hAnsi="Arial"/>
                <w:sz w:val="20"/>
                <w:szCs w:val="20"/>
                <w:color w:val="auto"/>
                <w:w w:val="95"/>
              </w:rPr>
              <w:t>Consolidated Statements of Operations and Comprehensive Loss for the years ended December 31,</w:t>
            </w:r>
          </w:p>
        </w:tc>
        <w:tc>
          <w:tcPr>
            <w:tcW w:w="780" w:type="dxa"/>
            <w:vAlign w:val="bottom"/>
            <w:vMerge w:val="restart"/>
            <w:shd w:val="clear" w:color="auto" w:fill="E6E6E6"/>
          </w:tcPr>
          <w:p>
            <w:pPr>
              <w:ind w:left="440"/>
              <w:spacing w:after="0"/>
              <w:rPr>
                <w:sz w:val="20"/>
                <w:szCs w:val="20"/>
                <w:color w:val="auto"/>
              </w:rPr>
            </w:pPr>
            <w:r>
              <w:rPr>
                <w:rFonts w:ascii="Arial" w:cs="Arial" w:eastAsia="Arial" w:hAnsi="Arial"/>
                <w:sz w:val="20"/>
                <w:szCs w:val="20"/>
                <w:color w:val="auto"/>
              </w:rPr>
              <w:t>F-5</w:t>
            </w:r>
          </w:p>
        </w:tc>
        <w:tc>
          <w:tcPr>
            <w:tcW w:w="0" w:type="dxa"/>
            <w:vAlign w:val="bottom"/>
          </w:tcPr>
          <w:p>
            <w:pPr>
              <w:spacing w:after="0"/>
              <w:rPr>
                <w:sz w:val="1"/>
                <w:szCs w:val="1"/>
                <w:color w:val="auto"/>
              </w:rPr>
            </w:pPr>
          </w:p>
        </w:tc>
      </w:tr>
      <w:tr>
        <w:trPr>
          <w:trHeight w:val="272"/>
        </w:trPr>
        <w:tc>
          <w:tcPr>
            <w:tcW w:w="8540" w:type="dxa"/>
            <w:vAlign w:val="bottom"/>
            <w:shd w:val="clear" w:color="auto" w:fill="E6E6E6"/>
          </w:tcPr>
          <w:p>
            <w:pPr>
              <w:ind w:left="60"/>
              <w:spacing w:after="0"/>
              <w:rPr>
                <w:sz w:val="20"/>
                <w:szCs w:val="20"/>
                <w:color w:val="auto"/>
              </w:rPr>
            </w:pPr>
            <w:r>
              <w:rPr>
                <w:rFonts w:ascii="Arial" w:cs="Arial" w:eastAsia="Arial" w:hAnsi="Arial"/>
                <w:sz w:val="20"/>
                <w:szCs w:val="20"/>
                <w:color w:val="auto"/>
              </w:rPr>
              <w:t>2023 and 2022</w:t>
            </w:r>
          </w:p>
        </w:tc>
        <w:tc>
          <w:tcPr>
            <w:tcW w:w="78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8540" w:type="dxa"/>
            <w:vAlign w:val="bottom"/>
          </w:tcPr>
          <w:p>
            <w:pPr>
              <w:ind w:left="60"/>
              <w:spacing w:after="0" w:line="191" w:lineRule="exact"/>
              <w:rPr>
                <w:sz w:val="20"/>
                <w:szCs w:val="20"/>
                <w:color w:val="auto"/>
              </w:rPr>
            </w:pPr>
            <w:r>
              <w:rPr>
                <w:rFonts w:ascii="Arial" w:cs="Arial" w:eastAsia="Arial" w:hAnsi="Arial"/>
                <w:sz w:val="20"/>
                <w:szCs w:val="20"/>
                <w:color w:val="auto"/>
                <w:w w:val="93"/>
              </w:rPr>
              <w:t>Consolidated Statements of Changes in Shareholders’ Equity for the years ended December 31, 2023</w:t>
            </w:r>
          </w:p>
        </w:tc>
        <w:tc>
          <w:tcPr>
            <w:tcW w:w="780" w:type="dxa"/>
            <w:vAlign w:val="bottom"/>
            <w:vMerge w:val="restart"/>
          </w:tcPr>
          <w:p>
            <w:pPr>
              <w:ind w:left="440"/>
              <w:spacing w:after="0"/>
              <w:rPr>
                <w:sz w:val="20"/>
                <w:szCs w:val="20"/>
                <w:color w:val="auto"/>
              </w:rPr>
            </w:pPr>
            <w:r>
              <w:rPr>
                <w:rFonts w:ascii="Arial" w:cs="Arial" w:eastAsia="Arial" w:hAnsi="Arial"/>
                <w:sz w:val="20"/>
                <w:szCs w:val="20"/>
                <w:color w:val="auto"/>
              </w:rPr>
              <w:t>F-6</w:t>
            </w:r>
          </w:p>
        </w:tc>
        <w:tc>
          <w:tcPr>
            <w:tcW w:w="0" w:type="dxa"/>
            <w:vAlign w:val="bottom"/>
          </w:tcPr>
          <w:p>
            <w:pPr>
              <w:spacing w:after="0"/>
              <w:rPr>
                <w:sz w:val="1"/>
                <w:szCs w:val="1"/>
                <w:color w:val="auto"/>
              </w:rPr>
            </w:pPr>
          </w:p>
        </w:tc>
      </w:tr>
      <w:tr>
        <w:trPr>
          <w:trHeight w:val="266"/>
        </w:trPr>
        <w:tc>
          <w:tcPr>
            <w:tcW w:w="8540" w:type="dxa"/>
            <w:vAlign w:val="bottom"/>
          </w:tcPr>
          <w:p>
            <w:pPr>
              <w:ind w:left="60"/>
              <w:spacing w:after="0"/>
              <w:rPr>
                <w:sz w:val="20"/>
                <w:szCs w:val="20"/>
                <w:color w:val="auto"/>
              </w:rPr>
            </w:pPr>
            <w:r>
              <w:rPr>
                <w:rFonts w:ascii="Arial" w:cs="Arial" w:eastAsia="Arial" w:hAnsi="Arial"/>
                <w:sz w:val="20"/>
                <w:szCs w:val="20"/>
                <w:color w:val="auto"/>
              </w:rPr>
              <w:t>and 2022</w:t>
            </w:r>
          </w:p>
        </w:tc>
        <w:tc>
          <w:tcPr>
            <w:tcW w:w="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9"/>
        </w:trPr>
        <w:tc>
          <w:tcPr>
            <w:tcW w:w="8540" w:type="dxa"/>
            <w:vAlign w:val="bottom"/>
            <w:shd w:val="clear" w:color="auto" w:fill="E6E6E6"/>
          </w:tcPr>
          <w:p>
            <w:pPr>
              <w:ind w:left="60"/>
              <w:spacing w:after="0"/>
              <w:rPr>
                <w:sz w:val="20"/>
                <w:szCs w:val="20"/>
                <w:color w:val="auto"/>
              </w:rPr>
            </w:pPr>
            <w:r>
              <w:rPr>
                <w:rFonts w:ascii="Arial" w:cs="Arial" w:eastAsia="Arial" w:hAnsi="Arial"/>
                <w:sz w:val="20"/>
                <w:szCs w:val="20"/>
                <w:color w:val="auto"/>
              </w:rPr>
              <w:t>Consolidated Statements of Cash Flows for the years ended December 31, 2023 and 2022</w:t>
            </w:r>
          </w:p>
        </w:tc>
        <w:tc>
          <w:tcPr>
            <w:tcW w:w="780" w:type="dxa"/>
            <w:vAlign w:val="bottom"/>
            <w:shd w:val="clear" w:color="auto" w:fill="E6E6E6"/>
          </w:tcPr>
          <w:p>
            <w:pPr>
              <w:ind w:left="440"/>
              <w:spacing w:after="0"/>
              <w:rPr>
                <w:sz w:val="20"/>
                <w:szCs w:val="20"/>
                <w:color w:val="auto"/>
              </w:rPr>
            </w:pPr>
            <w:r>
              <w:rPr>
                <w:rFonts w:ascii="Arial" w:cs="Arial" w:eastAsia="Arial" w:hAnsi="Arial"/>
                <w:sz w:val="20"/>
                <w:szCs w:val="20"/>
                <w:color w:val="auto"/>
              </w:rPr>
              <w:t>F-7</w:t>
            </w:r>
          </w:p>
        </w:tc>
        <w:tc>
          <w:tcPr>
            <w:tcW w:w="0" w:type="dxa"/>
            <w:vAlign w:val="bottom"/>
          </w:tcPr>
          <w:p>
            <w:pPr>
              <w:spacing w:after="0"/>
              <w:rPr>
                <w:sz w:val="1"/>
                <w:szCs w:val="1"/>
                <w:color w:val="auto"/>
              </w:rPr>
            </w:pPr>
          </w:p>
        </w:tc>
      </w:tr>
      <w:tr>
        <w:trPr>
          <w:trHeight w:val="301"/>
        </w:trPr>
        <w:tc>
          <w:tcPr>
            <w:tcW w:w="8540" w:type="dxa"/>
            <w:vAlign w:val="bottom"/>
          </w:tcPr>
          <w:p>
            <w:pPr>
              <w:ind w:left="60"/>
              <w:spacing w:after="0"/>
              <w:rPr>
                <w:sz w:val="20"/>
                <w:szCs w:val="20"/>
                <w:color w:val="auto"/>
              </w:rPr>
            </w:pPr>
            <w:r>
              <w:rPr>
                <w:rFonts w:ascii="Arial" w:cs="Arial" w:eastAsia="Arial" w:hAnsi="Arial"/>
                <w:sz w:val="20"/>
                <w:szCs w:val="20"/>
                <w:color w:val="auto"/>
              </w:rPr>
              <w:t>Notes to Consolidated Financial Statements</w:t>
            </w:r>
          </w:p>
        </w:tc>
        <w:tc>
          <w:tcPr>
            <w:tcW w:w="780" w:type="dxa"/>
            <w:vAlign w:val="bottom"/>
          </w:tcPr>
          <w:p>
            <w:pPr>
              <w:ind w:left="440"/>
              <w:spacing w:after="0"/>
              <w:rPr>
                <w:sz w:val="20"/>
                <w:szCs w:val="20"/>
                <w:color w:val="auto"/>
              </w:rPr>
            </w:pPr>
            <w:r>
              <w:rPr>
                <w:rFonts w:ascii="Arial" w:cs="Arial" w:eastAsia="Arial" w:hAnsi="Arial"/>
                <w:sz w:val="20"/>
                <w:szCs w:val="20"/>
                <w:color w:val="auto"/>
              </w:rPr>
              <w:t>F-8</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(a)(2) Financial Statement Schedules.</w:t>
      </w:r>
    </w:p>
    <w:p>
      <w:pPr>
        <w:spacing w:after="0" w:line="116" w:lineRule="exact"/>
        <w:rPr>
          <w:sz w:val="20"/>
          <w:szCs w:val="20"/>
          <w:color w:val="auto"/>
        </w:rPr>
      </w:pPr>
    </w:p>
    <w:p>
      <w:pPr>
        <w:jc w:val="both"/>
        <w:ind w:right="160"/>
        <w:spacing w:after="0" w:line="260" w:lineRule="auto"/>
        <w:rPr>
          <w:sz w:val="20"/>
          <w:szCs w:val="20"/>
          <w:color w:val="auto"/>
        </w:rPr>
      </w:pPr>
      <w:r>
        <w:rPr>
          <w:rFonts w:ascii="Arial" w:cs="Arial" w:eastAsia="Arial" w:hAnsi="Arial"/>
          <w:sz w:val="20"/>
          <w:szCs w:val="20"/>
          <w:color w:val="auto"/>
        </w:rPr>
        <w:t>All financial statement schedules have been omitted because they are not applicable, not required or the information required is shown in the financial statements or the notes thereto.</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(a)(3) Exhibits.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list of exhibits filed as part of this Annual Report.</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63"/>
        </w:trPr>
        <w:tc>
          <w:tcPr>
            <w:tcW w:w="78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12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20"/>
                <w:szCs w:val="20"/>
                <w:color w:val="auto"/>
                <w:w w:val="95"/>
              </w:rPr>
              <w:t>Incorporated by Reference to Filings Indicated</w:t>
            </w:r>
          </w:p>
        </w:tc>
        <w:tc>
          <w:tcPr>
            <w:tcW w:w="0" w:type="dxa"/>
            <w:vAlign w:val="bottom"/>
          </w:tcPr>
          <w:p>
            <w:pPr>
              <w:spacing w:after="0"/>
              <w:rPr>
                <w:sz w:val="1"/>
                <w:szCs w:val="1"/>
                <w:color w:val="auto"/>
              </w:rPr>
            </w:pPr>
          </w:p>
        </w:tc>
      </w:tr>
      <w:tr>
        <w:trPr>
          <w:trHeight w:val="475"/>
        </w:trPr>
        <w:tc>
          <w:tcPr>
            <w:tcW w:w="780" w:type="dxa"/>
            <w:vAlign w:val="bottom"/>
            <w:vMerge w:val="restart"/>
          </w:tcPr>
          <w:p>
            <w:pPr>
              <w:spacing w:after="0"/>
              <w:rPr>
                <w:sz w:val="20"/>
                <w:szCs w:val="20"/>
                <w:color w:val="auto"/>
              </w:rPr>
            </w:pPr>
            <w:r>
              <w:rPr>
                <w:rFonts w:ascii="Arial" w:cs="Arial" w:eastAsia="Arial" w:hAnsi="Arial"/>
                <w:sz w:val="20"/>
                <w:szCs w:val="20"/>
                <w:color w:val="auto"/>
              </w:rPr>
              <w:t>Exhibit</w:t>
            </w:r>
          </w:p>
        </w:tc>
        <w:tc>
          <w:tcPr>
            <w:tcW w:w="3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Filed /</w:t>
            </w:r>
          </w:p>
        </w:tc>
        <w:tc>
          <w:tcPr>
            <w:tcW w:w="0" w:type="dxa"/>
            <w:vAlign w:val="bottom"/>
          </w:tcPr>
          <w:p>
            <w:pPr>
              <w:spacing w:after="0"/>
              <w:rPr>
                <w:sz w:val="1"/>
                <w:szCs w:val="1"/>
                <w:color w:val="auto"/>
              </w:rPr>
            </w:pPr>
          </w:p>
        </w:tc>
      </w:tr>
      <w:tr>
        <w:trPr>
          <w:trHeight w:val="199"/>
        </w:trPr>
        <w:tc>
          <w:tcPr>
            <w:tcW w:w="780" w:type="dxa"/>
            <w:vAlign w:val="bottom"/>
            <w:vMerge w:val="continue"/>
          </w:tcPr>
          <w:p>
            <w:pPr>
              <w:spacing w:after="0"/>
              <w:rPr>
                <w:sz w:val="17"/>
                <w:szCs w:val="17"/>
                <w:color w:val="auto"/>
              </w:rPr>
            </w:pPr>
          </w:p>
        </w:tc>
        <w:tc>
          <w:tcPr>
            <w:tcW w:w="3840" w:type="dxa"/>
            <w:vAlign w:val="bottom"/>
            <w:vMerge w:val="restart"/>
          </w:tcPr>
          <w:p>
            <w:pPr>
              <w:ind w:left="120"/>
              <w:spacing w:after="0"/>
              <w:rPr>
                <w:sz w:val="20"/>
                <w:szCs w:val="20"/>
                <w:color w:val="auto"/>
              </w:rPr>
            </w:pPr>
            <w:r>
              <w:rPr>
                <w:rFonts w:ascii="Arial" w:cs="Arial" w:eastAsia="Arial" w:hAnsi="Arial"/>
                <w:sz w:val="20"/>
                <w:szCs w:val="20"/>
                <w:color w:val="auto"/>
              </w:rPr>
              <w:t>Exhibit Description</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Form</w:t>
            </w: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File No.</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Exhibit No.</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Filing date</w:t>
            </w:r>
          </w:p>
        </w:tc>
        <w:tc>
          <w:tcPr>
            <w:tcW w:w="920" w:type="dxa"/>
            <w:vAlign w:val="bottom"/>
          </w:tcPr>
          <w:p>
            <w:pPr>
              <w:jc w:val="right"/>
              <w:spacing w:after="0" w:line="199" w:lineRule="exact"/>
              <w:rPr>
                <w:sz w:val="20"/>
                <w:szCs w:val="20"/>
                <w:color w:val="auto"/>
              </w:rPr>
            </w:pPr>
            <w:r>
              <w:rPr>
                <w:rFonts w:ascii="Arial" w:cs="Arial" w:eastAsia="Arial" w:hAnsi="Arial"/>
                <w:sz w:val="20"/>
                <w:szCs w:val="20"/>
                <w:color w:val="auto"/>
                <w:w w:val="94"/>
              </w:rPr>
              <w:t>Furnished</w:t>
            </w:r>
          </w:p>
        </w:tc>
        <w:tc>
          <w:tcPr>
            <w:tcW w:w="0" w:type="dxa"/>
            <w:vAlign w:val="bottom"/>
          </w:tcPr>
          <w:p>
            <w:pPr>
              <w:spacing w:after="0"/>
              <w:rPr>
                <w:sz w:val="1"/>
                <w:szCs w:val="1"/>
                <w:color w:val="auto"/>
              </w:rPr>
            </w:pPr>
          </w:p>
        </w:tc>
      </w:tr>
      <w:tr>
        <w:trPr>
          <w:trHeight w:val="254"/>
        </w:trPr>
        <w:tc>
          <w:tcPr>
            <w:tcW w:w="780" w:type="dxa"/>
            <w:vAlign w:val="bottom"/>
          </w:tcPr>
          <w:p>
            <w:pPr>
              <w:spacing w:after="0"/>
              <w:rPr>
                <w:sz w:val="20"/>
                <w:szCs w:val="20"/>
                <w:color w:val="auto"/>
              </w:rPr>
            </w:pPr>
            <w:r>
              <w:rPr>
                <w:rFonts w:ascii="Arial" w:cs="Arial" w:eastAsia="Arial" w:hAnsi="Arial"/>
                <w:sz w:val="20"/>
                <w:szCs w:val="20"/>
                <w:color w:val="auto"/>
              </w:rPr>
              <w:t>Number</w:t>
            </w:r>
          </w:p>
        </w:tc>
        <w:tc>
          <w:tcPr>
            <w:tcW w:w="384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Herewith</w:t>
            </w:r>
          </w:p>
        </w:tc>
        <w:tc>
          <w:tcPr>
            <w:tcW w:w="0" w:type="dxa"/>
            <w:vAlign w:val="bottom"/>
          </w:tcPr>
          <w:p>
            <w:pPr>
              <w:spacing w:after="0"/>
              <w:rPr>
                <w:sz w:val="1"/>
                <w:szCs w:val="1"/>
                <w:color w:val="auto"/>
              </w:rPr>
            </w:pPr>
          </w:p>
        </w:tc>
      </w:tr>
      <w:tr>
        <w:trPr>
          <w:trHeight w:val="219"/>
        </w:trPr>
        <w:tc>
          <w:tcPr>
            <w:tcW w:w="780" w:type="dxa"/>
            <w:vAlign w:val="bottom"/>
          </w:tcPr>
          <w:p>
            <w:pPr>
              <w:spacing w:after="0"/>
              <w:rPr>
                <w:sz w:val="19"/>
                <w:szCs w:val="19"/>
                <w:color w:val="auto"/>
              </w:rPr>
            </w:pPr>
          </w:p>
        </w:tc>
        <w:tc>
          <w:tcPr>
            <w:tcW w:w="3840" w:type="dxa"/>
            <w:vAlign w:val="bottom"/>
          </w:tcPr>
          <w:p>
            <w:pPr>
              <w:ind w:left="120"/>
              <w:spacing w:after="0" w:line="218" w:lineRule="exact"/>
              <w:rPr>
                <w:sz w:val="20"/>
                <w:szCs w:val="20"/>
                <w:color w:val="auto"/>
              </w:rPr>
            </w:pPr>
            <w:r>
              <w:rPr>
                <w:rFonts w:ascii="Arial" w:cs="Arial" w:eastAsia="Arial" w:hAnsi="Arial"/>
                <w:sz w:val="20"/>
                <w:szCs w:val="20"/>
                <w:color w:val="auto"/>
                <w:w w:val="92"/>
              </w:rPr>
              <w:t>Open Market Sale Agreement</w:t>
            </w:r>
            <w:r>
              <w:rPr>
                <w:rFonts w:ascii="Arial" w:cs="Arial" w:eastAsia="Arial" w:hAnsi="Arial"/>
                <w:sz w:val="25"/>
                <w:szCs w:val="25"/>
                <w:color w:val="auto"/>
                <w:w w:val="92"/>
                <w:vertAlign w:val="superscript"/>
              </w:rPr>
              <w:t>SM</w:t>
            </w:r>
            <w:r>
              <w:rPr>
                <w:rFonts w:ascii="Arial" w:cs="Arial" w:eastAsia="Arial" w:hAnsi="Arial"/>
                <w:sz w:val="20"/>
                <w:szCs w:val="20"/>
                <w:color w:val="auto"/>
                <w:w w:val="92"/>
              </w:rPr>
              <w:t>, dated as of</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S-3AS</w:t>
            </w: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780" w:type="dxa"/>
            <w:vAlign w:val="bottom"/>
            <w:vMerge w:val="restart"/>
          </w:tcPr>
          <w:p>
            <w:pPr>
              <w:spacing w:after="0"/>
              <w:rPr>
                <w:sz w:val="20"/>
                <w:szCs w:val="20"/>
                <w:color w:val="auto"/>
              </w:rPr>
            </w:pPr>
            <w:r>
              <w:rPr>
                <w:rFonts w:ascii="Arial" w:cs="Arial" w:eastAsia="Arial" w:hAnsi="Arial"/>
                <w:sz w:val="20"/>
                <w:szCs w:val="20"/>
                <w:color w:val="auto"/>
              </w:rPr>
              <w:t>1.1</w:t>
            </w:r>
          </w:p>
        </w:tc>
        <w:tc>
          <w:tcPr>
            <w:tcW w:w="3840" w:type="dxa"/>
            <w:vAlign w:val="bottom"/>
          </w:tcPr>
          <w:p>
            <w:pPr>
              <w:ind w:left="120"/>
              <w:spacing w:after="0" w:line="199" w:lineRule="exact"/>
              <w:rPr>
                <w:sz w:val="20"/>
                <w:szCs w:val="20"/>
                <w:color w:val="auto"/>
              </w:rPr>
            </w:pPr>
            <w:r>
              <w:rPr>
                <w:rFonts w:ascii="Arial" w:cs="Arial" w:eastAsia="Arial" w:hAnsi="Arial"/>
                <w:sz w:val="20"/>
                <w:szCs w:val="20"/>
                <w:color w:val="auto"/>
                <w:w w:val="91"/>
              </w:rPr>
              <w:t>March 19, 2021, between Verona Pharma plc</w:t>
            </w:r>
          </w:p>
        </w:tc>
        <w:tc>
          <w:tcPr>
            <w:tcW w:w="680" w:type="dxa"/>
            <w:vAlign w:val="bottom"/>
            <w:vMerge w:val="continue"/>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w w:val="93"/>
              </w:rPr>
              <w:t>333-270339</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1.2</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3/7/2023</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840" w:type="dxa"/>
            <w:vAlign w:val="bottom"/>
          </w:tcPr>
          <w:p>
            <w:pPr>
              <w:ind w:left="120"/>
              <w:spacing w:after="0"/>
              <w:rPr>
                <w:sz w:val="20"/>
                <w:szCs w:val="20"/>
                <w:color w:val="auto"/>
              </w:rPr>
            </w:pPr>
            <w:r>
              <w:rPr>
                <w:rFonts w:ascii="Arial" w:cs="Arial" w:eastAsia="Arial" w:hAnsi="Arial"/>
                <w:sz w:val="20"/>
                <w:szCs w:val="20"/>
                <w:color w:val="auto"/>
              </w:rPr>
              <w:t>and Jefferies LLC, and as amended</w:t>
            </w:r>
          </w:p>
        </w:tc>
        <w:tc>
          <w:tcPr>
            <w:tcW w:w="680" w:type="dxa"/>
            <w:vAlign w:val="bottom"/>
          </w:tcPr>
          <w:p>
            <w:pPr>
              <w:jc w:val="right"/>
              <w:spacing w:after="0"/>
              <w:rPr>
                <w:sz w:val="20"/>
                <w:szCs w:val="20"/>
                <w:color w:val="auto"/>
              </w:rPr>
            </w:pPr>
            <w:r>
              <w:rPr>
                <w:rFonts w:ascii="Arial" w:cs="Arial" w:eastAsia="Arial" w:hAnsi="Arial"/>
                <w:sz w:val="20"/>
                <w:szCs w:val="20"/>
                <w:color w:val="auto"/>
              </w:rPr>
              <w:t>R</w:t>
            </w:r>
          </w:p>
        </w:tc>
        <w:tc>
          <w:tcPr>
            <w:tcW w:w="110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780" w:type="dxa"/>
            <w:vAlign w:val="bottom"/>
            <w:vMerge w:val="restart"/>
          </w:tcPr>
          <w:p>
            <w:pPr>
              <w:spacing w:after="0"/>
              <w:rPr>
                <w:sz w:val="20"/>
                <w:szCs w:val="20"/>
                <w:color w:val="auto"/>
              </w:rPr>
            </w:pPr>
            <w:r>
              <w:rPr>
                <w:rFonts w:ascii="Arial" w:cs="Arial" w:eastAsia="Arial" w:hAnsi="Arial"/>
                <w:sz w:val="20"/>
                <w:szCs w:val="20"/>
                <w:color w:val="auto"/>
              </w:rPr>
              <w:t>3.1</w:t>
            </w:r>
          </w:p>
        </w:tc>
        <w:tc>
          <w:tcPr>
            <w:tcW w:w="3840" w:type="dxa"/>
            <w:vAlign w:val="bottom"/>
          </w:tcPr>
          <w:p>
            <w:pPr>
              <w:ind w:left="120"/>
              <w:spacing w:after="0" w:line="203" w:lineRule="exact"/>
              <w:rPr>
                <w:sz w:val="20"/>
                <w:szCs w:val="20"/>
                <w:color w:val="auto"/>
              </w:rPr>
            </w:pPr>
            <w:r>
              <w:rPr>
                <w:rFonts w:ascii="Arial" w:cs="Arial" w:eastAsia="Arial" w:hAnsi="Arial"/>
                <w:sz w:val="20"/>
                <w:szCs w:val="20"/>
                <w:color w:val="auto"/>
                <w:w w:val="96"/>
              </w:rPr>
              <w:t>Articles of Association, as amended and as</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6-K</w:t>
            </w: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001-38067</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w w:val="93"/>
              </w:rPr>
              <w:t>12/30/2020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840" w:type="dxa"/>
            <w:vAlign w:val="bottom"/>
          </w:tcPr>
          <w:p>
            <w:pPr>
              <w:ind w:left="120"/>
              <w:spacing w:after="0"/>
              <w:rPr>
                <w:sz w:val="20"/>
                <w:szCs w:val="20"/>
                <w:color w:val="auto"/>
              </w:rPr>
            </w:pPr>
            <w:r>
              <w:rPr>
                <w:rFonts w:ascii="Arial" w:cs="Arial" w:eastAsia="Arial" w:hAnsi="Arial"/>
                <w:sz w:val="20"/>
                <w:szCs w:val="20"/>
                <w:color w:val="auto"/>
              </w:rPr>
              <w:t>currently in effect</w:t>
            </w:r>
          </w:p>
        </w:tc>
        <w:tc>
          <w:tcPr>
            <w:tcW w:w="68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780" w:type="dxa"/>
            <w:vAlign w:val="bottom"/>
          </w:tcPr>
          <w:p>
            <w:pPr>
              <w:spacing w:after="0"/>
              <w:rPr>
                <w:sz w:val="20"/>
                <w:szCs w:val="20"/>
                <w:color w:val="auto"/>
              </w:rPr>
            </w:pPr>
            <w:r>
              <w:rPr>
                <w:rFonts w:ascii="Arial" w:cs="Arial" w:eastAsia="Arial" w:hAnsi="Arial"/>
                <w:sz w:val="20"/>
                <w:szCs w:val="20"/>
                <w:color w:val="auto"/>
              </w:rPr>
              <w:t>4.1</w:t>
            </w:r>
          </w:p>
        </w:tc>
        <w:tc>
          <w:tcPr>
            <w:tcW w:w="3840" w:type="dxa"/>
            <w:vAlign w:val="bottom"/>
          </w:tcPr>
          <w:p>
            <w:pPr>
              <w:ind w:left="120"/>
              <w:spacing w:after="0"/>
              <w:rPr>
                <w:sz w:val="20"/>
                <w:szCs w:val="20"/>
                <w:color w:val="auto"/>
              </w:rPr>
            </w:pPr>
            <w:r>
              <w:rPr>
                <w:rFonts w:ascii="Arial" w:cs="Arial" w:eastAsia="Arial" w:hAnsi="Arial"/>
                <w:sz w:val="20"/>
                <w:szCs w:val="20"/>
                <w:color w:val="auto"/>
              </w:rPr>
              <w:t>Deposit Agreement</w:t>
            </w:r>
          </w:p>
        </w:tc>
        <w:tc>
          <w:tcPr>
            <w:tcW w:w="680" w:type="dxa"/>
            <w:vAlign w:val="bottom"/>
          </w:tcPr>
          <w:p>
            <w:pPr>
              <w:jc w:val="right"/>
              <w:spacing w:after="0"/>
              <w:rPr>
                <w:sz w:val="20"/>
                <w:szCs w:val="20"/>
                <w:color w:val="auto"/>
              </w:rPr>
            </w:pPr>
            <w:r>
              <w:rPr>
                <w:rFonts w:ascii="Arial" w:cs="Arial" w:eastAsia="Arial" w:hAnsi="Arial"/>
                <w:sz w:val="20"/>
                <w:szCs w:val="20"/>
                <w:color w:val="auto"/>
              </w:rPr>
              <w:t>20-F</w:t>
            </w:r>
          </w:p>
        </w:tc>
        <w:tc>
          <w:tcPr>
            <w:tcW w:w="1100" w:type="dxa"/>
            <w:vAlign w:val="bottom"/>
          </w:tcPr>
          <w:p>
            <w:pPr>
              <w:jc w:val="right"/>
              <w:spacing w:after="0"/>
              <w:rPr>
                <w:sz w:val="20"/>
                <w:szCs w:val="20"/>
                <w:color w:val="auto"/>
              </w:rPr>
            </w:pPr>
            <w:r>
              <w:rPr>
                <w:rFonts w:ascii="Arial" w:cs="Arial" w:eastAsia="Arial" w:hAnsi="Arial"/>
                <w:sz w:val="20"/>
                <w:szCs w:val="20"/>
                <w:color w:val="auto"/>
              </w:rPr>
              <w:t>001-38067</w:t>
            </w:r>
          </w:p>
        </w:tc>
        <w:tc>
          <w:tcPr>
            <w:tcW w:w="1060" w:type="dxa"/>
            <w:vAlign w:val="bottom"/>
          </w:tcPr>
          <w:p>
            <w:pPr>
              <w:jc w:val="right"/>
              <w:spacing w:after="0"/>
              <w:rPr>
                <w:sz w:val="20"/>
                <w:szCs w:val="20"/>
                <w:color w:val="auto"/>
              </w:rPr>
            </w:pPr>
            <w:r>
              <w:rPr>
                <w:rFonts w:ascii="Arial" w:cs="Arial" w:eastAsia="Arial" w:hAnsi="Arial"/>
                <w:sz w:val="20"/>
                <w:szCs w:val="20"/>
                <w:color w:val="auto"/>
              </w:rPr>
              <w:t>2.1</w:t>
            </w:r>
          </w:p>
        </w:tc>
        <w:tc>
          <w:tcPr>
            <w:tcW w:w="1040" w:type="dxa"/>
            <w:vAlign w:val="bottom"/>
          </w:tcPr>
          <w:p>
            <w:pPr>
              <w:jc w:val="right"/>
              <w:spacing w:after="0"/>
              <w:rPr>
                <w:sz w:val="20"/>
                <w:szCs w:val="20"/>
                <w:color w:val="auto"/>
              </w:rPr>
            </w:pPr>
            <w:r>
              <w:rPr>
                <w:rFonts w:ascii="Arial" w:cs="Arial" w:eastAsia="Arial" w:hAnsi="Arial"/>
                <w:sz w:val="20"/>
                <w:szCs w:val="20"/>
                <w:color w:val="auto"/>
              </w:rPr>
              <w:t>2/27/2018</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80" w:type="dxa"/>
            <w:vAlign w:val="bottom"/>
            <w:vMerge w:val="restart"/>
          </w:tcPr>
          <w:p>
            <w:pPr>
              <w:spacing w:after="0"/>
              <w:rPr>
                <w:sz w:val="20"/>
                <w:szCs w:val="20"/>
                <w:color w:val="auto"/>
              </w:rPr>
            </w:pPr>
            <w:r>
              <w:rPr>
                <w:rFonts w:ascii="Arial" w:cs="Arial" w:eastAsia="Arial" w:hAnsi="Arial"/>
                <w:sz w:val="20"/>
                <w:szCs w:val="20"/>
                <w:color w:val="auto"/>
              </w:rPr>
              <w:t>4.2</w:t>
            </w:r>
          </w:p>
        </w:tc>
        <w:tc>
          <w:tcPr>
            <w:tcW w:w="3840" w:type="dxa"/>
            <w:vAlign w:val="bottom"/>
          </w:tcPr>
          <w:p>
            <w:pPr>
              <w:ind w:left="120"/>
              <w:spacing w:after="0" w:line="204" w:lineRule="exact"/>
              <w:rPr>
                <w:sz w:val="20"/>
                <w:szCs w:val="20"/>
                <w:color w:val="auto"/>
              </w:rPr>
            </w:pPr>
            <w:r>
              <w:rPr>
                <w:rFonts w:ascii="Arial" w:cs="Arial" w:eastAsia="Arial" w:hAnsi="Arial"/>
                <w:sz w:val="20"/>
                <w:szCs w:val="20"/>
                <w:color w:val="auto"/>
              </w:rPr>
              <w:t>Form of American Depositary Receipt</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20-F</w:t>
            </w: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001-38067</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2.2</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2/27/2018</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840" w:type="dxa"/>
            <w:vAlign w:val="bottom"/>
          </w:tcPr>
          <w:p>
            <w:pPr>
              <w:ind w:left="120"/>
              <w:spacing w:after="0"/>
              <w:rPr>
                <w:sz w:val="20"/>
                <w:szCs w:val="20"/>
                <w:color w:val="auto"/>
              </w:rPr>
            </w:pPr>
            <w:r>
              <w:rPr>
                <w:rFonts w:ascii="Arial" w:cs="Arial" w:eastAsia="Arial" w:hAnsi="Arial"/>
                <w:sz w:val="20"/>
                <w:szCs w:val="20"/>
                <w:color w:val="auto"/>
              </w:rPr>
              <w:t>(included in Exhibit 4.1)</w:t>
            </w:r>
          </w:p>
        </w:tc>
        <w:tc>
          <w:tcPr>
            <w:tcW w:w="68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780" w:type="dxa"/>
            <w:vAlign w:val="bottom"/>
            <w:vMerge w:val="restart"/>
          </w:tcPr>
          <w:p>
            <w:pPr>
              <w:spacing w:after="0"/>
              <w:rPr>
                <w:sz w:val="20"/>
                <w:szCs w:val="20"/>
                <w:color w:val="auto"/>
              </w:rPr>
            </w:pPr>
            <w:r>
              <w:rPr>
                <w:rFonts w:ascii="Arial" w:cs="Arial" w:eastAsia="Arial" w:hAnsi="Arial"/>
                <w:sz w:val="20"/>
                <w:szCs w:val="20"/>
                <w:color w:val="auto"/>
              </w:rPr>
              <w:t>4.3</w:t>
            </w:r>
          </w:p>
        </w:tc>
        <w:tc>
          <w:tcPr>
            <w:tcW w:w="3840" w:type="dxa"/>
            <w:vAlign w:val="bottom"/>
          </w:tcPr>
          <w:p>
            <w:pPr>
              <w:ind w:left="120"/>
              <w:spacing w:after="0" w:line="203" w:lineRule="exact"/>
              <w:rPr>
                <w:sz w:val="20"/>
                <w:szCs w:val="20"/>
                <w:color w:val="auto"/>
              </w:rPr>
            </w:pPr>
            <w:r>
              <w:rPr>
                <w:rFonts w:ascii="Arial" w:cs="Arial" w:eastAsia="Arial" w:hAnsi="Arial"/>
                <w:sz w:val="20"/>
                <w:szCs w:val="20"/>
                <w:color w:val="auto"/>
              </w:rPr>
              <w:t>Form of Warrant issued to each of the</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F-1</w:t>
            </w: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w w:val="93"/>
              </w:rPr>
              <w:t>333-217124</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4.3</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4/3/2017</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840" w:type="dxa"/>
            <w:vAlign w:val="bottom"/>
          </w:tcPr>
          <w:p>
            <w:pPr>
              <w:ind w:left="120"/>
              <w:spacing w:after="0"/>
              <w:rPr>
                <w:sz w:val="20"/>
                <w:szCs w:val="20"/>
                <w:color w:val="auto"/>
              </w:rPr>
            </w:pPr>
            <w:r>
              <w:rPr>
                <w:rFonts w:ascii="Arial" w:cs="Arial" w:eastAsia="Arial" w:hAnsi="Arial"/>
                <w:sz w:val="20"/>
                <w:szCs w:val="20"/>
                <w:color w:val="auto"/>
              </w:rPr>
              <w:t>investors named in Schedule A thereto</w:t>
            </w:r>
          </w:p>
        </w:tc>
        <w:tc>
          <w:tcPr>
            <w:tcW w:w="68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780" w:type="dxa"/>
            <w:vAlign w:val="bottom"/>
            <w:vMerge w:val="restart"/>
          </w:tcPr>
          <w:p>
            <w:pPr>
              <w:spacing w:after="0"/>
              <w:rPr>
                <w:sz w:val="20"/>
                <w:szCs w:val="20"/>
                <w:color w:val="auto"/>
              </w:rPr>
            </w:pPr>
            <w:r>
              <w:rPr>
                <w:rFonts w:ascii="Arial" w:cs="Arial" w:eastAsia="Arial" w:hAnsi="Arial"/>
                <w:sz w:val="20"/>
                <w:szCs w:val="20"/>
                <w:color w:val="auto"/>
              </w:rPr>
              <w:t>4.4</w:t>
            </w:r>
          </w:p>
        </w:tc>
        <w:tc>
          <w:tcPr>
            <w:tcW w:w="3840" w:type="dxa"/>
            <w:vAlign w:val="bottom"/>
          </w:tcPr>
          <w:p>
            <w:pPr>
              <w:ind w:left="120"/>
              <w:spacing w:after="0" w:line="203" w:lineRule="exact"/>
              <w:rPr>
                <w:sz w:val="20"/>
                <w:szCs w:val="20"/>
                <w:color w:val="auto"/>
              </w:rPr>
            </w:pPr>
            <w:r>
              <w:rPr>
                <w:rFonts w:ascii="Arial" w:cs="Arial" w:eastAsia="Arial" w:hAnsi="Arial"/>
                <w:sz w:val="20"/>
                <w:szCs w:val="20"/>
                <w:color w:val="auto"/>
                <w:w w:val="94"/>
              </w:rPr>
              <w:t>Warrant Instrument issued to NPlus1 Singer</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F-1</w:t>
            </w: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w w:val="93"/>
              </w:rPr>
              <w:t>333-217124</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4.4</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4/3/2017</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840" w:type="dxa"/>
            <w:vAlign w:val="bottom"/>
          </w:tcPr>
          <w:p>
            <w:pPr>
              <w:ind w:left="120"/>
              <w:spacing w:after="0"/>
              <w:rPr>
                <w:sz w:val="20"/>
                <w:szCs w:val="20"/>
                <w:color w:val="auto"/>
              </w:rPr>
            </w:pPr>
            <w:r>
              <w:rPr>
                <w:rFonts w:ascii="Arial" w:cs="Arial" w:eastAsia="Arial" w:hAnsi="Arial"/>
                <w:sz w:val="20"/>
                <w:szCs w:val="20"/>
                <w:color w:val="auto"/>
              </w:rPr>
              <w:t>LLP</w:t>
            </w:r>
          </w:p>
        </w:tc>
        <w:tc>
          <w:tcPr>
            <w:tcW w:w="68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780" w:type="dxa"/>
            <w:vAlign w:val="bottom"/>
          </w:tcPr>
          <w:p>
            <w:pPr>
              <w:spacing w:after="0"/>
              <w:rPr>
                <w:sz w:val="20"/>
                <w:szCs w:val="20"/>
                <w:color w:val="auto"/>
              </w:rPr>
            </w:pPr>
            <w:r>
              <w:rPr>
                <w:rFonts w:ascii="Arial" w:cs="Arial" w:eastAsia="Arial" w:hAnsi="Arial"/>
                <w:sz w:val="20"/>
                <w:szCs w:val="20"/>
                <w:color w:val="auto"/>
              </w:rPr>
              <w:t>4.5</w:t>
            </w:r>
          </w:p>
        </w:tc>
        <w:tc>
          <w:tcPr>
            <w:tcW w:w="3840" w:type="dxa"/>
            <w:vAlign w:val="bottom"/>
          </w:tcPr>
          <w:p>
            <w:pPr>
              <w:ind w:left="120"/>
              <w:spacing w:after="0"/>
              <w:rPr>
                <w:sz w:val="20"/>
                <w:szCs w:val="20"/>
                <w:color w:val="auto"/>
              </w:rPr>
            </w:pPr>
            <w:r>
              <w:rPr>
                <w:rFonts w:ascii="Arial" w:cs="Arial" w:eastAsia="Arial" w:hAnsi="Arial"/>
                <w:sz w:val="20"/>
                <w:szCs w:val="20"/>
                <w:color w:val="auto"/>
              </w:rPr>
              <w:t>Description of Securities</w:t>
            </w:r>
          </w:p>
        </w:tc>
        <w:tc>
          <w:tcPr>
            <w:tcW w:w="680" w:type="dxa"/>
            <w:vAlign w:val="bottom"/>
          </w:tcPr>
          <w:p>
            <w:pPr>
              <w:jc w:val="right"/>
              <w:spacing w:after="0"/>
              <w:rPr>
                <w:sz w:val="20"/>
                <w:szCs w:val="20"/>
                <w:color w:val="auto"/>
              </w:rPr>
            </w:pPr>
            <w:r>
              <w:rPr>
                <w:rFonts w:ascii="Arial" w:cs="Arial" w:eastAsia="Arial" w:hAnsi="Arial"/>
                <w:sz w:val="20"/>
                <w:szCs w:val="20"/>
                <w:color w:val="auto"/>
              </w:rPr>
              <w:t>10-K</w:t>
            </w:r>
          </w:p>
        </w:tc>
        <w:tc>
          <w:tcPr>
            <w:tcW w:w="1100" w:type="dxa"/>
            <w:vAlign w:val="bottom"/>
          </w:tcPr>
          <w:p>
            <w:pPr>
              <w:jc w:val="right"/>
              <w:spacing w:after="0"/>
              <w:rPr>
                <w:sz w:val="20"/>
                <w:szCs w:val="20"/>
                <w:color w:val="auto"/>
              </w:rPr>
            </w:pPr>
            <w:r>
              <w:rPr>
                <w:rFonts w:ascii="Arial" w:cs="Arial" w:eastAsia="Arial" w:hAnsi="Arial"/>
                <w:sz w:val="20"/>
                <w:szCs w:val="20"/>
                <w:color w:val="auto"/>
              </w:rPr>
              <w:t>001-38067</w:t>
            </w:r>
          </w:p>
        </w:tc>
        <w:tc>
          <w:tcPr>
            <w:tcW w:w="1060" w:type="dxa"/>
            <w:vAlign w:val="bottom"/>
          </w:tcPr>
          <w:p>
            <w:pPr>
              <w:jc w:val="right"/>
              <w:spacing w:after="0"/>
              <w:rPr>
                <w:sz w:val="20"/>
                <w:szCs w:val="20"/>
                <w:color w:val="auto"/>
              </w:rPr>
            </w:pPr>
            <w:r>
              <w:rPr>
                <w:rFonts w:ascii="Arial" w:cs="Arial" w:eastAsia="Arial" w:hAnsi="Arial"/>
                <w:sz w:val="20"/>
                <w:szCs w:val="20"/>
                <w:color w:val="auto"/>
              </w:rPr>
              <w:t>4.5</w:t>
            </w:r>
          </w:p>
        </w:tc>
        <w:tc>
          <w:tcPr>
            <w:tcW w:w="1040" w:type="dxa"/>
            <w:vAlign w:val="bottom"/>
          </w:tcPr>
          <w:p>
            <w:pPr>
              <w:jc w:val="right"/>
              <w:spacing w:after="0"/>
              <w:rPr>
                <w:sz w:val="20"/>
                <w:szCs w:val="20"/>
                <w:color w:val="auto"/>
              </w:rPr>
            </w:pPr>
            <w:r>
              <w:rPr>
                <w:rFonts w:ascii="Arial" w:cs="Arial" w:eastAsia="Arial" w:hAnsi="Arial"/>
                <w:sz w:val="20"/>
                <w:szCs w:val="20"/>
                <w:color w:val="auto"/>
              </w:rPr>
              <w:t>2/29/2024</w:t>
            </w:r>
          </w:p>
        </w:tc>
        <w:tc>
          <w:tcPr>
            <w:tcW w:w="920" w:type="dxa"/>
            <w:vAlign w:val="bottom"/>
          </w:tcPr>
          <w:p>
            <w:pPr>
              <w:jc w:val="right"/>
              <w:ind w:right="3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14"/>
        </w:trPr>
        <w:tc>
          <w:tcPr>
            <w:tcW w:w="780" w:type="dxa"/>
            <w:vAlign w:val="bottom"/>
          </w:tcPr>
          <w:p>
            <w:pPr>
              <w:spacing w:after="0"/>
              <w:rPr>
                <w:sz w:val="18"/>
                <w:szCs w:val="18"/>
                <w:color w:val="auto"/>
              </w:rPr>
            </w:pPr>
          </w:p>
        </w:tc>
        <w:tc>
          <w:tcPr>
            <w:tcW w:w="3840" w:type="dxa"/>
            <w:vAlign w:val="bottom"/>
          </w:tcPr>
          <w:p>
            <w:pPr>
              <w:ind w:left="120"/>
              <w:spacing w:after="0" w:line="213" w:lineRule="exact"/>
              <w:rPr>
                <w:sz w:val="20"/>
                <w:szCs w:val="20"/>
                <w:color w:val="auto"/>
              </w:rPr>
            </w:pPr>
            <w:r>
              <w:rPr>
                <w:rFonts w:ascii="Arial" w:cs="Arial" w:eastAsia="Arial" w:hAnsi="Arial"/>
                <w:sz w:val="20"/>
                <w:szCs w:val="20"/>
                <w:color w:val="auto"/>
                <w:w w:val="98"/>
              </w:rPr>
              <w:t>Registration Rights Agreement, dated July</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0" w:type="dxa"/>
            <w:vAlign w:val="bottom"/>
            <w:vMerge w:val="restart"/>
          </w:tcPr>
          <w:p>
            <w:pPr>
              <w:spacing w:after="0"/>
              <w:rPr>
                <w:sz w:val="20"/>
                <w:szCs w:val="20"/>
                <w:color w:val="auto"/>
              </w:rPr>
            </w:pPr>
            <w:r>
              <w:rPr>
                <w:rFonts w:ascii="Arial" w:cs="Arial" w:eastAsia="Arial" w:hAnsi="Arial"/>
                <w:sz w:val="20"/>
                <w:szCs w:val="20"/>
                <w:color w:val="auto"/>
              </w:rPr>
              <w:t>10.1</w:t>
            </w:r>
          </w:p>
        </w:tc>
        <w:tc>
          <w:tcPr>
            <w:tcW w:w="3840" w:type="dxa"/>
            <w:vAlign w:val="bottom"/>
          </w:tcPr>
          <w:p>
            <w:pPr>
              <w:ind w:left="120"/>
              <w:spacing w:after="0" w:line="199" w:lineRule="exact"/>
              <w:rPr>
                <w:sz w:val="20"/>
                <w:szCs w:val="20"/>
                <w:color w:val="auto"/>
              </w:rPr>
            </w:pPr>
            <w:r>
              <w:rPr>
                <w:rFonts w:ascii="Arial" w:cs="Arial" w:eastAsia="Arial" w:hAnsi="Arial"/>
                <w:sz w:val="20"/>
                <w:szCs w:val="20"/>
                <w:color w:val="auto"/>
                <w:w w:val="94"/>
              </w:rPr>
              <w:t>29, 2016, by and among Verona Pharma plc</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F-1</w:t>
            </w: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w w:val="93"/>
              </w:rPr>
              <w:t>333-217124</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10.1</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4/3/2017</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840" w:type="dxa"/>
            <w:vAlign w:val="bottom"/>
          </w:tcPr>
          <w:p>
            <w:pPr>
              <w:ind w:left="120"/>
              <w:spacing w:after="0"/>
              <w:rPr>
                <w:sz w:val="20"/>
                <w:szCs w:val="20"/>
                <w:color w:val="auto"/>
              </w:rPr>
            </w:pPr>
            <w:r>
              <w:rPr>
                <w:rFonts w:ascii="Arial" w:cs="Arial" w:eastAsia="Arial" w:hAnsi="Arial"/>
                <w:sz w:val="20"/>
                <w:szCs w:val="20"/>
                <w:color w:val="auto"/>
              </w:rPr>
              <w:t>and the investors set forth therein</w:t>
            </w:r>
          </w:p>
        </w:tc>
        <w:tc>
          <w:tcPr>
            <w:tcW w:w="68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780" w:type="dxa"/>
            <w:vAlign w:val="bottom"/>
          </w:tcPr>
          <w:p>
            <w:pPr>
              <w:spacing w:after="0"/>
              <w:rPr>
                <w:sz w:val="18"/>
                <w:szCs w:val="18"/>
                <w:color w:val="auto"/>
              </w:rPr>
            </w:pPr>
          </w:p>
        </w:tc>
        <w:tc>
          <w:tcPr>
            <w:tcW w:w="3840" w:type="dxa"/>
            <w:vAlign w:val="bottom"/>
          </w:tcPr>
          <w:p>
            <w:pPr>
              <w:ind w:left="120"/>
              <w:spacing w:after="0" w:line="212" w:lineRule="exact"/>
              <w:rPr>
                <w:sz w:val="20"/>
                <w:szCs w:val="20"/>
                <w:color w:val="auto"/>
              </w:rPr>
            </w:pPr>
            <w:r>
              <w:rPr>
                <w:rFonts w:ascii="Arial" w:cs="Arial" w:eastAsia="Arial" w:hAnsi="Arial"/>
                <w:sz w:val="20"/>
                <w:szCs w:val="20"/>
                <w:color w:val="auto"/>
                <w:w w:val="98"/>
              </w:rPr>
              <w:t>Registration Rights Agreement, dated July</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0" w:type="dxa"/>
            <w:vAlign w:val="bottom"/>
            <w:vMerge w:val="restart"/>
          </w:tcPr>
          <w:p>
            <w:pPr>
              <w:spacing w:after="0"/>
              <w:rPr>
                <w:sz w:val="20"/>
                <w:szCs w:val="20"/>
                <w:color w:val="auto"/>
              </w:rPr>
            </w:pPr>
            <w:r>
              <w:rPr>
                <w:rFonts w:ascii="Arial" w:cs="Arial" w:eastAsia="Arial" w:hAnsi="Arial"/>
                <w:sz w:val="20"/>
                <w:szCs w:val="20"/>
                <w:color w:val="auto"/>
              </w:rPr>
              <w:t>10.2</w:t>
            </w:r>
          </w:p>
        </w:tc>
        <w:tc>
          <w:tcPr>
            <w:tcW w:w="3840" w:type="dxa"/>
            <w:vAlign w:val="bottom"/>
          </w:tcPr>
          <w:p>
            <w:pPr>
              <w:ind w:left="120"/>
              <w:spacing w:after="0" w:line="199" w:lineRule="exact"/>
              <w:rPr>
                <w:sz w:val="20"/>
                <w:szCs w:val="20"/>
                <w:color w:val="auto"/>
              </w:rPr>
            </w:pPr>
            <w:r>
              <w:rPr>
                <w:rFonts w:ascii="Arial" w:cs="Arial" w:eastAsia="Arial" w:hAnsi="Arial"/>
                <w:sz w:val="20"/>
                <w:szCs w:val="20"/>
                <w:color w:val="auto"/>
                <w:w w:val="94"/>
              </w:rPr>
              <w:t>16, 2020, by and among Verona Pharma plc</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6-K</w:t>
            </w: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001-38067</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7/22/2020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840" w:type="dxa"/>
            <w:vAlign w:val="bottom"/>
          </w:tcPr>
          <w:p>
            <w:pPr>
              <w:ind w:left="120"/>
              <w:spacing w:after="0"/>
              <w:rPr>
                <w:sz w:val="20"/>
                <w:szCs w:val="20"/>
                <w:color w:val="auto"/>
              </w:rPr>
            </w:pPr>
            <w:r>
              <w:rPr>
                <w:rFonts w:ascii="Arial" w:cs="Arial" w:eastAsia="Arial" w:hAnsi="Arial"/>
                <w:sz w:val="20"/>
                <w:szCs w:val="20"/>
                <w:color w:val="auto"/>
              </w:rPr>
              <w:t>and the investors set forth therein</w:t>
            </w:r>
          </w:p>
        </w:tc>
        <w:tc>
          <w:tcPr>
            <w:tcW w:w="68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3840" w:type="dxa"/>
            <w:vAlign w:val="bottom"/>
          </w:tcPr>
          <w:p>
            <w:pPr>
              <w:ind w:left="120"/>
              <w:spacing w:after="0" w:line="203" w:lineRule="exact"/>
              <w:rPr>
                <w:sz w:val="20"/>
                <w:szCs w:val="20"/>
                <w:color w:val="auto"/>
              </w:rPr>
            </w:pPr>
            <w:r>
              <w:rPr>
                <w:rFonts w:ascii="Arial" w:cs="Arial" w:eastAsia="Arial" w:hAnsi="Arial"/>
                <w:sz w:val="20"/>
                <w:szCs w:val="20"/>
                <w:color w:val="auto"/>
              </w:rPr>
              <w:t>Intellectual Property Assignment and</w:t>
            </w: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3840" w:type="dxa"/>
            <w:vAlign w:val="bottom"/>
          </w:tcPr>
          <w:p>
            <w:pPr>
              <w:ind w:left="120"/>
              <w:spacing w:after="0" w:line="199" w:lineRule="exact"/>
              <w:rPr>
                <w:sz w:val="20"/>
                <w:szCs w:val="20"/>
                <w:color w:val="auto"/>
              </w:rPr>
            </w:pPr>
            <w:r>
              <w:rPr>
                <w:rFonts w:ascii="Arial" w:cs="Arial" w:eastAsia="Arial" w:hAnsi="Arial"/>
                <w:sz w:val="20"/>
                <w:szCs w:val="20"/>
                <w:color w:val="auto"/>
              </w:rPr>
              <w:t>Licence Agreement between Vernalis</w:t>
            </w: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3840" w:type="dxa"/>
            <w:vAlign w:val="bottom"/>
          </w:tcPr>
          <w:p>
            <w:pPr>
              <w:ind w:left="120"/>
              <w:spacing w:after="0" w:line="199" w:lineRule="exact"/>
              <w:rPr>
                <w:sz w:val="20"/>
                <w:szCs w:val="20"/>
                <w:color w:val="auto"/>
              </w:rPr>
            </w:pPr>
            <w:r>
              <w:rPr>
                <w:rFonts w:ascii="Arial" w:cs="Arial" w:eastAsia="Arial" w:hAnsi="Arial"/>
                <w:sz w:val="20"/>
                <w:szCs w:val="20"/>
                <w:color w:val="auto"/>
              </w:rPr>
              <w:t>Development Limited and Rhinopharma</w:t>
            </w: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80" w:type="dxa"/>
            <w:vAlign w:val="bottom"/>
            <w:vMerge w:val="restart"/>
          </w:tcPr>
          <w:p>
            <w:pPr>
              <w:spacing w:after="0"/>
              <w:rPr>
                <w:sz w:val="20"/>
                <w:szCs w:val="20"/>
                <w:color w:val="auto"/>
              </w:rPr>
            </w:pPr>
            <w:r>
              <w:rPr>
                <w:rFonts w:ascii="Arial" w:cs="Arial" w:eastAsia="Arial" w:hAnsi="Arial"/>
                <w:sz w:val="20"/>
                <w:szCs w:val="20"/>
                <w:color w:val="auto"/>
              </w:rPr>
              <w:t>10.3.1†</w:t>
            </w:r>
          </w:p>
        </w:tc>
        <w:tc>
          <w:tcPr>
            <w:tcW w:w="3840" w:type="dxa"/>
            <w:vAlign w:val="bottom"/>
          </w:tcPr>
          <w:p>
            <w:pPr>
              <w:ind w:left="120"/>
              <w:spacing w:after="0" w:line="199" w:lineRule="exact"/>
              <w:rPr>
                <w:sz w:val="20"/>
                <w:szCs w:val="20"/>
                <w:color w:val="auto"/>
              </w:rPr>
            </w:pPr>
            <w:r>
              <w:rPr>
                <w:rFonts w:ascii="Arial" w:cs="Arial" w:eastAsia="Arial" w:hAnsi="Arial"/>
                <w:sz w:val="20"/>
                <w:szCs w:val="20"/>
                <w:color w:val="auto"/>
                <w:w w:val="97"/>
              </w:rPr>
              <w:t>Limited, as predecessor to Verona Pharma</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F-1</w:t>
            </w: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w w:val="93"/>
              </w:rPr>
              <w:t>333-217124</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10.2</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auto"/>
              </w:rPr>
              <w:t>4/3/2017</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840" w:type="dxa"/>
            <w:vAlign w:val="bottom"/>
          </w:tcPr>
          <w:p>
            <w:pPr>
              <w:ind w:left="120"/>
              <w:spacing w:after="0"/>
              <w:rPr>
                <w:sz w:val="20"/>
                <w:szCs w:val="20"/>
                <w:color w:val="auto"/>
              </w:rPr>
            </w:pPr>
            <w:r>
              <w:rPr>
                <w:rFonts w:ascii="Arial" w:cs="Arial" w:eastAsia="Arial" w:hAnsi="Arial"/>
                <w:sz w:val="20"/>
                <w:szCs w:val="20"/>
                <w:color w:val="auto"/>
              </w:rPr>
              <w:t>plc, dated February 7, 2005</w:t>
            </w:r>
          </w:p>
        </w:tc>
        <w:tc>
          <w:tcPr>
            <w:tcW w:w="68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480"/>
          </w:cols>
          <w:pgMar w:left="1280" w:top="1208"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9480"/>
          </w:cols>
          <w:pgMar w:left="1280" w:top="1208" w:right="1120" w:bottom="0" w:gutter="0" w:footer="0" w:header="0"/>
          <w:type w:val="continuous"/>
        </w:sectPr>
      </w:pPr>
    </w:p>
    <w:bookmarkStart w:id="103" w:name="page104"/>
    <w:bookmarkEnd w:id="10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rPr>
              <w:t>Amendment Agreement by and between</w:t>
            </w:r>
          </w:p>
        </w:tc>
        <w:tc>
          <w:tcPr>
            <w:tcW w:w="0" w:type="dxa"/>
            <w:vAlign w:val="bottom"/>
          </w:tcPr>
          <w:p>
            <w:pPr>
              <w:spacing w:after="0"/>
              <w:rPr>
                <w:sz w:val="1"/>
                <w:szCs w:val="1"/>
                <w:color w:val="auto"/>
              </w:rPr>
            </w:pPr>
          </w:p>
        </w:tc>
      </w:tr>
      <w:tr>
        <w:trPr>
          <w:trHeight w:val="199"/>
        </w:trPr>
        <w:tc>
          <w:tcPr>
            <w:tcW w:w="720" w:type="dxa"/>
            <w:vAlign w:val="bottom"/>
            <w:vMerge w:val="restart"/>
          </w:tcPr>
          <w:p>
            <w:pPr>
              <w:spacing w:after="0"/>
              <w:rPr>
                <w:sz w:val="20"/>
                <w:szCs w:val="20"/>
                <w:color w:val="auto"/>
              </w:rPr>
            </w:pPr>
            <w:r>
              <w:rPr>
                <w:rFonts w:ascii="Arial" w:cs="Arial" w:eastAsia="Arial" w:hAnsi="Arial"/>
                <w:sz w:val="20"/>
                <w:szCs w:val="20"/>
                <w:color w:val="auto"/>
              </w:rPr>
              <w:t>10.3.2</w:t>
            </w: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rPr>
              <w:t>Verona Pharma plc and Ligand U.K.</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w w:val="93"/>
              </w:rPr>
              <w:t>Development Limited dated March 23, 2022</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3820" w:type="dxa"/>
            <w:vAlign w:val="bottom"/>
          </w:tcPr>
          <w:p>
            <w:pPr>
              <w:ind w:left="180"/>
              <w:spacing w:after="0" w:line="222" w:lineRule="exact"/>
              <w:rPr>
                <w:sz w:val="20"/>
                <w:szCs w:val="20"/>
                <w:color w:val="auto"/>
              </w:rPr>
            </w:pPr>
            <w:r>
              <w:rPr>
                <w:rFonts w:ascii="Arial" w:cs="Arial" w:eastAsia="Arial" w:hAnsi="Arial"/>
                <w:sz w:val="20"/>
                <w:szCs w:val="20"/>
                <w:color w:val="auto"/>
              </w:rPr>
              <w:t>Renewal Agreement to Lease by and</w:t>
            </w:r>
          </w:p>
        </w:tc>
        <w:tc>
          <w:tcPr>
            <w:tcW w:w="0" w:type="dxa"/>
            <w:vAlign w:val="bottom"/>
          </w:tcPr>
          <w:p>
            <w:pPr>
              <w:spacing w:after="0"/>
              <w:rPr>
                <w:sz w:val="1"/>
                <w:szCs w:val="1"/>
                <w:color w:val="auto"/>
              </w:rPr>
            </w:pPr>
          </w:p>
        </w:tc>
      </w:tr>
      <w:tr>
        <w:trPr>
          <w:trHeight w:val="199"/>
        </w:trPr>
        <w:tc>
          <w:tcPr>
            <w:tcW w:w="720" w:type="dxa"/>
            <w:vAlign w:val="bottom"/>
          </w:tcPr>
          <w:p>
            <w:pPr>
              <w:spacing w:after="0"/>
              <w:rPr>
                <w:sz w:val="17"/>
                <w:szCs w:val="17"/>
                <w:color w:val="auto"/>
              </w:rPr>
            </w:pP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w w:val="93"/>
              </w:rPr>
              <w:t>between the Verona Pharma plc and Regus</w:t>
            </w:r>
          </w:p>
        </w:tc>
        <w:tc>
          <w:tcPr>
            <w:tcW w:w="0" w:type="dxa"/>
            <w:vAlign w:val="bottom"/>
          </w:tcPr>
          <w:p>
            <w:pPr>
              <w:spacing w:after="0"/>
              <w:rPr>
                <w:sz w:val="1"/>
                <w:szCs w:val="1"/>
                <w:color w:val="auto"/>
              </w:rPr>
            </w:pPr>
          </w:p>
        </w:tc>
      </w:tr>
      <w:tr>
        <w:trPr>
          <w:trHeight w:val="199"/>
        </w:trPr>
        <w:tc>
          <w:tcPr>
            <w:tcW w:w="720" w:type="dxa"/>
            <w:vAlign w:val="bottom"/>
            <w:vMerge w:val="restart"/>
          </w:tcPr>
          <w:p>
            <w:pPr>
              <w:spacing w:after="0"/>
              <w:rPr>
                <w:sz w:val="20"/>
                <w:szCs w:val="20"/>
                <w:color w:val="auto"/>
              </w:rPr>
            </w:pPr>
            <w:r>
              <w:rPr>
                <w:rFonts w:ascii="Arial" w:cs="Arial" w:eastAsia="Arial" w:hAnsi="Arial"/>
                <w:sz w:val="20"/>
                <w:szCs w:val="20"/>
                <w:color w:val="auto"/>
              </w:rPr>
              <w:t>10.4.3</w:t>
            </w: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rPr>
              <w:t>Management (U.K.) Limited dated</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rPr>
              <w:t>September 16, 2017#1</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3820" w:type="dxa"/>
            <w:vAlign w:val="bottom"/>
          </w:tcPr>
          <w:p>
            <w:pPr>
              <w:ind w:left="180"/>
              <w:spacing w:after="0" w:line="222" w:lineRule="exact"/>
              <w:rPr>
                <w:sz w:val="20"/>
                <w:szCs w:val="20"/>
                <w:color w:val="auto"/>
              </w:rPr>
            </w:pPr>
            <w:r>
              <w:rPr>
                <w:rFonts w:ascii="Arial" w:cs="Arial" w:eastAsia="Arial" w:hAnsi="Arial"/>
                <w:sz w:val="20"/>
                <w:szCs w:val="20"/>
                <w:color w:val="auto"/>
              </w:rPr>
              <w:t>Renewal Agreement to Lease by and</w:t>
            </w:r>
          </w:p>
        </w:tc>
        <w:tc>
          <w:tcPr>
            <w:tcW w:w="0" w:type="dxa"/>
            <w:vAlign w:val="bottom"/>
          </w:tcPr>
          <w:p>
            <w:pPr>
              <w:spacing w:after="0"/>
              <w:rPr>
                <w:sz w:val="1"/>
                <w:szCs w:val="1"/>
                <w:color w:val="auto"/>
              </w:rPr>
            </w:pPr>
          </w:p>
        </w:tc>
      </w:tr>
      <w:tr>
        <w:trPr>
          <w:trHeight w:val="199"/>
        </w:trPr>
        <w:tc>
          <w:tcPr>
            <w:tcW w:w="720" w:type="dxa"/>
            <w:vAlign w:val="bottom"/>
          </w:tcPr>
          <w:p>
            <w:pPr>
              <w:spacing w:after="0"/>
              <w:rPr>
                <w:sz w:val="17"/>
                <w:szCs w:val="17"/>
                <w:color w:val="auto"/>
              </w:rPr>
            </w:pP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w w:val="93"/>
              </w:rPr>
              <w:t>between the Verona Pharma plc and Regus</w:t>
            </w:r>
          </w:p>
        </w:tc>
        <w:tc>
          <w:tcPr>
            <w:tcW w:w="0" w:type="dxa"/>
            <w:vAlign w:val="bottom"/>
          </w:tcPr>
          <w:p>
            <w:pPr>
              <w:spacing w:after="0"/>
              <w:rPr>
                <w:sz w:val="1"/>
                <w:szCs w:val="1"/>
                <w:color w:val="auto"/>
              </w:rPr>
            </w:pPr>
          </w:p>
        </w:tc>
      </w:tr>
      <w:tr>
        <w:trPr>
          <w:trHeight w:val="199"/>
        </w:trPr>
        <w:tc>
          <w:tcPr>
            <w:tcW w:w="720" w:type="dxa"/>
            <w:vAlign w:val="bottom"/>
            <w:vMerge w:val="restart"/>
          </w:tcPr>
          <w:p>
            <w:pPr>
              <w:spacing w:after="0"/>
              <w:rPr>
                <w:sz w:val="20"/>
                <w:szCs w:val="20"/>
                <w:color w:val="auto"/>
              </w:rPr>
            </w:pPr>
            <w:r>
              <w:rPr>
                <w:rFonts w:ascii="Arial" w:cs="Arial" w:eastAsia="Arial" w:hAnsi="Arial"/>
                <w:sz w:val="20"/>
                <w:szCs w:val="20"/>
                <w:color w:val="auto"/>
              </w:rPr>
              <w:t>10.4.4</w:t>
            </w: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rPr>
              <w:t>Management (U.K.) Limited dated</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rPr>
              <w:t>September 16, 2017#2</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3820" w:type="dxa"/>
            <w:vAlign w:val="bottom"/>
          </w:tcPr>
          <w:p>
            <w:pPr>
              <w:ind w:left="180"/>
              <w:spacing w:after="0" w:line="222" w:lineRule="exact"/>
              <w:rPr>
                <w:sz w:val="20"/>
                <w:szCs w:val="20"/>
                <w:color w:val="auto"/>
              </w:rPr>
            </w:pPr>
            <w:r>
              <w:rPr>
                <w:rFonts w:ascii="Arial" w:cs="Arial" w:eastAsia="Arial" w:hAnsi="Arial"/>
                <w:sz w:val="20"/>
                <w:szCs w:val="20"/>
                <w:color w:val="auto"/>
              </w:rPr>
              <w:t>Renewal Agreement to Lease by and</w:t>
            </w:r>
          </w:p>
        </w:tc>
        <w:tc>
          <w:tcPr>
            <w:tcW w:w="0" w:type="dxa"/>
            <w:vAlign w:val="bottom"/>
          </w:tcPr>
          <w:p>
            <w:pPr>
              <w:spacing w:after="0"/>
              <w:rPr>
                <w:sz w:val="1"/>
                <w:szCs w:val="1"/>
                <w:color w:val="auto"/>
              </w:rPr>
            </w:pPr>
          </w:p>
        </w:tc>
      </w:tr>
      <w:tr>
        <w:trPr>
          <w:trHeight w:val="199"/>
        </w:trPr>
        <w:tc>
          <w:tcPr>
            <w:tcW w:w="720" w:type="dxa"/>
            <w:vAlign w:val="bottom"/>
          </w:tcPr>
          <w:p>
            <w:pPr>
              <w:spacing w:after="0"/>
              <w:rPr>
                <w:sz w:val="17"/>
                <w:szCs w:val="17"/>
                <w:color w:val="auto"/>
              </w:rPr>
            </w:pP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w w:val="93"/>
              </w:rPr>
              <w:t>between the Verona Pharma plc and Regus</w:t>
            </w:r>
          </w:p>
        </w:tc>
        <w:tc>
          <w:tcPr>
            <w:tcW w:w="0" w:type="dxa"/>
            <w:vAlign w:val="bottom"/>
          </w:tcPr>
          <w:p>
            <w:pPr>
              <w:spacing w:after="0"/>
              <w:rPr>
                <w:sz w:val="1"/>
                <w:szCs w:val="1"/>
                <w:color w:val="auto"/>
              </w:rPr>
            </w:pPr>
          </w:p>
        </w:tc>
      </w:tr>
      <w:tr>
        <w:trPr>
          <w:trHeight w:val="199"/>
        </w:trPr>
        <w:tc>
          <w:tcPr>
            <w:tcW w:w="720" w:type="dxa"/>
            <w:vAlign w:val="bottom"/>
            <w:vMerge w:val="restart"/>
          </w:tcPr>
          <w:p>
            <w:pPr>
              <w:spacing w:after="0"/>
              <w:rPr>
                <w:sz w:val="20"/>
                <w:szCs w:val="20"/>
                <w:color w:val="auto"/>
              </w:rPr>
            </w:pPr>
            <w:r>
              <w:rPr>
                <w:rFonts w:ascii="Arial" w:cs="Arial" w:eastAsia="Arial" w:hAnsi="Arial"/>
                <w:sz w:val="20"/>
                <w:szCs w:val="20"/>
                <w:color w:val="auto"/>
              </w:rPr>
              <w:t>10.4.5</w:t>
            </w: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rPr>
              <w:t>Management (U.K.) Limited dated</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rPr>
              <w:t>September 16, 2017#3</w:t>
            </w:r>
          </w:p>
        </w:tc>
        <w:tc>
          <w:tcPr>
            <w:tcW w:w="0" w:type="dxa"/>
            <w:vAlign w:val="bottom"/>
          </w:tcPr>
          <w:p>
            <w:pPr>
              <w:spacing w:after="0"/>
              <w:rPr>
                <w:sz w:val="1"/>
                <w:szCs w:val="1"/>
                <w:color w:val="auto"/>
              </w:rPr>
            </w:pPr>
          </w:p>
        </w:tc>
      </w:tr>
      <w:tr>
        <w:trPr>
          <w:trHeight w:val="212"/>
        </w:trPr>
        <w:tc>
          <w:tcPr>
            <w:tcW w:w="720" w:type="dxa"/>
            <w:vAlign w:val="bottom"/>
          </w:tcPr>
          <w:p>
            <w:pPr>
              <w:spacing w:after="0"/>
              <w:rPr>
                <w:sz w:val="18"/>
                <w:szCs w:val="18"/>
                <w:color w:val="auto"/>
              </w:rPr>
            </w:pPr>
          </w:p>
        </w:tc>
        <w:tc>
          <w:tcPr>
            <w:tcW w:w="3820" w:type="dxa"/>
            <w:vAlign w:val="bottom"/>
          </w:tcPr>
          <w:p>
            <w:pPr>
              <w:ind w:left="180"/>
              <w:spacing w:after="0" w:line="212" w:lineRule="exact"/>
              <w:rPr>
                <w:sz w:val="20"/>
                <w:szCs w:val="20"/>
                <w:color w:val="auto"/>
              </w:rPr>
            </w:pPr>
            <w:r>
              <w:rPr>
                <w:rFonts w:ascii="Arial" w:cs="Arial" w:eastAsia="Arial" w:hAnsi="Arial"/>
                <w:sz w:val="20"/>
                <w:szCs w:val="20"/>
                <w:color w:val="auto"/>
              </w:rPr>
              <w:t>Renewal Agreement to Lease by and</w:t>
            </w:r>
          </w:p>
        </w:tc>
        <w:tc>
          <w:tcPr>
            <w:tcW w:w="0" w:type="dxa"/>
            <w:vAlign w:val="bottom"/>
          </w:tcPr>
          <w:p>
            <w:pPr>
              <w:spacing w:after="0"/>
              <w:rPr>
                <w:sz w:val="1"/>
                <w:szCs w:val="1"/>
                <w:color w:val="auto"/>
              </w:rPr>
            </w:pPr>
          </w:p>
        </w:tc>
      </w:tr>
      <w:tr>
        <w:trPr>
          <w:trHeight w:val="199"/>
        </w:trPr>
        <w:tc>
          <w:tcPr>
            <w:tcW w:w="720" w:type="dxa"/>
            <w:vAlign w:val="bottom"/>
            <w:vMerge w:val="restart"/>
          </w:tcPr>
          <w:p>
            <w:pPr>
              <w:spacing w:after="0"/>
              <w:rPr>
                <w:sz w:val="20"/>
                <w:szCs w:val="20"/>
                <w:color w:val="auto"/>
              </w:rPr>
            </w:pPr>
            <w:r>
              <w:rPr>
                <w:rFonts w:ascii="Arial" w:cs="Arial" w:eastAsia="Arial" w:hAnsi="Arial"/>
                <w:sz w:val="20"/>
                <w:szCs w:val="20"/>
                <w:color w:val="auto"/>
              </w:rPr>
              <w:t>10.4.6</w:t>
            </w: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w w:val="91"/>
              </w:rPr>
              <w:t>between the Verona Pharma Inc. and Regus</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w w:val="90"/>
              </w:rPr>
              <w:t>Management Group LLC dated July 16, 2019</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3820" w:type="dxa"/>
            <w:vAlign w:val="bottom"/>
          </w:tcPr>
          <w:p>
            <w:pPr>
              <w:ind w:left="180"/>
              <w:spacing w:after="0" w:line="222" w:lineRule="exact"/>
              <w:rPr>
                <w:sz w:val="20"/>
                <w:szCs w:val="20"/>
                <w:color w:val="auto"/>
              </w:rPr>
            </w:pPr>
            <w:r>
              <w:rPr>
                <w:rFonts w:ascii="Arial" w:cs="Arial" w:eastAsia="Arial" w:hAnsi="Arial"/>
                <w:sz w:val="20"/>
                <w:szCs w:val="20"/>
                <w:color w:val="auto"/>
              </w:rPr>
              <w:t>Renewal Agreement to Lease by and</w:t>
            </w:r>
          </w:p>
        </w:tc>
        <w:tc>
          <w:tcPr>
            <w:tcW w:w="0" w:type="dxa"/>
            <w:vAlign w:val="bottom"/>
          </w:tcPr>
          <w:p>
            <w:pPr>
              <w:spacing w:after="0"/>
              <w:rPr>
                <w:sz w:val="1"/>
                <w:szCs w:val="1"/>
                <w:color w:val="auto"/>
              </w:rPr>
            </w:pPr>
          </w:p>
        </w:tc>
      </w:tr>
      <w:tr>
        <w:trPr>
          <w:trHeight w:val="199"/>
        </w:trPr>
        <w:tc>
          <w:tcPr>
            <w:tcW w:w="720" w:type="dxa"/>
            <w:vAlign w:val="bottom"/>
          </w:tcPr>
          <w:p>
            <w:pPr>
              <w:spacing w:after="0"/>
              <w:rPr>
                <w:sz w:val="17"/>
                <w:szCs w:val="17"/>
                <w:color w:val="auto"/>
              </w:rPr>
            </w:pP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w w:val="93"/>
              </w:rPr>
              <w:t>between the Verona Pharma plc and Regus</w:t>
            </w:r>
          </w:p>
        </w:tc>
        <w:tc>
          <w:tcPr>
            <w:tcW w:w="0" w:type="dxa"/>
            <w:vAlign w:val="bottom"/>
          </w:tcPr>
          <w:p>
            <w:pPr>
              <w:spacing w:after="0"/>
              <w:rPr>
                <w:sz w:val="1"/>
                <w:szCs w:val="1"/>
                <w:color w:val="auto"/>
              </w:rPr>
            </w:pPr>
          </w:p>
        </w:tc>
      </w:tr>
      <w:tr>
        <w:trPr>
          <w:trHeight w:val="199"/>
        </w:trPr>
        <w:tc>
          <w:tcPr>
            <w:tcW w:w="720" w:type="dxa"/>
            <w:vAlign w:val="bottom"/>
            <w:vMerge w:val="restart"/>
          </w:tcPr>
          <w:p>
            <w:pPr>
              <w:spacing w:after="0"/>
              <w:rPr>
                <w:sz w:val="20"/>
                <w:szCs w:val="20"/>
                <w:color w:val="auto"/>
              </w:rPr>
            </w:pPr>
            <w:r>
              <w:rPr>
                <w:rFonts w:ascii="Arial" w:cs="Arial" w:eastAsia="Arial" w:hAnsi="Arial"/>
                <w:sz w:val="20"/>
                <w:szCs w:val="20"/>
                <w:color w:val="auto"/>
              </w:rPr>
              <w:t>10.4.7</w:t>
            </w: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rPr>
              <w:t>Management (U.K.) Limited dated</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rPr>
              <w:t>November 9, 2021</w:t>
            </w: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3820" w:type="dxa"/>
            <w:vAlign w:val="bottom"/>
          </w:tcPr>
          <w:p>
            <w:pPr>
              <w:ind w:left="180"/>
              <w:spacing w:after="0" w:line="222" w:lineRule="exact"/>
              <w:rPr>
                <w:sz w:val="20"/>
                <w:szCs w:val="20"/>
                <w:color w:val="auto"/>
              </w:rPr>
            </w:pPr>
            <w:r>
              <w:rPr>
                <w:rFonts w:ascii="Arial" w:cs="Arial" w:eastAsia="Arial" w:hAnsi="Arial"/>
                <w:sz w:val="20"/>
                <w:szCs w:val="20"/>
                <w:color w:val="auto"/>
              </w:rPr>
              <w:t>Renewal Agreement to Lease by and</w:t>
            </w:r>
          </w:p>
        </w:tc>
        <w:tc>
          <w:tcPr>
            <w:tcW w:w="0" w:type="dxa"/>
            <w:vAlign w:val="bottom"/>
          </w:tcPr>
          <w:p>
            <w:pPr>
              <w:spacing w:after="0"/>
              <w:rPr>
                <w:sz w:val="1"/>
                <w:szCs w:val="1"/>
                <w:color w:val="auto"/>
              </w:rPr>
            </w:pPr>
          </w:p>
        </w:tc>
      </w:tr>
      <w:tr>
        <w:trPr>
          <w:trHeight w:val="199"/>
        </w:trPr>
        <w:tc>
          <w:tcPr>
            <w:tcW w:w="720" w:type="dxa"/>
            <w:vAlign w:val="bottom"/>
          </w:tcPr>
          <w:p>
            <w:pPr>
              <w:spacing w:after="0"/>
              <w:rPr>
                <w:sz w:val="17"/>
                <w:szCs w:val="17"/>
                <w:color w:val="auto"/>
              </w:rPr>
            </w:pP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w w:val="93"/>
              </w:rPr>
              <w:t>between the Verona Pharma plc and Regus</w:t>
            </w:r>
          </w:p>
        </w:tc>
        <w:tc>
          <w:tcPr>
            <w:tcW w:w="0" w:type="dxa"/>
            <w:vAlign w:val="bottom"/>
          </w:tcPr>
          <w:p>
            <w:pPr>
              <w:spacing w:after="0"/>
              <w:rPr>
                <w:sz w:val="1"/>
                <w:szCs w:val="1"/>
                <w:color w:val="auto"/>
              </w:rPr>
            </w:pPr>
          </w:p>
        </w:tc>
      </w:tr>
      <w:tr>
        <w:trPr>
          <w:trHeight w:val="199"/>
        </w:trPr>
        <w:tc>
          <w:tcPr>
            <w:tcW w:w="720" w:type="dxa"/>
            <w:vAlign w:val="bottom"/>
            <w:vMerge w:val="restart"/>
          </w:tcPr>
          <w:p>
            <w:pPr>
              <w:spacing w:after="0"/>
              <w:rPr>
                <w:sz w:val="20"/>
                <w:szCs w:val="20"/>
                <w:color w:val="auto"/>
              </w:rPr>
            </w:pPr>
            <w:r>
              <w:rPr>
                <w:rFonts w:ascii="Arial" w:cs="Arial" w:eastAsia="Arial" w:hAnsi="Arial"/>
                <w:sz w:val="20"/>
                <w:szCs w:val="20"/>
                <w:color w:val="auto"/>
              </w:rPr>
              <w:t>10.4.8</w:t>
            </w: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w w:val="90"/>
              </w:rPr>
              <w:t>Management (U.K.) Limited dated December</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rPr>
              <w:t>7, 2021</w:t>
            </w:r>
          </w:p>
        </w:tc>
        <w:tc>
          <w:tcPr>
            <w:tcW w:w="0" w:type="dxa"/>
            <w:vAlign w:val="bottom"/>
          </w:tcPr>
          <w:p>
            <w:pPr>
              <w:spacing w:after="0"/>
              <w:rPr>
                <w:sz w:val="1"/>
                <w:szCs w:val="1"/>
                <w:color w:val="auto"/>
              </w:rPr>
            </w:pPr>
          </w:p>
        </w:tc>
      </w:tr>
      <w:tr>
        <w:trPr>
          <w:trHeight w:val="212"/>
        </w:trPr>
        <w:tc>
          <w:tcPr>
            <w:tcW w:w="720" w:type="dxa"/>
            <w:vAlign w:val="bottom"/>
          </w:tcPr>
          <w:p>
            <w:pPr>
              <w:spacing w:after="0"/>
              <w:rPr>
                <w:sz w:val="18"/>
                <w:szCs w:val="18"/>
                <w:color w:val="auto"/>
              </w:rPr>
            </w:pPr>
          </w:p>
        </w:tc>
        <w:tc>
          <w:tcPr>
            <w:tcW w:w="3820" w:type="dxa"/>
            <w:vAlign w:val="bottom"/>
          </w:tcPr>
          <w:p>
            <w:pPr>
              <w:ind w:left="180"/>
              <w:spacing w:after="0" w:line="212" w:lineRule="exact"/>
              <w:rPr>
                <w:sz w:val="20"/>
                <w:szCs w:val="20"/>
                <w:color w:val="auto"/>
              </w:rPr>
            </w:pPr>
            <w:r>
              <w:rPr>
                <w:rFonts w:ascii="Arial" w:cs="Arial" w:eastAsia="Arial" w:hAnsi="Arial"/>
                <w:sz w:val="20"/>
                <w:szCs w:val="20"/>
                <w:color w:val="auto"/>
                <w:w w:val="91"/>
              </w:rPr>
              <w:t>Agreement to Lease by and between Verona</w:t>
            </w:r>
          </w:p>
        </w:tc>
        <w:tc>
          <w:tcPr>
            <w:tcW w:w="0" w:type="dxa"/>
            <w:vAlign w:val="bottom"/>
          </w:tcPr>
          <w:p>
            <w:pPr>
              <w:spacing w:after="0"/>
              <w:rPr>
                <w:sz w:val="1"/>
                <w:szCs w:val="1"/>
                <w:color w:val="auto"/>
              </w:rPr>
            </w:pPr>
          </w:p>
        </w:tc>
      </w:tr>
      <w:tr>
        <w:trPr>
          <w:trHeight w:val="199"/>
        </w:trPr>
        <w:tc>
          <w:tcPr>
            <w:tcW w:w="720" w:type="dxa"/>
            <w:vAlign w:val="bottom"/>
            <w:vMerge w:val="restart"/>
          </w:tcPr>
          <w:p>
            <w:pPr>
              <w:spacing w:after="0"/>
              <w:rPr>
                <w:sz w:val="20"/>
                <w:szCs w:val="20"/>
                <w:color w:val="auto"/>
              </w:rPr>
            </w:pPr>
            <w:r>
              <w:rPr>
                <w:rFonts w:ascii="Arial" w:cs="Arial" w:eastAsia="Arial" w:hAnsi="Arial"/>
                <w:sz w:val="20"/>
                <w:szCs w:val="20"/>
                <w:color w:val="auto"/>
              </w:rPr>
              <w:t>10.4.9</w:t>
            </w: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w w:val="92"/>
              </w:rPr>
              <w:t>Pharma, Inc. and Brier Creek Office #4, LLC</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rPr>
              <w:t>dated March 6, 2020</w:t>
            </w:r>
          </w:p>
        </w:tc>
        <w:tc>
          <w:tcPr>
            <w:tcW w:w="0" w:type="dxa"/>
            <w:vAlign w:val="bottom"/>
          </w:tcPr>
          <w:p>
            <w:pPr>
              <w:spacing w:after="0"/>
              <w:rPr>
                <w:sz w:val="1"/>
                <w:szCs w:val="1"/>
                <w:color w:val="auto"/>
              </w:rPr>
            </w:pPr>
          </w:p>
        </w:tc>
      </w:tr>
      <w:tr>
        <w:trPr>
          <w:trHeight w:val="212"/>
        </w:trPr>
        <w:tc>
          <w:tcPr>
            <w:tcW w:w="720" w:type="dxa"/>
            <w:vAlign w:val="bottom"/>
          </w:tcPr>
          <w:p>
            <w:pPr>
              <w:spacing w:after="0"/>
              <w:rPr>
                <w:sz w:val="18"/>
                <w:szCs w:val="18"/>
                <w:color w:val="auto"/>
              </w:rPr>
            </w:pPr>
          </w:p>
        </w:tc>
        <w:tc>
          <w:tcPr>
            <w:tcW w:w="3820" w:type="dxa"/>
            <w:vAlign w:val="bottom"/>
          </w:tcPr>
          <w:p>
            <w:pPr>
              <w:ind w:left="180"/>
              <w:spacing w:after="0" w:line="212" w:lineRule="exact"/>
              <w:rPr>
                <w:sz w:val="20"/>
                <w:szCs w:val="20"/>
                <w:color w:val="auto"/>
              </w:rPr>
            </w:pPr>
            <w:r>
              <w:rPr>
                <w:rFonts w:ascii="Arial" w:cs="Arial" w:eastAsia="Arial" w:hAnsi="Arial"/>
                <w:sz w:val="20"/>
                <w:szCs w:val="20"/>
                <w:color w:val="auto"/>
                <w:w w:val="97"/>
              </w:rPr>
              <w:t>Agreement of Sublease, dated August 28,</w:t>
            </w:r>
          </w:p>
        </w:tc>
        <w:tc>
          <w:tcPr>
            <w:tcW w:w="0" w:type="dxa"/>
            <w:vAlign w:val="bottom"/>
          </w:tcPr>
          <w:p>
            <w:pPr>
              <w:spacing w:after="0"/>
              <w:rPr>
                <w:sz w:val="1"/>
                <w:szCs w:val="1"/>
                <w:color w:val="auto"/>
              </w:rPr>
            </w:pPr>
          </w:p>
        </w:tc>
      </w:tr>
      <w:tr>
        <w:trPr>
          <w:trHeight w:val="199"/>
        </w:trPr>
        <w:tc>
          <w:tcPr>
            <w:tcW w:w="720" w:type="dxa"/>
            <w:vAlign w:val="bottom"/>
            <w:vMerge w:val="restart"/>
          </w:tcPr>
          <w:p>
            <w:pPr>
              <w:spacing w:after="0"/>
              <w:rPr>
                <w:sz w:val="20"/>
                <w:szCs w:val="20"/>
                <w:color w:val="auto"/>
              </w:rPr>
            </w:pPr>
            <w:r>
              <w:rPr>
                <w:rFonts w:ascii="Arial" w:cs="Arial" w:eastAsia="Arial" w:hAnsi="Arial"/>
                <w:sz w:val="20"/>
                <w:szCs w:val="20"/>
                <w:color w:val="auto"/>
              </w:rPr>
              <w:t>10.5</w:t>
            </w: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w w:val="93"/>
              </w:rPr>
              <w:t>2023, by and between Verona Pharma, Inc.</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rPr>
              <w:t>and insightsoftware, LLC</w:t>
            </w:r>
          </w:p>
        </w:tc>
        <w:tc>
          <w:tcPr>
            <w:tcW w:w="0" w:type="dxa"/>
            <w:vAlign w:val="bottom"/>
          </w:tcPr>
          <w:p>
            <w:pPr>
              <w:spacing w:after="0"/>
              <w:rPr>
                <w:sz w:val="1"/>
                <w:szCs w:val="1"/>
                <w:color w:val="auto"/>
              </w:rPr>
            </w:pPr>
          </w:p>
        </w:tc>
      </w:tr>
      <w:tr>
        <w:trPr>
          <w:trHeight w:val="282"/>
        </w:trPr>
        <w:tc>
          <w:tcPr>
            <w:tcW w:w="720" w:type="dxa"/>
            <w:vAlign w:val="bottom"/>
          </w:tcPr>
          <w:p>
            <w:pPr>
              <w:spacing w:after="0"/>
              <w:rPr>
                <w:sz w:val="20"/>
                <w:szCs w:val="20"/>
                <w:color w:val="auto"/>
              </w:rPr>
            </w:pPr>
            <w:r>
              <w:rPr>
                <w:rFonts w:ascii="Arial" w:cs="Arial" w:eastAsia="Arial" w:hAnsi="Arial"/>
                <w:sz w:val="20"/>
                <w:szCs w:val="20"/>
                <w:color w:val="auto"/>
              </w:rPr>
              <w:t>10.6#</w:t>
            </w:r>
          </w:p>
        </w:tc>
        <w:tc>
          <w:tcPr>
            <w:tcW w:w="3820" w:type="dxa"/>
            <w:vAlign w:val="bottom"/>
          </w:tcPr>
          <w:p>
            <w:pPr>
              <w:ind w:left="180"/>
              <w:spacing w:after="0"/>
              <w:rPr>
                <w:sz w:val="20"/>
                <w:szCs w:val="20"/>
                <w:color w:val="auto"/>
              </w:rPr>
            </w:pPr>
            <w:r>
              <w:rPr>
                <w:rFonts w:ascii="Arial" w:cs="Arial" w:eastAsia="Arial" w:hAnsi="Arial"/>
                <w:sz w:val="20"/>
                <w:szCs w:val="20"/>
                <w:color w:val="auto"/>
              </w:rPr>
              <w:t>EMI Option Scheme</w:t>
            </w:r>
          </w:p>
        </w:tc>
        <w:tc>
          <w:tcPr>
            <w:tcW w:w="0" w:type="dxa"/>
            <w:vAlign w:val="bottom"/>
          </w:tcPr>
          <w:p>
            <w:pPr>
              <w:spacing w:after="0"/>
              <w:rPr>
                <w:sz w:val="1"/>
                <w:szCs w:val="1"/>
                <w:color w:val="auto"/>
              </w:rPr>
            </w:pPr>
          </w:p>
        </w:tc>
      </w:tr>
      <w:tr>
        <w:trPr>
          <w:trHeight w:val="204"/>
        </w:trPr>
        <w:tc>
          <w:tcPr>
            <w:tcW w:w="720" w:type="dxa"/>
            <w:vAlign w:val="bottom"/>
            <w:vMerge w:val="restart"/>
          </w:tcPr>
          <w:p>
            <w:pPr>
              <w:spacing w:after="0"/>
              <w:rPr>
                <w:sz w:val="20"/>
                <w:szCs w:val="20"/>
                <w:color w:val="auto"/>
              </w:rPr>
            </w:pPr>
            <w:r>
              <w:rPr>
                <w:rFonts w:ascii="Arial" w:cs="Arial" w:eastAsia="Arial" w:hAnsi="Arial"/>
                <w:sz w:val="20"/>
                <w:szCs w:val="20"/>
                <w:color w:val="auto"/>
              </w:rPr>
              <w:t>10.7#</w:t>
            </w:r>
          </w:p>
        </w:tc>
        <w:tc>
          <w:tcPr>
            <w:tcW w:w="3820" w:type="dxa"/>
            <w:vAlign w:val="bottom"/>
          </w:tcPr>
          <w:p>
            <w:pPr>
              <w:ind w:left="180"/>
              <w:spacing w:after="0" w:line="204" w:lineRule="exact"/>
              <w:rPr>
                <w:sz w:val="20"/>
                <w:szCs w:val="20"/>
                <w:color w:val="auto"/>
              </w:rPr>
            </w:pPr>
            <w:r>
              <w:rPr>
                <w:rFonts w:ascii="Arial" w:cs="Arial" w:eastAsia="Arial" w:hAnsi="Arial"/>
                <w:sz w:val="20"/>
                <w:szCs w:val="20"/>
                <w:color w:val="auto"/>
              </w:rPr>
              <w:t>Unapproved Share Option Scheme, as</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rPr>
              <w:t>amended</w:t>
            </w:r>
          </w:p>
        </w:tc>
        <w:tc>
          <w:tcPr>
            <w:tcW w:w="0" w:type="dxa"/>
            <w:vAlign w:val="bottom"/>
          </w:tcPr>
          <w:p>
            <w:pPr>
              <w:spacing w:after="0"/>
              <w:rPr>
                <w:sz w:val="1"/>
                <w:szCs w:val="1"/>
                <w:color w:val="auto"/>
              </w:rPr>
            </w:pPr>
          </w:p>
        </w:tc>
      </w:tr>
      <w:tr>
        <w:trPr>
          <w:trHeight w:val="202"/>
        </w:trPr>
        <w:tc>
          <w:tcPr>
            <w:tcW w:w="720" w:type="dxa"/>
            <w:vAlign w:val="bottom"/>
            <w:vMerge w:val="restart"/>
          </w:tcPr>
          <w:p>
            <w:pPr>
              <w:spacing w:after="0"/>
              <w:rPr>
                <w:sz w:val="20"/>
                <w:szCs w:val="20"/>
                <w:color w:val="auto"/>
              </w:rPr>
            </w:pPr>
            <w:r>
              <w:rPr>
                <w:rFonts w:ascii="Arial" w:cs="Arial" w:eastAsia="Arial" w:hAnsi="Arial"/>
                <w:sz w:val="20"/>
                <w:szCs w:val="20"/>
                <w:color w:val="auto"/>
              </w:rPr>
              <w:t>10.8#</w:t>
            </w:r>
          </w:p>
        </w:tc>
        <w:tc>
          <w:tcPr>
            <w:tcW w:w="3820" w:type="dxa"/>
            <w:vAlign w:val="bottom"/>
          </w:tcPr>
          <w:p>
            <w:pPr>
              <w:ind w:left="180"/>
              <w:spacing w:after="0" w:line="203" w:lineRule="exact"/>
              <w:rPr>
                <w:sz w:val="20"/>
                <w:szCs w:val="20"/>
                <w:color w:val="auto"/>
              </w:rPr>
            </w:pPr>
            <w:r>
              <w:rPr>
                <w:rFonts w:ascii="Arial" w:cs="Arial" w:eastAsia="Arial" w:hAnsi="Arial"/>
                <w:sz w:val="20"/>
                <w:szCs w:val="20"/>
                <w:color w:val="auto"/>
                <w:w w:val="96"/>
              </w:rPr>
              <w:t>Verona Pharma plc Second Amended and</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rPr>
              <w:t>Restated 2017 Incentive Award Plan</w:t>
            </w:r>
          </w:p>
        </w:tc>
        <w:tc>
          <w:tcPr>
            <w:tcW w:w="0" w:type="dxa"/>
            <w:vAlign w:val="bottom"/>
          </w:tcPr>
          <w:p>
            <w:pPr>
              <w:spacing w:after="0"/>
              <w:rPr>
                <w:sz w:val="1"/>
                <w:szCs w:val="1"/>
                <w:color w:val="auto"/>
              </w:rPr>
            </w:pPr>
          </w:p>
        </w:tc>
      </w:tr>
      <w:tr>
        <w:trPr>
          <w:trHeight w:val="212"/>
        </w:trPr>
        <w:tc>
          <w:tcPr>
            <w:tcW w:w="720" w:type="dxa"/>
            <w:vAlign w:val="bottom"/>
          </w:tcPr>
          <w:p>
            <w:pPr>
              <w:spacing w:after="0"/>
              <w:rPr>
                <w:sz w:val="18"/>
                <w:szCs w:val="18"/>
                <w:color w:val="auto"/>
              </w:rPr>
            </w:pPr>
          </w:p>
        </w:tc>
        <w:tc>
          <w:tcPr>
            <w:tcW w:w="3820" w:type="dxa"/>
            <w:vAlign w:val="bottom"/>
          </w:tcPr>
          <w:p>
            <w:pPr>
              <w:ind w:left="180"/>
              <w:spacing w:after="0" w:line="212" w:lineRule="exact"/>
              <w:rPr>
                <w:sz w:val="20"/>
                <w:szCs w:val="20"/>
                <w:color w:val="auto"/>
              </w:rPr>
            </w:pPr>
            <w:r>
              <w:rPr>
                <w:rFonts w:ascii="Arial" w:cs="Arial" w:eastAsia="Arial" w:hAnsi="Arial"/>
                <w:sz w:val="20"/>
                <w:szCs w:val="20"/>
                <w:color w:val="auto"/>
                <w:w w:val="93"/>
              </w:rPr>
              <w:t>Employment Agreement, dated January 28,</w:t>
            </w:r>
          </w:p>
        </w:tc>
        <w:tc>
          <w:tcPr>
            <w:tcW w:w="0" w:type="dxa"/>
            <w:vAlign w:val="bottom"/>
          </w:tcPr>
          <w:p>
            <w:pPr>
              <w:spacing w:after="0"/>
              <w:rPr>
                <w:sz w:val="1"/>
                <w:szCs w:val="1"/>
                <w:color w:val="auto"/>
              </w:rPr>
            </w:pPr>
          </w:p>
        </w:tc>
      </w:tr>
      <w:tr>
        <w:trPr>
          <w:trHeight w:val="199"/>
        </w:trPr>
        <w:tc>
          <w:tcPr>
            <w:tcW w:w="720" w:type="dxa"/>
            <w:vAlign w:val="bottom"/>
            <w:vMerge w:val="restart"/>
          </w:tcPr>
          <w:p>
            <w:pPr>
              <w:spacing w:after="0"/>
              <w:rPr>
                <w:sz w:val="20"/>
                <w:szCs w:val="20"/>
                <w:color w:val="auto"/>
              </w:rPr>
            </w:pPr>
            <w:r>
              <w:rPr>
                <w:rFonts w:ascii="Arial" w:cs="Arial" w:eastAsia="Arial" w:hAnsi="Arial"/>
                <w:sz w:val="20"/>
                <w:szCs w:val="20"/>
                <w:color w:val="auto"/>
              </w:rPr>
              <w:t>10.9#</w:t>
            </w: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rPr>
              <w:t>2020, between Verona Pharma, Inc. and</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rPr>
              <w:t>David Zaccardelli, Pharm. D.</w:t>
            </w:r>
          </w:p>
        </w:tc>
        <w:tc>
          <w:tcPr>
            <w:tcW w:w="0" w:type="dxa"/>
            <w:vAlign w:val="bottom"/>
          </w:tcPr>
          <w:p>
            <w:pPr>
              <w:spacing w:after="0"/>
              <w:rPr>
                <w:sz w:val="1"/>
                <w:szCs w:val="1"/>
                <w:color w:val="auto"/>
              </w:rPr>
            </w:pPr>
          </w:p>
        </w:tc>
      </w:tr>
      <w:tr>
        <w:trPr>
          <w:trHeight w:val="212"/>
        </w:trPr>
        <w:tc>
          <w:tcPr>
            <w:tcW w:w="720" w:type="dxa"/>
            <w:vAlign w:val="bottom"/>
          </w:tcPr>
          <w:p>
            <w:pPr>
              <w:spacing w:after="0"/>
              <w:rPr>
                <w:sz w:val="18"/>
                <w:szCs w:val="18"/>
                <w:color w:val="auto"/>
              </w:rPr>
            </w:pPr>
          </w:p>
        </w:tc>
        <w:tc>
          <w:tcPr>
            <w:tcW w:w="3820" w:type="dxa"/>
            <w:vAlign w:val="bottom"/>
          </w:tcPr>
          <w:p>
            <w:pPr>
              <w:ind w:left="180"/>
              <w:spacing w:after="0" w:line="212" w:lineRule="exact"/>
              <w:rPr>
                <w:sz w:val="20"/>
                <w:szCs w:val="20"/>
                <w:color w:val="auto"/>
              </w:rPr>
            </w:pPr>
            <w:r>
              <w:rPr>
                <w:rFonts w:ascii="Arial" w:cs="Arial" w:eastAsia="Arial" w:hAnsi="Arial"/>
                <w:sz w:val="20"/>
                <w:szCs w:val="20"/>
                <w:color w:val="auto"/>
                <w:w w:val="96"/>
              </w:rPr>
              <w:t>Employment Agreement, dated December</w:t>
            </w:r>
          </w:p>
        </w:tc>
        <w:tc>
          <w:tcPr>
            <w:tcW w:w="0" w:type="dxa"/>
            <w:vAlign w:val="bottom"/>
          </w:tcPr>
          <w:p>
            <w:pPr>
              <w:spacing w:after="0"/>
              <w:rPr>
                <w:sz w:val="1"/>
                <w:szCs w:val="1"/>
                <w:color w:val="auto"/>
              </w:rPr>
            </w:pPr>
          </w:p>
        </w:tc>
      </w:tr>
      <w:tr>
        <w:trPr>
          <w:trHeight w:val="199"/>
        </w:trPr>
        <w:tc>
          <w:tcPr>
            <w:tcW w:w="720" w:type="dxa"/>
            <w:vAlign w:val="bottom"/>
            <w:vMerge w:val="restart"/>
          </w:tcPr>
          <w:p>
            <w:pPr>
              <w:spacing w:after="0"/>
              <w:rPr>
                <w:sz w:val="20"/>
                <w:szCs w:val="20"/>
                <w:color w:val="auto"/>
              </w:rPr>
            </w:pPr>
            <w:r>
              <w:rPr>
                <w:rFonts w:ascii="Arial" w:cs="Arial" w:eastAsia="Arial" w:hAnsi="Arial"/>
                <w:sz w:val="20"/>
                <w:szCs w:val="20"/>
                <w:color w:val="auto"/>
              </w:rPr>
              <w:t>10.10#</w:t>
            </w: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w w:val="95"/>
              </w:rPr>
              <w:t>21, 2019, between Verona Pharma plc and</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rPr>
              <w:t>Kathleen Rickard</w:t>
            </w:r>
          </w:p>
        </w:tc>
        <w:tc>
          <w:tcPr>
            <w:tcW w:w="0" w:type="dxa"/>
            <w:vAlign w:val="bottom"/>
          </w:tcPr>
          <w:p>
            <w:pPr>
              <w:spacing w:after="0"/>
              <w:rPr>
                <w:sz w:val="1"/>
                <w:szCs w:val="1"/>
                <w:color w:val="auto"/>
              </w:rPr>
            </w:pPr>
          </w:p>
        </w:tc>
      </w:tr>
      <w:tr>
        <w:trPr>
          <w:trHeight w:val="212"/>
        </w:trPr>
        <w:tc>
          <w:tcPr>
            <w:tcW w:w="720" w:type="dxa"/>
            <w:vAlign w:val="bottom"/>
          </w:tcPr>
          <w:p>
            <w:pPr>
              <w:spacing w:after="0"/>
              <w:rPr>
                <w:sz w:val="18"/>
                <w:szCs w:val="18"/>
                <w:color w:val="auto"/>
              </w:rPr>
            </w:pPr>
          </w:p>
        </w:tc>
        <w:tc>
          <w:tcPr>
            <w:tcW w:w="3820" w:type="dxa"/>
            <w:vAlign w:val="bottom"/>
          </w:tcPr>
          <w:p>
            <w:pPr>
              <w:ind w:left="180"/>
              <w:spacing w:after="0" w:line="212" w:lineRule="exact"/>
              <w:rPr>
                <w:sz w:val="20"/>
                <w:szCs w:val="20"/>
                <w:color w:val="auto"/>
              </w:rPr>
            </w:pPr>
            <w:r>
              <w:rPr>
                <w:rFonts w:ascii="Arial" w:cs="Arial" w:eastAsia="Arial" w:hAnsi="Arial"/>
                <w:sz w:val="20"/>
                <w:szCs w:val="20"/>
                <w:color w:val="auto"/>
                <w:w w:val="96"/>
              </w:rPr>
              <w:t>Employment Agreement, dated October 1,</w:t>
            </w:r>
          </w:p>
        </w:tc>
        <w:tc>
          <w:tcPr>
            <w:tcW w:w="0" w:type="dxa"/>
            <w:vAlign w:val="bottom"/>
          </w:tcPr>
          <w:p>
            <w:pPr>
              <w:spacing w:after="0"/>
              <w:rPr>
                <w:sz w:val="1"/>
                <w:szCs w:val="1"/>
                <w:color w:val="auto"/>
              </w:rPr>
            </w:pPr>
          </w:p>
        </w:tc>
      </w:tr>
      <w:tr>
        <w:trPr>
          <w:trHeight w:val="199"/>
        </w:trPr>
        <w:tc>
          <w:tcPr>
            <w:tcW w:w="720" w:type="dxa"/>
            <w:vAlign w:val="bottom"/>
            <w:vMerge w:val="restart"/>
          </w:tcPr>
          <w:p>
            <w:pPr>
              <w:spacing w:after="0"/>
              <w:rPr>
                <w:sz w:val="20"/>
                <w:szCs w:val="20"/>
                <w:color w:val="auto"/>
              </w:rPr>
            </w:pPr>
            <w:r>
              <w:rPr>
                <w:rFonts w:ascii="Arial" w:cs="Arial" w:eastAsia="Arial" w:hAnsi="Arial"/>
                <w:sz w:val="20"/>
                <w:szCs w:val="20"/>
                <w:color w:val="auto"/>
              </w:rPr>
              <w:t>10.11#</w:t>
            </w: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w w:val="89"/>
              </w:rPr>
              <w:t>2016, between Verona Pharma plc and Claire</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rPr>
              <w:t>Poll</w:t>
            </w:r>
          </w:p>
        </w:tc>
        <w:tc>
          <w:tcPr>
            <w:tcW w:w="0" w:type="dxa"/>
            <w:vAlign w:val="bottom"/>
          </w:tcPr>
          <w:p>
            <w:pPr>
              <w:spacing w:after="0"/>
              <w:rPr>
                <w:sz w:val="1"/>
                <w:szCs w:val="1"/>
                <w:color w:val="auto"/>
              </w:rPr>
            </w:pPr>
          </w:p>
        </w:tc>
      </w:tr>
      <w:tr>
        <w:trPr>
          <w:trHeight w:val="212"/>
        </w:trPr>
        <w:tc>
          <w:tcPr>
            <w:tcW w:w="720" w:type="dxa"/>
            <w:vAlign w:val="bottom"/>
          </w:tcPr>
          <w:p>
            <w:pPr>
              <w:spacing w:after="0"/>
              <w:rPr>
                <w:sz w:val="18"/>
                <w:szCs w:val="18"/>
                <w:color w:val="auto"/>
              </w:rPr>
            </w:pPr>
          </w:p>
        </w:tc>
        <w:tc>
          <w:tcPr>
            <w:tcW w:w="3820" w:type="dxa"/>
            <w:vAlign w:val="bottom"/>
          </w:tcPr>
          <w:p>
            <w:pPr>
              <w:ind w:left="180"/>
              <w:spacing w:after="0" w:line="212" w:lineRule="exact"/>
              <w:rPr>
                <w:sz w:val="20"/>
                <w:szCs w:val="20"/>
                <w:color w:val="auto"/>
              </w:rPr>
            </w:pPr>
            <w:r>
              <w:rPr>
                <w:rFonts w:ascii="Arial" w:cs="Arial" w:eastAsia="Arial" w:hAnsi="Arial"/>
                <w:sz w:val="20"/>
                <w:szCs w:val="20"/>
                <w:color w:val="auto"/>
                <w:w w:val="94"/>
              </w:rPr>
              <w:t>Employment Agreement, dated February 1,</w:t>
            </w:r>
          </w:p>
        </w:tc>
        <w:tc>
          <w:tcPr>
            <w:tcW w:w="0" w:type="dxa"/>
            <w:vAlign w:val="bottom"/>
          </w:tcPr>
          <w:p>
            <w:pPr>
              <w:spacing w:after="0"/>
              <w:rPr>
                <w:sz w:val="1"/>
                <w:szCs w:val="1"/>
                <w:color w:val="auto"/>
              </w:rPr>
            </w:pPr>
          </w:p>
        </w:tc>
      </w:tr>
      <w:tr>
        <w:trPr>
          <w:trHeight w:val="199"/>
        </w:trPr>
        <w:tc>
          <w:tcPr>
            <w:tcW w:w="720" w:type="dxa"/>
            <w:vAlign w:val="bottom"/>
            <w:vMerge w:val="restart"/>
          </w:tcPr>
          <w:p>
            <w:pPr>
              <w:spacing w:after="0"/>
              <w:rPr>
                <w:sz w:val="20"/>
                <w:szCs w:val="20"/>
                <w:color w:val="auto"/>
              </w:rPr>
            </w:pPr>
            <w:r>
              <w:rPr>
                <w:rFonts w:ascii="Arial" w:cs="Arial" w:eastAsia="Arial" w:hAnsi="Arial"/>
                <w:sz w:val="20"/>
                <w:szCs w:val="20"/>
                <w:color w:val="auto"/>
              </w:rPr>
              <w:t>10.12#</w:t>
            </w:r>
          </w:p>
        </w:tc>
        <w:tc>
          <w:tcPr>
            <w:tcW w:w="3820" w:type="dxa"/>
            <w:vAlign w:val="bottom"/>
          </w:tcPr>
          <w:p>
            <w:pPr>
              <w:ind w:left="180"/>
              <w:spacing w:after="0" w:line="199" w:lineRule="exact"/>
              <w:rPr>
                <w:sz w:val="20"/>
                <w:szCs w:val="20"/>
                <w:color w:val="auto"/>
              </w:rPr>
            </w:pPr>
            <w:r>
              <w:rPr>
                <w:rFonts w:ascii="Arial" w:cs="Arial" w:eastAsia="Arial" w:hAnsi="Arial"/>
                <w:sz w:val="20"/>
                <w:szCs w:val="20"/>
                <w:color w:val="auto"/>
              </w:rPr>
              <w:t>2020, between Verona Pharma, Inc. and</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rPr>
              <w:t>Mark Hahn</w:t>
            </w:r>
          </w:p>
        </w:tc>
        <w:tc>
          <w:tcPr>
            <w:tcW w:w="0" w:type="dxa"/>
            <w:vAlign w:val="bottom"/>
          </w:tcPr>
          <w:p>
            <w:pPr>
              <w:spacing w:after="0"/>
              <w:rPr>
                <w:sz w:val="1"/>
                <w:szCs w:val="1"/>
                <w:color w:val="auto"/>
              </w:rPr>
            </w:pPr>
          </w:p>
        </w:tc>
      </w:tr>
      <w:tr>
        <w:trPr>
          <w:trHeight w:val="202"/>
        </w:trPr>
        <w:tc>
          <w:tcPr>
            <w:tcW w:w="720" w:type="dxa"/>
            <w:vAlign w:val="bottom"/>
            <w:vMerge w:val="restart"/>
          </w:tcPr>
          <w:p>
            <w:pPr>
              <w:spacing w:after="0"/>
              <w:rPr>
                <w:sz w:val="20"/>
                <w:szCs w:val="20"/>
                <w:color w:val="auto"/>
              </w:rPr>
            </w:pPr>
            <w:r>
              <w:rPr>
                <w:rFonts w:ascii="Arial" w:cs="Arial" w:eastAsia="Arial" w:hAnsi="Arial"/>
                <w:sz w:val="20"/>
                <w:szCs w:val="20"/>
                <w:color w:val="auto"/>
              </w:rPr>
              <w:t>10.13#</w:t>
            </w:r>
          </w:p>
        </w:tc>
        <w:tc>
          <w:tcPr>
            <w:tcW w:w="3820" w:type="dxa"/>
            <w:vAlign w:val="bottom"/>
          </w:tcPr>
          <w:p>
            <w:pPr>
              <w:ind w:left="180"/>
              <w:spacing w:after="0" w:line="203" w:lineRule="exact"/>
              <w:rPr>
                <w:sz w:val="20"/>
                <w:szCs w:val="20"/>
                <w:color w:val="auto"/>
              </w:rPr>
            </w:pPr>
            <w:r>
              <w:rPr>
                <w:rFonts w:ascii="Arial" w:cs="Arial" w:eastAsia="Arial" w:hAnsi="Arial"/>
                <w:sz w:val="20"/>
                <w:szCs w:val="20"/>
                <w:color w:val="auto"/>
              </w:rPr>
              <w:t>Form of Indemnification Agreement for</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rPr>
              <w:t>board members</w:t>
            </w:r>
          </w:p>
        </w:tc>
        <w:tc>
          <w:tcPr>
            <w:tcW w:w="0" w:type="dxa"/>
            <w:vAlign w:val="bottom"/>
          </w:tcPr>
          <w:p>
            <w:pPr>
              <w:spacing w:after="0"/>
              <w:rPr>
                <w:sz w:val="1"/>
                <w:szCs w:val="1"/>
                <w:color w:val="auto"/>
              </w:rPr>
            </w:pPr>
          </w:p>
        </w:tc>
      </w:tr>
      <w:tr>
        <w:trPr>
          <w:trHeight w:val="202"/>
        </w:trPr>
        <w:tc>
          <w:tcPr>
            <w:tcW w:w="720" w:type="dxa"/>
            <w:vAlign w:val="bottom"/>
            <w:vMerge w:val="restart"/>
          </w:tcPr>
          <w:p>
            <w:pPr>
              <w:spacing w:after="0"/>
              <w:rPr>
                <w:sz w:val="20"/>
                <w:szCs w:val="20"/>
                <w:color w:val="auto"/>
              </w:rPr>
            </w:pPr>
            <w:r>
              <w:rPr>
                <w:rFonts w:ascii="Arial" w:cs="Arial" w:eastAsia="Arial" w:hAnsi="Arial"/>
                <w:sz w:val="20"/>
                <w:szCs w:val="20"/>
                <w:color w:val="auto"/>
              </w:rPr>
              <w:t>10.14#</w:t>
            </w:r>
          </w:p>
        </w:tc>
        <w:tc>
          <w:tcPr>
            <w:tcW w:w="3820" w:type="dxa"/>
            <w:vAlign w:val="bottom"/>
          </w:tcPr>
          <w:p>
            <w:pPr>
              <w:ind w:left="180"/>
              <w:spacing w:after="0" w:line="203" w:lineRule="exact"/>
              <w:rPr>
                <w:sz w:val="20"/>
                <w:szCs w:val="20"/>
                <w:color w:val="auto"/>
              </w:rPr>
            </w:pPr>
            <w:r>
              <w:rPr>
                <w:rFonts w:ascii="Arial" w:cs="Arial" w:eastAsia="Arial" w:hAnsi="Arial"/>
                <w:sz w:val="20"/>
                <w:szCs w:val="20"/>
                <w:color w:val="auto"/>
              </w:rPr>
              <w:t>Form of Indemnification Agreement for</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rPr>
              <w:t>executive officers</w:t>
            </w:r>
          </w:p>
        </w:tc>
        <w:tc>
          <w:tcPr>
            <w:tcW w:w="0" w:type="dxa"/>
            <w:vAlign w:val="bottom"/>
          </w:tcPr>
          <w:p>
            <w:pPr>
              <w:spacing w:after="0"/>
              <w:rPr>
                <w:sz w:val="1"/>
                <w:szCs w:val="1"/>
                <w:color w:val="auto"/>
              </w:rPr>
            </w:pPr>
          </w:p>
        </w:tc>
      </w:tr>
      <w:tr>
        <w:trPr>
          <w:trHeight w:val="202"/>
        </w:trPr>
        <w:tc>
          <w:tcPr>
            <w:tcW w:w="720" w:type="dxa"/>
            <w:vAlign w:val="bottom"/>
            <w:vMerge w:val="restart"/>
          </w:tcPr>
          <w:p>
            <w:pPr>
              <w:spacing w:after="0"/>
              <w:rPr>
                <w:sz w:val="20"/>
                <w:szCs w:val="20"/>
                <w:color w:val="auto"/>
              </w:rPr>
            </w:pPr>
            <w:r>
              <w:rPr>
                <w:rFonts w:ascii="Arial" w:cs="Arial" w:eastAsia="Arial" w:hAnsi="Arial"/>
                <w:sz w:val="20"/>
                <w:szCs w:val="20"/>
                <w:color w:val="auto"/>
              </w:rPr>
              <w:t>10.15#</w:t>
            </w:r>
          </w:p>
        </w:tc>
        <w:tc>
          <w:tcPr>
            <w:tcW w:w="3820" w:type="dxa"/>
            <w:vAlign w:val="bottom"/>
          </w:tcPr>
          <w:p>
            <w:pPr>
              <w:ind w:left="180"/>
              <w:spacing w:after="0" w:line="203" w:lineRule="exact"/>
              <w:rPr>
                <w:sz w:val="20"/>
                <w:szCs w:val="20"/>
                <w:color w:val="auto"/>
              </w:rPr>
            </w:pPr>
            <w:r>
              <w:rPr>
                <w:rFonts w:ascii="Arial" w:cs="Arial" w:eastAsia="Arial" w:hAnsi="Arial"/>
                <w:sz w:val="20"/>
                <w:szCs w:val="20"/>
                <w:color w:val="auto"/>
              </w:rPr>
              <w:t>Employee Change in Control Severance</w:t>
            </w:r>
          </w:p>
        </w:tc>
        <w:tc>
          <w:tcPr>
            <w:tcW w:w="0" w:type="dxa"/>
            <w:vAlign w:val="bottom"/>
          </w:tcPr>
          <w:p>
            <w:pPr>
              <w:spacing w:after="0"/>
              <w:rPr>
                <w:sz w:val="1"/>
                <w:szCs w:val="1"/>
                <w:color w:val="auto"/>
              </w:rPr>
            </w:pPr>
          </w:p>
        </w:tc>
      </w:tr>
      <w:tr>
        <w:trPr>
          <w:trHeight w:val="260"/>
        </w:trPr>
        <w:tc>
          <w:tcPr>
            <w:tcW w:w="720" w:type="dxa"/>
            <w:vAlign w:val="bottom"/>
            <w:vMerge w:val="continue"/>
          </w:tcPr>
          <w:p>
            <w:pPr>
              <w:spacing w:after="0"/>
              <w:rPr>
                <w:sz w:val="22"/>
                <w:szCs w:val="22"/>
                <w:color w:val="auto"/>
              </w:rPr>
            </w:pPr>
          </w:p>
        </w:tc>
        <w:tc>
          <w:tcPr>
            <w:tcW w:w="3820" w:type="dxa"/>
            <w:vAlign w:val="bottom"/>
          </w:tcPr>
          <w:p>
            <w:pPr>
              <w:ind w:left="180"/>
              <w:spacing w:after="0"/>
              <w:rPr>
                <w:sz w:val="20"/>
                <w:szCs w:val="20"/>
                <w:color w:val="auto"/>
              </w:rPr>
            </w:pPr>
            <w:r>
              <w:rPr>
                <w:rFonts w:ascii="Arial" w:cs="Arial" w:eastAsia="Arial" w:hAnsi="Arial"/>
                <w:sz w:val="20"/>
                <w:szCs w:val="20"/>
                <w:color w:val="auto"/>
              </w:rPr>
              <w:t>Benefit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1800" w:type="dxa"/>
            <w:vAlign w:val="bottom"/>
            <w:gridSpan w:val="2"/>
          </w:tcPr>
          <w:p>
            <w:pPr>
              <w:jc w:val="right"/>
              <w:ind w:right="161"/>
              <w:spacing w:after="0"/>
              <w:rPr>
                <w:sz w:val="20"/>
                <w:szCs w:val="20"/>
                <w:color w:val="auto"/>
              </w:rPr>
            </w:pPr>
            <w:r>
              <w:rPr>
                <w:rFonts w:ascii="Arial" w:cs="Arial" w:eastAsia="Arial" w:hAnsi="Arial"/>
                <w:sz w:val="20"/>
                <w:szCs w:val="20"/>
                <w:color w:val="auto"/>
              </w:rPr>
              <w:t>8-K  001-38067</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10.1</w:t>
            </w:r>
          </w:p>
        </w:tc>
        <w:tc>
          <w:tcPr>
            <w:tcW w:w="880" w:type="dxa"/>
            <w:vAlign w:val="bottom"/>
          </w:tcPr>
          <w:p>
            <w:pPr>
              <w:jc w:val="right"/>
              <w:spacing w:after="0"/>
              <w:rPr>
                <w:sz w:val="20"/>
                <w:szCs w:val="20"/>
                <w:color w:val="auto"/>
              </w:rPr>
            </w:pPr>
            <w:r>
              <w:rPr>
                <w:rFonts w:ascii="Arial" w:cs="Arial" w:eastAsia="Arial" w:hAnsi="Arial"/>
                <w:sz w:val="20"/>
                <w:szCs w:val="20"/>
                <w:color w:val="auto"/>
                <w:w w:val="96"/>
              </w:rPr>
              <w:t>3/30/2022</w:t>
            </w:r>
          </w:p>
        </w:tc>
      </w:tr>
      <w:tr>
        <w:trPr>
          <w:trHeight w:val="881"/>
        </w:trPr>
        <w:tc>
          <w:tcPr>
            <w:tcW w:w="1800" w:type="dxa"/>
            <w:vAlign w:val="bottom"/>
            <w:gridSpan w:val="2"/>
          </w:tcPr>
          <w:p>
            <w:pPr>
              <w:jc w:val="right"/>
              <w:ind w:right="161"/>
              <w:spacing w:after="0"/>
              <w:rPr>
                <w:sz w:val="20"/>
                <w:szCs w:val="20"/>
                <w:color w:val="auto"/>
              </w:rPr>
            </w:pPr>
            <w:r>
              <w:rPr>
                <w:rFonts w:ascii="Arial" w:cs="Arial" w:eastAsia="Arial" w:hAnsi="Arial"/>
                <w:sz w:val="20"/>
                <w:szCs w:val="20"/>
                <w:color w:val="auto"/>
              </w:rPr>
              <w:t>20-F  001-38067</w:t>
            </w:r>
          </w:p>
        </w:tc>
        <w:tc>
          <w:tcPr>
            <w:tcW w:w="960" w:type="dxa"/>
            <w:vAlign w:val="bottom"/>
          </w:tcPr>
          <w:p>
            <w:pPr>
              <w:jc w:val="right"/>
              <w:spacing w:after="0"/>
              <w:rPr>
                <w:sz w:val="20"/>
                <w:szCs w:val="20"/>
                <w:color w:val="auto"/>
              </w:rPr>
            </w:pPr>
            <w:r>
              <w:rPr>
                <w:rFonts w:ascii="Arial" w:cs="Arial" w:eastAsia="Arial" w:hAnsi="Arial"/>
                <w:sz w:val="20"/>
                <w:szCs w:val="20"/>
                <w:color w:val="auto"/>
              </w:rPr>
              <w:t>4.3.3</w:t>
            </w:r>
          </w:p>
        </w:tc>
        <w:tc>
          <w:tcPr>
            <w:tcW w:w="880" w:type="dxa"/>
            <w:vAlign w:val="bottom"/>
          </w:tcPr>
          <w:p>
            <w:pPr>
              <w:jc w:val="right"/>
              <w:spacing w:after="0"/>
              <w:rPr>
                <w:sz w:val="20"/>
                <w:szCs w:val="20"/>
                <w:color w:val="auto"/>
              </w:rPr>
            </w:pPr>
            <w:r>
              <w:rPr>
                <w:rFonts w:ascii="Arial" w:cs="Arial" w:eastAsia="Arial" w:hAnsi="Arial"/>
                <w:sz w:val="20"/>
                <w:szCs w:val="20"/>
                <w:color w:val="auto"/>
                <w:w w:val="96"/>
              </w:rPr>
              <w:t>2/27/2020</w:t>
            </w:r>
          </w:p>
        </w:tc>
      </w:tr>
      <w:tr>
        <w:trPr>
          <w:trHeight w:val="881"/>
        </w:trPr>
        <w:tc>
          <w:tcPr>
            <w:tcW w:w="1800" w:type="dxa"/>
            <w:vAlign w:val="bottom"/>
            <w:gridSpan w:val="2"/>
          </w:tcPr>
          <w:p>
            <w:pPr>
              <w:jc w:val="right"/>
              <w:ind w:right="161"/>
              <w:spacing w:after="0"/>
              <w:rPr>
                <w:sz w:val="20"/>
                <w:szCs w:val="20"/>
                <w:color w:val="auto"/>
              </w:rPr>
            </w:pPr>
            <w:r>
              <w:rPr>
                <w:rFonts w:ascii="Arial" w:cs="Arial" w:eastAsia="Arial" w:hAnsi="Arial"/>
                <w:sz w:val="20"/>
                <w:szCs w:val="20"/>
                <w:color w:val="auto"/>
              </w:rPr>
              <w:t>20-F  001-38067</w:t>
            </w:r>
          </w:p>
        </w:tc>
        <w:tc>
          <w:tcPr>
            <w:tcW w:w="960" w:type="dxa"/>
            <w:vAlign w:val="bottom"/>
          </w:tcPr>
          <w:p>
            <w:pPr>
              <w:jc w:val="right"/>
              <w:spacing w:after="0"/>
              <w:rPr>
                <w:sz w:val="20"/>
                <w:szCs w:val="20"/>
                <w:color w:val="auto"/>
              </w:rPr>
            </w:pPr>
            <w:r>
              <w:rPr>
                <w:rFonts w:ascii="Arial" w:cs="Arial" w:eastAsia="Arial" w:hAnsi="Arial"/>
                <w:sz w:val="20"/>
                <w:szCs w:val="20"/>
                <w:color w:val="auto"/>
              </w:rPr>
              <w:t>4.3.4</w:t>
            </w:r>
          </w:p>
        </w:tc>
        <w:tc>
          <w:tcPr>
            <w:tcW w:w="880" w:type="dxa"/>
            <w:vAlign w:val="bottom"/>
          </w:tcPr>
          <w:p>
            <w:pPr>
              <w:jc w:val="right"/>
              <w:spacing w:after="0"/>
              <w:rPr>
                <w:sz w:val="20"/>
                <w:szCs w:val="20"/>
                <w:color w:val="auto"/>
              </w:rPr>
            </w:pPr>
            <w:r>
              <w:rPr>
                <w:rFonts w:ascii="Arial" w:cs="Arial" w:eastAsia="Arial" w:hAnsi="Arial"/>
                <w:sz w:val="20"/>
                <w:szCs w:val="20"/>
                <w:color w:val="auto"/>
                <w:w w:val="96"/>
              </w:rPr>
              <w:t>2/27/2020</w:t>
            </w:r>
          </w:p>
        </w:tc>
      </w:tr>
      <w:tr>
        <w:trPr>
          <w:trHeight w:val="881"/>
        </w:trPr>
        <w:tc>
          <w:tcPr>
            <w:tcW w:w="1800" w:type="dxa"/>
            <w:vAlign w:val="bottom"/>
            <w:gridSpan w:val="2"/>
          </w:tcPr>
          <w:p>
            <w:pPr>
              <w:jc w:val="right"/>
              <w:ind w:right="161"/>
              <w:spacing w:after="0"/>
              <w:rPr>
                <w:sz w:val="20"/>
                <w:szCs w:val="20"/>
                <w:color w:val="auto"/>
              </w:rPr>
            </w:pPr>
            <w:r>
              <w:rPr>
                <w:rFonts w:ascii="Arial" w:cs="Arial" w:eastAsia="Arial" w:hAnsi="Arial"/>
                <w:sz w:val="20"/>
                <w:szCs w:val="20"/>
                <w:color w:val="auto"/>
              </w:rPr>
              <w:t>20-F  001-38067</w:t>
            </w:r>
          </w:p>
        </w:tc>
        <w:tc>
          <w:tcPr>
            <w:tcW w:w="960" w:type="dxa"/>
            <w:vAlign w:val="bottom"/>
          </w:tcPr>
          <w:p>
            <w:pPr>
              <w:jc w:val="right"/>
              <w:spacing w:after="0"/>
              <w:rPr>
                <w:sz w:val="20"/>
                <w:szCs w:val="20"/>
                <w:color w:val="auto"/>
              </w:rPr>
            </w:pPr>
            <w:r>
              <w:rPr>
                <w:rFonts w:ascii="Arial" w:cs="Arial" w:eastAsia="Arial" w:hAnsi="Arial"/>
                <w:sz w:val="20"/>
                <w:szCs w:val="20"/>
                <w:color w:val="auto"/>
              </w:rPr>
              <w:t>4.3.5</w:t>
            </w:r>
          </w:p>
        </w:tc>
        <w:tc>
          <w:tcPr>
            <w:tcW w:w="880" w:type="dxa"/>
            <w:vAlign w:val="bottom"/>
          </w:tcPr>
          <w:p>
            <w:pPr>
              <w:jc w:val="right"/>
              <w:spacing w:after="0"/>
              <w:rPr>
                <w:sz w:val="20"/>
                <w:szCs w:val="20"/>
                <w:color w:val="auto"/>
              </w:rPr>
            </w:pPr>
            <w:r>
              <w:rPr>
                <w:rFonts w:ascii="Arial" w:cs="Arial" w:eastAsia="Arial" w:hAnsi="Arial"/>
                <w:sz w:val="20"/>
                <w:szCs w:val="20"/>
                <w:color w:val="auto"/>
                <w:w w:val="96"/>
              </w:rPr>
              <w:t>2/27/2020</w:t>
            </w:r>
          </w:p>
        </w:tc>
      </w:tr>
      <w:tr>
        <w:trPr>
          <w:trHeight w:val="672"/>
        </w:trPr>
        <w:tc>
          <w:tcPr>
            <w:tcW w:w="1800" w:type="dxa"/>
            <w:vAlign w:val="bottom"/>
            <w:gridSpan w:val="2"/>
          </w:tcPr>
          <w:p>
            <w:pPr>
              <w:jc w:val="right"/>
              <w:ind w:right="161"/>
              <w:spacing w:after="0"/>
              <w:rPr>
                <w:sz w:val="20"/>
                <w:szCs w:val="20"/>
                <w:color w:val="auto"/>
              </w:rPr>
            </w:pPr>
            <w:r>
              <w:rPr>
                <w:rFonts w:ascii="Arial" w:cs="Arial" w:eastAsia="Arial" w:hAnsi="Arial"/>
                <w:sz w:val="20"/>
                <w:szCs w:val="20"/>
                <w:color w:val="auto"/>
              </w:rPr>
              <w:t>20-F  001-38067</w:t>
            </w:r>
          </w:p>
        </w:tc>
        <w:tc>
          <w:tcPr>
            <w:tcW w:w="960" w:type="dxa"/>
            <w:vAlign w:val="bottom"/>
          </w:tcPr>
          <w:p>
            <w:pPr>
              <w:jc w:val="right"/>
              <w:spacing w:after="0"/>
              <w:rPr>
                <w:sz w:val="20"/>
                <w:szCs w:val="20"/>
                <w:color w:val="auto"/>
              </w:rPr>
            </w:pPr>
            <w:r>
              <w:rPr>
                <w:rFonts w:ascii="Arial" w:cs="Arial" w:eastAsia="Arial" w:hAnsi="Arial"/>
                <w:sz w:val="20"/>
                <w:szCs w:val="20"/>
                <w:color w:val="auto"/>
              </w:rPr>
              <w:t>4.3.6</w:t>
            </w:r>
          </w:p>
        </w:tc>
        <w:tc>
          <w:tcPr>
            <w:tcW w:w="880" w:type="dxa"/>
            <w:vAlign w:val="bottom"/>
          </w:tcPr>
          <w:p>
            <w:pPr>
              <w:jc w:val="right"/>
              <w:spacing w:after="0"/>
              <w:rPr>
                <w:sz w:val="20"/>
                <w:szCs w:val="20"/>
                <w:color w:val="auto"/>
              </w:rPr>
            </w:pPr>
            <w:r>
              <w:rPr>
                <w:rFonts w:ascii="Arial" w:cs="Arial" w:eastAsia="Arial" w:hAnsi="Arial"/>
                <w:sz w:val="20"/>
                <w:szCs w:val="20"/>
                <w:color w:val="auto"/>
                <w:w w:val="96"/>
              </w:rPr>
              <w:t>2/27/2020</w:t>
            </w:r>
          </w:p>
        </w:tc>
      </w:tr>
      <w:tr>
        <w:trPr>
          <w:trHeight w:val="881"/>
        </w:trPr>
        <w:tc>
          <w:tcPr>
            <w:tcW w:w="1800" w:type="dxa"/>
            <w:vAlign w:val="bottom"/>
            <w:gridSpan w:val="2"/>
          </w:tcPr>
          <w:p>
            <w:pPr>
              <w:jc w:val="right"/>
              <w:ind w:right="161"/>
              <w:spacing w:after="0"/>
              <w:rPr>
                <w:sz w:val="20"/>
                <w:szCs w:val="20"/>
                <w:color w:val="auto"/>
              </w:rPr>
            </w:pPr>
            <w:r>
              <w:rPr>
                <w:rFonts w:ascii="Arial" w:cs="Arial" w:eastAsia="Arial" w:hAnsi="Arial"/>
                <w:sz w:val="20"/>
                <w:szCs w:val="20"/>
                <w:color w:val="auto"/>
              </w:rPr>
              <w:t>10-K  001-38067</w:t>
            </w:r>
          </w:p>
        </w:tc>
        <w:tc>
          <w:tcPr>
            <w:tcW w:w="960" w:type="dxa"/>
            <w:vAlign w:val="bottom"/>
          </w:tcPr>
          <w:p>
            <w:pPr>
              <w:jc w:val="right"/>
              <w:spacing w:after="0"/>
              <w:rPr>
                <w:sz w:val="20"/>
                <w:szCs w:val="20"/>
                <w:color w:val="auto"/>
              </w:rPr>
            </w:pPr>
            <w:r>
              <w:rPr>
                <w:rFonts w:ascii="Arial" w:cs="Arial" w:eastAsia="Arial" w:hAnsi="Arial"/>
                <w:sz w:val="20"/>
                <w:szCs w:val="20"/>
                <w:color w:val="auto"/>
              </w:rPr>
              <w:t>10.4.7</w:t>
            </w:r>
          </w:p>
        </w:tc>
        <w:tc>
          <w:tcPr>
            <w:tcW w:w="880" w:type="dxa"/>
            <w:vAlign w:val="bottom"/>
          </w:tcPr>
          <w:p>
            <w:pPr>
              <w:jc w:val="right"/>
              <w:spacing w:after="0"/>
              <w:rPr>
                <w:sz w:val="20"/>
                <w:szCs w:val="20"/>
                <w:color w:val="auto"/>
              </w:rPr>
            </w:pPr>
            <w:r>
              <w:rPr>
                <w:rFonts w:ascii="Arial" w:cs="Arial" w:eastAsia="Arial" w:hAnsi="Arial"/>
                <w:sz w:val="20"/>
                <w:szCs w:val="20"/>
                <w:color w:val="auto"/>
              </w:rPr>
              <w:t>3/7/2022</w:t>
            </w:r>
          </w:p>
        </w:tc>
      </w:tr>
      <w:tr>
        <w:trPr>
          <w:trHeight w:val="881"/>
        </w:trPr>
        <w:tc>
          <w:tcPr>
            <w:tcW w:w="1800" w:type="dxa"/>
            <w:vAlign w:val="bottom"/>
            <w:gridSpan w:val="2"/>
          </w:tcPr>
          <w:p>
            <w:pPr>
              <w:jc w:val="right"/>
              <w:ind w:right="161"/>
              <w:spacing w:after="0"/>
              <w:rPr>
                <w:sz w:val="20"/>
                <w:szCs w:val="20"/>
                <w:color w:val="auto"/>
              </w:rPr>
            </w:pPr>
            <w:r>
              <w:rPr>
                <w:rFonts w:ascii="Arial" w:cs="Arial" w:eastAsia="Arial" w:hAnsi="Arial"/>
                <w:sz w:val="20"/>
                <w:szCs w:val="20"/>
                <w:color w:val="auto"/>
              </w:rPr>
              <w:t>10-K  001-38067</w:t>
            </w:r>
          </w:p>
        </w:tc>
        <w:tc>
          <w:tcPr>
            <w:tcW w:w="960" w:type="dxa"/>
            <w:vAlign w:val="bottom"/>
          </w:tcPr>
          <w:p>
            <w:pPr>
              <w:jc w:val="right"/>
              <w:spacing w:after="0"/>
              <w:rPr>
                <w:sz w:val="20"/>
                <w:szCs w:val="20"/>
                <w:color w:val="auto"/>
              </w:rPr>
            </w:pPr>
            <w:r>
              <w:rPr>
                <w:rFonts w:ascii="Arial" w:cs="Arial" w:eastAsia="Arial" w:hAnsi="Arial"/>
                <w:sz w:val="20"/>
                <w:szCs w:val="20"/>
                <w:color w:val="auto"/>
              </w:rPr>
              <w:t>10.4.8</w:t>
            </w:r>
          </w:p>
        </w:tc>
        <w:tc>
          <w:tcPr>
            <w:tcW w:w="880" w:type="dxa"/>
            <w:vAlign w:val="bottom"/>
          </w:tcPr>
          <w:p>
            <w:pPr>
              <w:jc w:val="right"/>
              <w:spacing w:after="0"/>
              <w:rPr>
                <w:sz w:val="20"/>
                <w:szCs w:val="20"/>
                <w:color w:val="auto"/>
              </w:rPr>
            </w:pPr>
            <w:r>
              <w:rPr>
                <w:rFonts w:ascii="Arial" w:cs="Arial" w:eastAsia="Arial" w:hAnsi="Arial"/>
                <w:sz w:val="20"/>
                <w:szCs w:val="20"/>
                <w:color w:val="auto"/>
              </w:rPr>
              <w:t>3/7/2022</w:t>
            </w:r>
          </w:p>
        </w:tc>
      </w:tr>
      <w:tr>
        <w:trPr>
          <w:trHeight w:val="672"/>
        </w:trPr>
        <w:tc>
          <w:tcPr>
            <w:tcW w:w="580" w:type="dxa"/>
            <w:vAlign w:val="bottom"/>
          </w:tcPr>
          <w:p>
            <w:pPr>
              <w:jc w:val="right"/>
              <w:ind w:right="21"/>
              <w:spacing w:after="0"/>
              <w:rPr>
                <w:sz w:val="20"/>
                <w:szCs w:val="20"/>
                <w:color w:val="auto"/>
              </w:rPr>
            </w:pPr>
            <w:r>
              <w:rPr>
                <w:rFonts w:ascii="Arial" w:cs="Arial" w:eastAsia="Arial" w:hAnsi="Arial"/>
                <w:sz w:val="20"/>
                <w:szCs w:val="20"/>
                <w:color w:val="auto"/>
              </w:rPr>
              <w:t>10-K</w:t>
            </w:r>
          </w:p>
        </w:tc>
        <w:tc>
          <w:tcPr>
            <w:tcW w:w="1220" w:type="dxa"/>
            <w:vAlign w:val="bottom"/>
          </w:tcPr>
          <w:p>
            <w:pPr>
              <w:jc w:val="right"/>
              <w:ind w:right="161"/>
              <w:spacing w:after="0"/>
              <w:rPr>
                <w:sz w:val="20"/>
                <w:szCs w:val="20"/>
                <w:color w:val="auto"/>
              </w:rPr>
            </w:pPr>
            <w:r>
              <w:rPr>
                <w:rFonts w:ascii="Arial" w:cs="Arial" w:eastAsia="Arial" w:hAnsi="Arial"/>
                <w:sz w:val="20"/>
                <w:szCs w:val="20"/>
                <w:color w:val="auto"/>
                <w:w w:val="98"/>
              </w:rPr>
              <w:t>001-38067</w:t>
            </w:r>
          </w:p>
        </w:tc>
        <w:tc>
          <w:tcPr>
            <w:tcW w:w="960" w:type="dxa"/>
            <w:vAlign w:val="bottom"/>
          </w:tcPr>
          <w:p>
            <w:pPr>
              <w:jc w:val="right"/>
              <w:spacing w:after="0"/>
              <w:rPr>
                <w:sz w:val="20"/>
                <w:szCs w:val="20"/>
                <w:color w:val="auto"/>
              </w:rPr>
            </w:pPr>
            <w:r>
              <w:rPr>
                <w:rFonts w:ascii="Arial" w:cs="Arial" w:eastAsia="Arial" w:hAnsi="Arial"/>
                <w:sz w:val="20"/>
                <w:szCs w:val="20"/>
                <w:color w:val="auto"/>
              </w:rPr>
              <w:t>10.4.9</w:t>
            </w:r>
          </w:p>
        </w:tc>
        <w:tc>
          <w:tcPr>
            <w:tcW w:w="880" w:type="dxa"/>
            <w:vAlign w:val="bottom"/>
          </w:tcPr>
          <w:p>
            <w:pPr>
              <w:jc w:val="right"/>
              <w:spacing w:after="0"/>
              <w:rPr>
                <w:sz w:val="20"/>
                <w:szCs w:val="20"/>
                <w:color w:val="auto"/>
              </w:rPr>
            </w:pPr>
            <w:r>
              <w:rPr>
                <w:rFonts w:ascii="Arial" w:cs="Arial" w:eastAsia="Arial" w:hAnsi="Arial"/>
                <w:sz w:val="20"/>
                <w:szCs w:val="20"/>
                <w:color w:val="auto"/>
              </w:rPr>
              <w:t>3/7/2022</w:t>
            </w:r>
          </w:p>
        </w:tc>
      </w:tr>
      <w:tr>
        <w:trPr>
          <w:trHeight w:val="672"/>
        </w:trPr>
        <w:tc>
          <w:tcPr>
            <w:tcW w:w="580" w:type="dxa"/>
            <w:vAlign w:val="bottom"/>
          </w:tcPr>
          <w:p>
            <w:pPr>
              <w:jc w:val="right"/>
              <w:ind w:right="21"/>
              <w:spacing w:after="0"/>
              <w:rPr>
                <w:sz w:val="20"/>
                <w:szCs w:val="20"/>
                <w:color w:val="auto"/>
              </w:rPr>
            </w:pPr>
            <w:r>
              <w:rPr>
                <w:rFonts w:ascii="Arial" w:cs="Arial" w:eastAsia="Arial" w:hAnsi="Arial"/>
                <w:sz w:val="20"/>
                <w:szCs w:val="20"/>
                <w:color w:val="auto"/>
              </w:rPr>
              <w:t>8-K</w:t>
            </w:r>
          </w:p>
        </w:tc>
        <w:tc>
          <w:tcPr>
            <w:tcW w:w="1220" w:type="dxa"/>
            <w:vAlign w:val="bottom"/>
          </w:tcPr>
          <w:p>
            <w:pPr>
              <w:jc w:val="right"/>
              <w:ind w:right="161"/>
              <w:spacing w:after="0"/>
              <w:rPr>
                <w:sz w:val="20"/>
                <w:szCs w:val="20"/>
                <w:color w:val="auto"/>
              </w:rPr>
            </w:pPr>
            <w:r>
              <w:rPr>
                <w:rFonts w:ascii="Arial" w:cs="Arial" w:eastAsia="Arial" w:hAnsi="Arial"/>
                <w:sz w:val="20"/>
                <w:szCs w:val="20"/>
                <w:color w:val="auto"/>
                <w:w w:val="98"/>
              </w:rPr>
              <w:t>001-38067</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10.1</w:t>
            </w:r>
          </w:p>
        </w:tc>
        <w:tc>
          <w:tcPr>
            <w:tcW w:w="880" w:type="dxa"/>
            <w:vAlign w:val="bottom"/>
          </w:tcPr>
          <w:p>
            <w:pPr>
              <w:jc w:val="right"/>
              <w:spacing w:after="0"/>
              <w:rPr>
                <w:sz w:val="20"/>
                <w:szCs w:val="20"/>
                <w:color w:val="auto"/>
              </w:rPr>
            </w:pPr>
            <w:r>
              <w:rPr>
                <w:rFonts w:ascii="Arial" w:cs="Arial" w:eastAsia="Arial" w:hAnsi="Arial"/>
                <w:sz w:val="20"/>
                <w:szCs w:val="20"/>
                <w:color w:val="auto"/>
              </w:rPr>
              <w:t>9/1/2023</w:t>
            </w:r>
          </w:p>
        </w:tc>
      </w:tr>
      <w:tr>
        <w:trPr>
          <w:trHeight w:val="284"/>
        </w:trPr>
        <w:tc>
          <w:tcPr>
            <w:tcW w:w="1800" w:type="dxa"/>
            <w:vAlign w:val="bottom"/>
            <w:gridSpan w:val="2"/>
          </w:tcPr>
          <w:p>
            <w:pPr>
              <w:jc w:val="right"/>
              <w:ind w:right="161"/>
              <w:spacing w:after="0"/>
              <w:rPr>
                <w:sz w:val="20"/>
                <w:szCs w:val="20"/>
                <w:color w:val="auto"/>
              </w:rPr>
            </w:pPr>
            <w:r>
              <w:rPr>
                <w:rFonts w:ascii="Arial" w:cs="Arial" w:eastAsia="Arial" w:hAnsi="Arial"/>
                <w:sz w:val="20"/>
                <w:szCs w:val="20"/>
                <w:color w:val="auto"/>
              </w:rPr>
              <w:t>F-1 333-217124</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10.4</w:t>
            </w:r>
          </w:p>
        </w:tc>
        <w:tc>
          <w:tcPr>
            <w:tcW w:w="880" w:type="dxa"/>
            <w:vAlign w:val="bottom"/>
          </w:tcPr>
          <w:p>
            <w:pPr>
              <w:jc w:val="right"/>
              <w:spacing w:after="0"/>
              <w:rPr>
                <w:sz w:val="20"/>
                <w:szCs w:val="20"/>
                <w:color w:val="auto"/>
              </w:rPr>
            </w:pPr>
            <w:r>
              <w:rPr>
                <w:rFonts w:ascii="Arial" w:cs="Arial" w:eastAsia="Arial" w:hAnsi="Arial"/>
                <w:sz w:val="20"/>
                <w:szCs w:val="20"/>
                <w:color w:val="auto"/>
              </w:rPr>
              <w:t>4/3/2017</w:t>
            </w:r>
          </w:p>
        </w:tc>
      </w:tr>
      <w:tr>
        <w:trPr>
          <w:trHeight w:val="463"/>
        </w:trPr>
        <w:tc>
          <w:tcPr>
            <w:tcW w:w="1800" w:type="dxa"/>
            <w:vAlign w:val="bottom"/>
            <w:gridSpan w:val="2"/>
          </w:tcPr>
          <w:p>
            <w:pPr>
              <w:jc w:val="right"/>
              <w:ind w:right="161"/>
              <w:spacing w:after="0"/>
              <w:rPr>
                <w:sz w:val="20"/>
                <w:szCs w:val="20"/>
                <w:color w:val="auto"/>
              </w:rPr>
            </w:pPr>
            <w:r>
              <w:rPr>
                <w:rFonts w:ascii="Arial" w:cs="Arial" w:eastAsia="Arial" w:hAnsi="Arial"/>
                <w:sz w:val="20"/>
                <w:szCs w:val="20"/>
                <w:color w:val="auto"/>
              </w:rPr>
              <w:t>F-1 333-217124</w:t>
            </w: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10.5</w:t>
            </w:r>
          </w:p>
        </w:tc>
        <w:tc>
          <w:tcPr>
            <w:tcW w:w="880" w:type="dxa"/>
            <w:vAlign w:val="bottom"/>
          </w:tcPr>
          <w:p>
            <w:pPr>
              <w:jc w:val="right"/>
              <w:spacing w:after="0"/>
              <w:rPr>
                <w:sz w:val="20"/>
                <w:szCs w:val="20"/>
                <w:color w:val="auto"/>
              </w:rPr>
            </w:pPr>
            <w:r>
              <w:rPr>
                <w:rFonts w:ascii="Arial" w:cs="Arial" w:eastAsia="Arial" w:hAnsi="Arial"/>
                <w:sz w:val="20"/>
                <w:szCs w:val="20"/>
                <w:color w:val="auto"/>
              </w:rPr>
              <w:t>4/3/2017</w:t>
            </w:r>
          </w:p>
        </w:tc>
      </w:tr>
      <w:tr>
        <w:trPr>
          <w:trHeight w:val="463"/>
        </w:trPr>
        <w:tc>
          <w:tcPr>
            <w:tcW w:w="1800" w:type="dxa"/>
            <w:vAlign w:val="bottom"/>
            <w:gridSpan w:val="2"/>
          </w:tcPr>
          <w:p>
            <w:pPr>
              <w:jc w:val="right"/>
              <w:ind w:right="161"/>
              <w:spacing w:after="0"/>
              <w:rPr>
                <w:sz w:val="20"/>
                <w:szCs w:val="20"/>
                <w:color w:val="auto"/>
              </w:rPr>
            </w:pPr>
            <w:r>
              <w:rPr>
                <w:rFonts w:ascii="Arial" w:cs="Arial" w:eastAsia="Arial" w:hAnsi="Arial"/>
                <w:sz w:val="20"/>
                <w:szCs w:val="20"/>
                <w:color w:val="auto"/>
              </w:rPr>
              <w:t>8-K  001-38067</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10.1</w:t>
            </w:r>
          </w:p>
        </w:tc>
        <w:tc>
          <w:tcPr>
            <w:tcW w:w="880" w:type="dxa"/>
            <w:vAlign w:val="bottom"/>
          </w:tcPr>
          <w:p>
            <w:pPr>
              <w:jc w:val="right"/>
              <w:spacing w:after="0"/>
              <w:rPr>
                <w:sz w:val="20"/>
                <w:szCs w:val="20"/>
                <w:color w:val="auto"/>
              </w:rPr>
            </w:pPr>
            <w:r>
              <w:rPr>
                <w:rFonts w:ascii="Arial" w:cs="Arial" w:eastAsia="Arial" w:hAnsi="Arial"/>
                <w:sz w:val="20"/>
                <w:szCs w:val="20"/>
                <w:color w:val="auto"/>
              </w:rPr>
              <w:t>5/1/2023</w:t>
            </w:r>
          </w:p>
        </w:tc>
      </w:tr>
      <w:tr>
        <w:trPr>
          <w:trHeight w:val="672"/>
        </w:trPr>
        <w:tc>
          <w:tcPr>
            <w:tcW w:w="1800" w:type="dxa"/>
            <w:vAlign w:val="bottom"/>
            <w:gridSpan w:val="2"/>
          </w:tcPr>
          <w:p>
            <w:pPr>
              <w:jc w:val="right"/>
              <w:ind w:right="161"/>
              <w:spacing w:after="0"/>
              <w:rPr>
                <w:sz w:val="20"/>
                <w:szCs w:val="20"/>
                <w:color w:val="auto"/>
              </w:rPr>
            </w:pPr>
            <w:r>
              <w:rPr>
                <w:rFonts w:ascii="Arial" w:cs="Arial" w:eastAsia="Arial" w:hAnsi="Arial"/>
                <w:sz w:val="20"/>
                <w:szCs w:val="20"/>
                <w:color w:val="auto"/>
              </w:rPr>
              <w:t>20-F  001-38067</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4.7</w:t>
            </w:r>
          </w:p>
        </w:tc>
        <w:tc>
          <w:tcPr>
            <w:tcW w:w="880" w:type="dxa"/>
            <w:vAlign w:val="bottom"/>
          </w:tcPr>
          <w:p>
            <w:pPr>
              <w:jc w:val="right"/>
              <w:spacing w:after="0"/>
              <w:rPr>
                <w:sz w:val="20"/>
                <w:szCs w:val="20"/>
                <w:color w:val="auto"/>
              </w:rPr>
            </w:pPr>
            <w:r>
              <w:rPr>
                <w:rFonts w:ascii="Arial" w:cs="Arial" w:eastAsia="Arial" w:hAnsi="Arial"/>
                <w:sz w:val="20"/>
                <w:szCs w:val="20"/>
                <w:color w:val="auto"/>
                <w:w w:val="96"/>
              </w:rPr>
              <w:t>2/27/2020</w:t>
            </w:r>
          </w:p>
        </w:tc>
      </w:tr>
      <w:tr>
        <w:trPr>
          <w:trHeight w:val="672"/>
        </w:trPr>
        <w:tc>
          <w:tcPr>
            <w:tcW w:w="580" w:type="dxa"/>
            <w:vAlign w:val="bottom"/>
          </w:tcPr>
          <w:p>
            <w:pPr>
              <w:jc w:val="right"/>
              <w:ind w:right="21"/>
              <w:spacing w:after="0"/>
              <w:rPr>
                <w:sz w:val="20"/>
                <w:szCs w:val="20"/>
                <w:color w:val="auto"/>
              </w:rPr>
            </w:pPr>
            <w:r>
              <w:rPr>
                <w:rFonts w:ascii="Arial" w:cs="Arial" w:eastAsia="Arial" w:hAnsi="Arial"/>
                <w:sz w:val="20"/>
                <w:szCs w:val="20"/>
                <w:color w:val="auto"/>
              </w:rPr>
              <w:t>20-F</w:t>
            </w:r>
          </w:p>
        </w:tc>
        <w:tc>
          <w:tcPr>
            <w:tcW w:w="1220" w:type="dxa"/>
            <w:vAlign w:val="bottom"/>
          </w:tcPr>
          <w:p>
            <w:pPr>
              <w:jc w:val="right"/>
              <w:ind w:right="161"/>
              <w:spacing w:after="0"/>
              <w:rPr>
                <w:sz w:val="20"/>
                <w:szCs w:val="20"/>
                <w:color w:val="auto"/>
              </w:rPr>
            </w:pPr>
            <w:r>
              <w:rPr>
                <w:rFonts w:ascii="Arial" w:cs="Arial" w:eastAsia="Arial" w:hAnsi="Arial"/>
                <w:sz w:val="20"/>
                <w:szCs w:val="20"/>
                <w:color w:val="auto"/>
                <w:w w:val="98"/>
              </w:rPr>
              <w:t>001-38067</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4.8</w:t>
            </w:r>
          </w:p>
        </w:tc>
        <w:tc>
          <w:tcPr>
            <w:tcW w:w="880" w:type="dxa"/>
            <w:vAlign w:val="bottom"/>
          </w:tcPr>
          <w:p>
            <w:pPr>
              <w:jc w:val="right"/>
              <w:spacing w:after="0"/>
              <w:rPr>
                <w:sz w:val="20"/>
                <w:szCs w:val="20"/>
                <w:color w:val="auto"/>
              </w:rPr>
            </w:pPr>
            <w:r>
              <w:rPr>
                <w:rFonts w:ascii="Arial" w:cs="Arial" w:eastAsia="Arial" w:hAnsi="Arial"/>
                <w:sz w:val="20"/>
                <w:szCs w:val="20"/>
                <w:color w:val="auto"/>
                <w:w w:val="96"/>
              </w:rPr>
              <w:t>3/19/2019</w:t>
            </w:r>
          </w:p>
        </w:tc>
      </w:tr>
      <w:tr>
        <w:trPr>
          <w:trHeight w:val="672"/>
        </w:trPr>
        <w:tc>
          <w:tcPr>
            <w:tcW w:w="1800" w:type="dxa"/>
            <w:vAlign w:val="bottom"/>
            <w:gridSpan w:val="2"/>
          </w:tcPr>
          <w:p>
            <w:pPr>
              <w:jc w:val="right"/>
              <w:ind w:right="161"/>
              <w:spacing w:after="0"/>
              <w:rPr>
                <w:sz w:val="20"/>
                <w:szCs w:val="20"/>
                <w:color w:val="auto"/>
              </w:rPr>
            </w:pPr>
            <w:r>
              <w:rPr>
                <w:rFonts w:ascii="Arial" w:cs="Arial" w:eastAsia="Arial" w:hAnsi="Arial"/>
                <w:sz w:val="20"/>
                <w:szCs w:val="20"/>
                <w:color w:val="auto"/>
              </w:rPr>
              <w:t>F-1 333-217124</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10.9</w:t>
            </w:r>
          </w:p>
        </w:tc>
        <w:tc>
          <w:tcPr>
            <w:tcW w:w="880" w:type="dxa"/>
            <w:vAlign w:val="bottom"/>
          </w:tcPr>
          <w:p>
            <w:pPr>
              <w:jc w:val="right"/>
              <w:spacing w:after="0"/>
              <w:rPr>
                <w:sz w:val="20"/>
                <w:szCs w:val="20"/>
                <w:color w:val="auto"/>
              </w:rPr>
            </w:pPr>
            <w:r>
              <w:rPr>
                <w:rFonts w:ascii="Arial" w:cs="Arial" w:eastAsia="Arial" w:hAnsi="Arial"/>
                <w:sz w:val="20"/>
                <w:szCs w:val="20"/>
                <w:color w:val="auto"/>
              </w:rPr>
              <w:t>4/3/2017</w:t>
            </w:r>
          </w:p>
        </w:tc>
      </w:tr>
      <w:tr>
        <w:trPr>
          <w:trHeight w:val="672"/>
        </w:trPr>
        <w:tc>
          <w:tcPr>
            <w:tcW w:w="1800" w:type="dxa"/>
            <w:vAlign w:val="bottom"/>
            <w:gridSpan w:val="2"/>
          </w:tcPr>
          <w:p>
            <w:pPr>
              <w:jc w:val="right"/>
              <w:ind w:right="161"/>
              <w:spacing w:after="0"/>
              <w:rPr>
                <w:sz w:val="20"/>
                <w:szCs w:val="20"/>
                <w:color w:val="auto"/>
              </w:rPr>
            </w:pPr>
            <w:r>
              <w:rPr>
                <w:rFonts w:ascii="Arial" w:cs="Arial" w:eastAsia="Arial" w:hAnsi="Arial"/>
                <w:sz w:val="20"/>
                <w:szCs w:val="20"/>
                <w:color w:val="auto"/>
              </w:rPr>
              <w:t>F-1 333-247928</w:t>
            </w:r>
          </w:p>
        </w:tc>
        <w:tc>
          <w:tcPr>
            <w:tcW w:w="960" w:type="dxa"/>
            <w:vAlign w:val="bottom"/>
          </w:tcPr>
          <w:p>
            <w:pPr>
              <w:jc w:val="right"/>
              <w:ind w:right="61"/>
              <w:spacing w:after="0"/>
              <w:rPr>
                <w:sz w:val="20"/>
                <w:szCs w:val="20"/>
                <w:color w:val="auto"/>
              </w:rPr>
            </w:pPr>
            <w:r>
              <w:rPr>
                <w:rFonts w:ascii="Arial" w:cs="Arial" w:eastAsia="Arial" w:hAnsi="Arial"/>
                <w:sz w:val="20"/>
                <w:szCs w:val="20"/>
                <w:color w:val="auto"/>
              </w:rPr>
              <w:t>10.12</w:t>
            </w:r>
          </w:p>
        </w:tc>
        <w:tc>
          <w:tcPr>
            <w:tcW w:w="880" w:type="dxa"/>
            <w:vAlign w:val="bottom"/>
          </w:tcPr>
          <w:p>
            <w:pPr>
              <w:jc w:val="right"/>
              <w:spacing w:after="0"/>
              <w:rPr>
                <w:sz w:val="20"/>
                <w:szCs w:val="20"/>
                <w:color w:val="auto"/>
              </w:rPr>
            </w:pPr>
            <w:r>
              <w:rPr>
                <w:rFonts w:ascii="Arial" w:cs="Arial" w:eastAsia="Arial" w:hAnsi="Arial"/>
                <w:sz w:val="20"/>
                <w:szCs w:val="20"/>
                <w:color w:val="auto"/>
                <w:w w:val="96"/>
              </w:rPr>
              <w:t>8/17/2020</w:t>
            </w:r>
          </w:p>
        </w:tc>
      </w:tr>
      <w:tr>
        <w:trPr>
          <w:trHeight w:val="463"/>
        </w:trPr>
        <w:tc>
          <w:tcPr>
            <w:tcW w:w="1800" w:type="dxa"/>
            <w:vAlign w:val="bottom"/>
            <w:gridSpan w:val="2"/>
          </w:tcPr>
          <w:p>
            <w:pPr>
              <w:jc w:val="right"/>
              <w:ind w:right="161"/>
              <w:spacing w:after="0"/>
              <w:rPr>
                <w:sz w:val="20"/>
                <w:szCs w:val="20"/>
                <w:color w:val="auto"/>
              </w:rPr>
            </w:pPr>
            <w:r>
              <w:rPr>
                <w:rFonts w:ascii="Arial" w:cs="Arial" w:eastAsia="Arial" w:hAnsi="Arial"/>
                <w:sz w:val="20"/>
                <w:szCs w:val="20"/>
                <w:color w:val="auto"/>
                <w:w w:val="94"/>
              </w:rPr>
              <w:t>F-1/A 333-217124</w:t>
            </w:r>
          </w:p>
        </w:tc>
        <w:tc>
          <w:tcPr>
            <w:tcW w:w="960" w:type="dxa"/>
            <w:vAlign w:val="bottom"/>
          </w:tcPr>
          <w:p>
            <w:pPr>
              <w:jc w:val="right"/>
              <w:spacing w:after="0"/>
              <w:rPr>
                <w:sz w:val="20"/>
                <w:szCs w:val="20"/>
                <w:color w:val="auto"/>
              </w:rPr>
            </w:pPr>
            <w:r>
              <w:rPr>
                <w:rFonts w:ascii="Arial" w:cs="Arial" w:eastAsia="Arial" w:hAnsi="Arial"/>
                <w:sz w:val="20"/>
                <w:szCs w:val="20"/>
                <w:color w:val="auto"/>
              </w:rPr>
              <w:t>10.11.1</w:t>
            </w:r>
          </w:p>
        </w:tc>
        <w:tc>
          <w:tcPr>
            <w:tcW w:w="880" w:type="dxa"/>
            <w:vAlign w:val="bottom"/>
          </w:tcPr>
          <w:p>
            <w:pPr>
              <w:jc w:val="right"/>
              <w:spacing w:after="0"/>
              <w:rPr>
                <w:sz w:val="20"/>
                <w:szCs w:val="20"/>
                <w:color w:val="auto"/>
              </w:rPr>
            </w:pPr>
            <w:r>
              <w:rPr>
                <w:rFonts w:ascii="Arial" w:cs="Arial" w:eastAsia="Arial" w:hAnsi="Arial"/>
                <w:sz w:val="20"/>
                <w:szCs w:val="20"/>
                <w:color w:val="auto"/>
                <w:w w:val="96"/>
              </w:rPr>
              <w:t>4/18/2017</w:t>
            </w:r>
          </w:p>
        </w:tc>
      </w:tr>
      <w:tr>
        <w:trPr>
          <w:trHeight w:val="463"/>
        </w:trPr>
        <w:tc>
          <w:tcPr>
            <w:tcW w:w="1800" w:type="dxa"/>
            <w:vAlign w:val="bottom"/>
            <w:gridSpan w:val="2"/>
          </w:tcPr>
          <w:p>
            <w:pPr>
              <w:jc w:val="right"/>
              <w:ind w:right="161"/>
              <w:spacing w:after="0"/>
              <w:rPr>
                <w:sz w:val="20"/>
                <w:szCs w:val="20"/>
                <w:color w:val="auto"/>
              </w:rPr>
            </w:pPr>
            <w:r>
              <w:rPr>
                <w:rFonts w:ascii="Arial" w:cs="Arial" w:eastAsia="Arial" w:hAnsi="Arial"/>
                <w:sz w:val="20"/>
                <w:szCs w:val="20"/>
                <w:color w:val="auto"/>
                <w:w w:val="94"/>
              </w:rPr>
              <w:t>F-1/A 333-217124</w:t>
            </w:r>
          </w:p>
        </w:tc>
        <w:tc>
          <w:tcPr>
            <w:tcW w:w="960" w:type="dxa"/>
            <w:vAlign w:val="bottom"/>
          </w:tcPr>
          <w:p>
            <w:pPr>
              <w:jc w:val="right"/>
              <w:spacing w:after="0"/>
              <w:rPr>
                <w:sz w:val="20"/>
                <w:szCs w:val="20"/>
                <w:color w:val="auto"/>
              </w:rPr>
            </w:pPr>
            <w:r>
              <w:rPr>
                <w:rFonts w:ascii="Arial" w:cs="Arial" w:eastAsia="Arial" w:hAnsi="Arial"/>
                <w:sz w:val="20"/>
                <w:szCs w:val="20"/>
                <w:color w:val="auto"/>
              </w:rPr>
              <w:t>10.11.2</w:t>
            </w:r>
          </w:p>
        </w:tc>
        <w:tc>
          <w:tcPr>
            <w:tcW w:w="880" w:type="dxa"/>
            <w:vAlign w:val="bottom"/>
          </w:tcPr>
          <w:p>
            <w:pPr>
              <w:jc w:val="right"/>
              <w:spacing w:after="0"/>
              <w:rPr>
                <w:sz w:val="20"/>
                <w:szCs w:val="20"/>
                <w:color w:val="auto"/>
              </w:rPr>
            </w:pPr>
            <w:r>
              <w:rPr>
                <w:rFonts w:ascii="Arial" w:cs="Arial" w:eastAsia="Arial" w:hAnsi="Arial"/>
                <w:sz w:val="20"/>
                <w:szCs w:val="20"/>
                <w:color w:val="auto"/>
                <w:w w:val="96"/>
              </w:rPr>
              <w:t>4/18/2017</w:t>
            </w:r>
          </w:p>
        </w:tc>
      </w:tr>
      <w:tr>
        <w:trPr>
          <w:trHeight w:val="463"/>
        </w:trPr>
        <w:tc>
          <w:tcPr>
            <w:tcW w:w="580" w:type="dxa"/>
            <w:vAlign w:val="bottom"/>
          </w:tcPr>
          <w:p>
            <w:pPr>
              <w:jc w:val="right"/>
              <w:ind w:right="21"/>
              <w:spacing w:after="0"/>
              <w:rPr>
                <w:sz w:val="20"/>
                <w:szCs w:val="20"/>
                <w:color w:val="auto"/>
              </w:rPr>
            </w:pPr>
            <w:r>
              <w:rPr>
                <w:rFonts w:ascii="Arial" w:cs="Arial" w:eastAsia="Arial" w:hAnsi="Arial"/>
                <w:sz w:val="20"/>
                <w:szCs w:val="20"/>
                <w:color w:val="auto"/>
              </w:rPr>
              <w:t>8-K</w:t>
            </w:r>
          </w:p>
        </w:tc>
        <w:tc>
          <w:tcPr>
            <w:tcW w:w="1220" w:type="dxa"/>
            <w:vAlign w:val="bottom"/>
          </w:tcPr>
          <w:p>
            <w:pPr>
              <w:jc w:val="right"/>
              <w:ind w:right="161"/>
              <w:spacing w:after="0"/>
              <w:rPr>
                <w:sz w:val="20"/>
                <w:szCs w:val="20"/>
                <w:color w:val="auto"/>
              </w:rPr>
            </w:pPr>
            <w:r>
              <w:rPr>
                <w:rFonts w:ascii="Arial" w:cs="Arial" w:eastAsia="Arial" w:hAnsi="Arial"/>
                <w:sz w:val="20"/>
                <w:szCs w:val="20"/>
                <w:color w:val="auto"/>
                <w:w w:val="98"/>
              </w:rPr>
              <w:t>001-39067</w:t>
            </w:r>
          </w:p>
        </w:tc>
        <w:tc>
          <w:tcPr>
            <w:tcW w:w="960" w:type="dxa"/>
            <w:vAlign w:val="bottom"/>
          </w:tcPr>
          <w:p>
            <w:pPr>
              <w:jc w:val="right"/>
              <w:ind w:right="21"/>
              <w:spacing w:after="0"/>
              <w:rPr>
                <w:sz w:val="20"/>
                <w:szCs w:val="20"/>
                <w:color w:val="auto"/>
              </w:rPr>
            </w:pPr>
            <w:r>
              <w:rPr>
                <w:rFonts w:ascii="Arial" w:cs="Arial" w:eastAsia="Arial" w:hAnsi="Arial"/>
                <w:sz w:val="20"/>
                <w:szCs w:val="20"/>
                <w:color w:val="auto"/>
              </w:rPr>
              <w:t>10.1</w:t>
            </w:r>
          </w:p>
        </w:tc>
        <w:tc>
          <w:tcPr>
            <w:tcW w:w="880" w:type="dxa"/>
            <w:vAlign w:val="bottom"/>
          </w:tcPr>
          <w:p>
            <w:pPr>
              <w:jc w:val="right"/>
              <w:spacing w:after="0"/>
              <w:rPr>
                <w:sz w:val="20"/>
                <w:szCs w:val="20"/>
                <w:color w:val="auto"/>
              </w:rPr>
            </w:pPr>
            <w:r>
              <w:rPr>
                <w:rFonts w:ascii="Arial" w:cs="Arial" w:eastAsia="Arial" w:hAnsi="Arial"/>
                <w:sz w:val="20"/>
                <w:szCs w:val="20"/>
                <w:color w:val="auto"/>
                <w:w w:val="96"/>
              </w:rPr>
              <w:t>8/11/2021</w:t>
            </w:r>
          </w:p>
        </w:tc>
      </w:tr>
    </w:tbl>
    <w:p>
      <w:pPr>
        <w:spacing w:after="0" w:line="201" w:lineRule="exact"/>
        <w:rPr>
          <w:sz w:val="20"/>
          <w:szCs w:val="20"/>
          <w:color w:val="auto"/>
        </w:rPr>
      </w:pPr>
    </w:p>
    <w:p>
      <w:pPr>
        <w:sectPr>
          <w:pgSz w:w="11880" w:h="15480" w:orient="portrait"/>
          <w:cols w:equalWidth="0" w:num="2">
            <w:col w:w="4540" w:space="240"/>
            <w:col w:w="4320"/>
          </w:cols>
          <w:pgMar w:left="13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9100"/>
          </w:cols>
          <w:pgMar w:left="1340" w:top="1440" w:right="1440" w:bottom="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19"/>
                <w:szCs w:val="19"/>
                <w:color w:val="auto"/>
              </w:rPr>
            </w:pPr>
          </w:p>
        </w:tc>
        <w:tc>
          <w:tcPr>
            <w:tcW w:w="3760" w:type="dxa"/>
            <w:vAlign w:val="bottom"/>
          </w:tcPr>
          <w:p>
            <w:pPr>
              <w:ind w:left="120"/>
              <w:spacing w:after="0"/>
              <w:rPr>
                <w:sz w:val="20"/>
                <w:szCs w:val="20"/>
                <w:color w:val="auto"/>
              </w:rPr>
            </w:pPr>
            <w:r>
              <w:rPr>
                <w:rFonts w:ascii="Arial" w:cs="Arial" w:eastAsia="Arial" w:hAnsi="Arial"/>
                <w:sz w:val="20"/>
                <w:szCs w:val="20"/>
                <w:color w:val="auto"/>
                <w:w w:val="96"/>
              </w:rPr>
              <w:t>Relationship Agreement relating to Verona</w:t>
            </w: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rPr>
              <w:t>Pharma plc, dated July 29, 2016, by and</w:t>
            </w: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w w:val="91"/>
              </w:rPr>
              <w:t>among Verona Pharma plc, OrbiMed Private</w:t>
            </w:r>
          </w:p>
        </w:tc>
        <w:tc>
          <w:tcPr>
            <w:tcW w:w="0" w:type="dxa"/>
            <w:vAlign w:val="bottom"/>
          </w:tcPr>
          <w:p>
            <w:pPr>
              <w:spacing w:after="0"/>
              <w:rPr>
                <w:sz w:val="1"/>
                <w:szCs w:val="1"/>
                <w:color w:val="auto"/>
              </w:rPr>
            </w:pPr>
          </w:p>
        </w:tc>
      </w:tr>
      <w:tr>
        <w:trPr>
          <w:trHeight w:val="199"/>
        </w:trPr>
        <w:tc>
          <w:tcPr>
            <w:tcW w:w="780" w:type="dxa"/>
            <w:vAlign w:val="bottom"/>
            <w:vMerge w:val="restart"/>
          </w:tcPr>
          <w:p>
            <w:pPr>
              <w:spacing w:after="0"/>
              <w:rPr>
                <w:sz w:val="20"/>
                <w:szCs w:val="20"/>
                <w:color w:val="auto"/>
              </w:rPr>
            </w:pPr>
            <w:r>
              <w:rPr>
                <w:rFonts w:ascii="Arial" w:cs="Arial" w:eastAsia="Arial" w:hAnsi="Arial"/>
                <w:sz w:val="20"/>
                <w:szCs w:val="20"/>
                <w:color w:val="auto"/>
              </w:rPr>
              <w:t>10.16</w:t>
            </w: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rPr>
              <w:t>Investments VI, LP and NPlus1 Singer</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760" w:type="dxa"/>
            <w:vAlign w:val="bottom"/>
          </w:tcPr>
          <w:p>
            <w:pPr>
              <w:ind w:left="120"/>
              <w:spacing w:after="0"/>
              <w:rPr>
                <w:sz w:val="20"/>
                <w:szCs w:val="20"/>
                <w:color w:val="auto"/>
              </w:rPr>
            </w:pPr>
            <w:r>
              <w:rPr>
                <w:rFonts w:ascii="Arial" w:cs="Arial" w:eastAsia="Arial" w:hAnsi="Arial"/>
                <w:sz w:val="20"/>
                <w:szCs w:val="20"/>
                <w:color w:val="auto"/>
              </w:rPr>
              <w:t>Advisory LLP</w:t>
            </w: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3760" w:type="dxa"/>
            <w:vAlign w:val="bottom"/>
          </w:tcPr>
          <w:p>
            <w:pPr>
              <w:ind w:left="120"/>
              <w:spacing w:after="0" w:line="203" w:lineRule="exact"/>
              <w:rPr>
                <w:sz w:val="20"/>
                <w:szCs w:val="20"/>
                <w:color w:val="auto"/>
              </w:rPr>
            </w:pPr>
            <w:r>
              <w:rPr>
                <w:rFonts w:ascii="Arial" w:cs="Arial" w:eastAsia="Arial" w:hAnsi="Arial"/>
                <w:sz w:val="20"/>
                <w:szCs w:val="20"/>
                <w:color w:val="auto"/>
                <w:w w:val="96"/>
              </w:rPr>
              <w:t>Relationship Agreement relating to Verona</w:t>
            </w: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rPr>
              <w:t>Pharma plc, dated July 29, 2016, by and</w:t>
            </w: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rPr>
              <w:t>among Verona Pharma plc, Abingworth</w:t>
            </w:r>
          </w:p>
        </w:tc>
        <w:tc>
          <w:tcPr>
            <w:tcW w:w="0" w:type="dxa"/>
            <w:vAlign w:val="bottom"/>
          </w:tcPr>
          <w:p>
            <w:pPr>
              <w:spacing w:after="0"/>
              <w:rPr>
                <w:sz w:val="1"/>
                <w:szCs w:val="1"/>
                <w:color w:val="auto"/>
              </w:rPr>
            </w:pPr>
          </w:p>
        </w:tc>
      </w:tr>
      <w:tr>
        <w:trPr>
          <w:trHeight w:val="199"/>
        </w:trPr>
        <w:tc>
          <w:tcPr>
            <w:tcW w:w="780" w:type="dxa"/>
            <w:vAlign w:val="bottom"/>
            <w:vMerge w:val="restart"/>
          </w:tcPr>
          <w:p>
            <w:pPr>
              <w:spacing w:after="0"/>
              <w:rPr>
                <w:sz w:val="20"/>
                <w:szCs w:val="20"/>
                <w:color w:val="auto"/>
              </w:rPr>
            </w:pPr>
            <w:r>
              <w:rPr>
                <w:rFonts w:ascii="Arial" w:cs="Arial" w:eastAsia="Arial" w:hAnsi="Arial"/>
                <w:sz w:val="20"/>
                <w:szCs w:val="20"/>
                <w:color w:val="auto"/>
              </w:rPr>
              <w:t>10.17</w:t>
            </w: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rPr>
              <w:t>Bioventures VI LP and NPlus1 Singer</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760" w:type="dxa"/>
            <w:vAlign w:val="bottom"/>
          </w:tcPr>
          <w:p>
            <w:pPr>
              <w:ind w:left="120"/>
              <w:spacing w:after="0"/>
              <w:rPr>
                <w:sz w:val="20"/>
                <w:szCs w:val="20"/>
                <w:color w:val="auto"/>
              </w:rPr>
            </w:pPr>
            <w:r>
              <w:rPr>
                <w:rFonts w:ascii="Arial" w:cs="Arial" w:eastAsia="Arial" w:hAnsi="Arial"/>
                <w:sz w:val="20"/>
                <w:szCs w:val="20"/>
                <w:color w:val="auto"/>
              </w:rPr>
              <w:t>Advisory LLP</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3760" w:type="dxa"/>
            <w:vAlign w:val="bottom"/>
          </w:tcPr>
          <w:p>
            <w:pPr>
              <w:ind w:left="120"/>
              <w:spacing w:after="0" w:line="222" w:lineRule="exact"/>
              <w:rPr>
                <w:sz w:val="20"/>
                <w:szCs w:val="20"/>
                <w:color w:val="auto"/>
              </w:rPr>
            </w:pPr>
            <w:r>
              <w:rPr>
                <w:rFonts w:ascii="Arial" w:cs="Arial" w:eastAsia="Arial" w:hAnsi="Arial"/>
                <w:sz w:val="20"/>
                <w:szCs w:val="20"/>
                <w:color w:val="auto"/>
                <w:w w:val="96"/>
              </w:rPr>
              <w:t>Relationship Agreement relating to Verona</w:t>
            </w: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rPr>
              <w:t>Pharma plc, dated July 29, 2016, by and</w:t>
            </w: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w w:val="96"/>
              </w:rPr>
              <w:t>among Verona Pharma plc, Vivo Ventures</w:t>
            </w: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w w:val="98"/>
              </w:rPr>
              <w:t>Fund VII, L.P., Vivo Ventures VII Affiliates</w:t>
            </w: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rPr>
              <w:t>Fund, L.P., Vivo Ventures Fund VI, L.P.,</w:t>
            </w:r>
          </w:p>
        </w:tc>
        <w:tc>
          <w:tcPr>
            <w:tcW w:w="0" w:type="dxa"/>
            <w:vAlign w:val="bottom"/>
          </w:tcPr>
          <w:p>
            <w:pPr>
              <w:spacing w:after="0"/>
              <w:rPr>
                <w:sz w:val="1"/>
                <w:szCs w:val="1"/>
                <w:color w:val="auto"/>
              </w:rPr>
            </w:pPr>
          </w:p>
        </w:tc>
      </w:tr>
      <w:tr>
        <w:trPr>
          <w:trHeight w:val="199"/>
        </w:trPr>
        <w:tc>
          <w:tcPr>
            <w:tcW w:w="780" w:type="dxa"/>
            <w:vAlign w:val="bottom"/>
            <w:vMerge w:val="restart"/>
          </w:tcPr>
          <w:p>
            <w:pPr>
              <w:spacing w:after="0"/>
              <w:rPr>
                <w:sz w:val="20"/>
                <w:szCs w:val="20"/>
                <w:color w:val="auto"/>
              </w:rPr>
            </w:pPr>
            <w:r>
              <w:rPr>
                <w:rFonts w:ascii="Arial" w:cs="Arial" w:eastAsia="Arial" w:hAnsi="Arial"/>
                <w:sz w:val="20"/>
                <w:szCs w:val="20"/>
                <w:color w:val="auto"/>
              </w:rPr>
              <w:t>10.18</w:t>
            </w: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w w:val="98"/>
              </w:rPr>
              <w:t>Vivo Ventures VI Affiliates Fund, L.P. and</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760" w:type="dxa"/>
            <w:vAlign w:val="bottom"/>
          </w:tcPr>
          <w:p>
            <w:pPr>
              <w:ind w:left="120"/>
              <w:spacing w:after="0"/>
              <w:rPr>
                <w:sz w:val="20"/>
                <w:szCs w:val="20"/>
                <w:color w:val="auto"/>
              </w:rPr>
            </w:pPr>
            <w:r>
              <w:rPr>
                <w:rFonts w:ascii="Arial" w:cs="Arial" w:eastAsia="Arial" w:hAnsi="Arial"/>
                <w:sz w:val="20"/>
                <w:szCs w:val="20"/>
                <w:color w:val="auto"/>
              </w:rPr>
              <w:t>NPlus1 Singer Advisory LLP</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3760" w:type="dxa"/>
            <w:vAlign w:val="bottom"/>
          </w:tcPr>
          <w:p>
            <w:pPr>
              <w:ind w:left="120"/>
              <w:spacing w:after="0" w:line="222" w:lineRule="exact"/>
              <w:rPr>
                <w:sz w:val="20"/>
                <w:szCs w:val="20"/>
                <w:color w:val="auto"/>
              </w:rPr>
            </w:pPr>
            <w:r>
              <w:rPr>
                <w:rFonts w:ascii="Arial" w:cs="Arial" w:eastAsia="Arial" w:hAnsi="Arial"/>
                <w:sz w:val="20"/>
                <w:szCs w:val="20"/>
                <w:color w:val="auto"/>
                <w:w w:val="96"/>
              </w:rPr>
              <w:t>Relationship Agreement relating to Verona</w:t>
            </w: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rPr>
              <w:t>Pharma plc, dated July 29, 2016, by and</w:t>
            </w: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w w:val="96"/>
              </w:rPr>
              <w:t>among Verona Pharma plc, Vivo Ventures</w:t>
            </w: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w w:val="98"/>
              </w:rPr>
              <w:t>Fund VII, L.P., Vivo Ventures VII Affiliates</w:t>
            </w: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rPr>
              <w:t>Fund, L.P., Vivo Ventures Fund VI, L.P.,</w:t>
            </w:r>
          </w:p>
        </w:tc>
        <w:tc>
          <w:tcPr>
            <w:tcW w:w="0" w:type="dxa"/>
            <w:vAlign w:val="bottom"/>
          </w:tcPr>
          <w:p>
            <w:pPr>
              <w:spacing w:after="0"/>
              <w:rPr>
                <w:sz w:val="1"/>
                <w:szCs w:val="1"/>
                <w:color w:val="auto"/>
              </w:rPr>
            </w:pPr>
          </w:p>
        </w:tc>
      </w:tr>
      <w:tr>
        <w:trPr>
          <w:trHeight w:val="199"/>
        </w:trPr>
        <w:tc>
          <w:tcPr>
            <w:tcW w:w="780" w:type="dxa"/>
            <w:vAlign w:val="bottom"/>
            <w:vMerge w:val="restart"/>
          </w:tcPr>
          <w:p>
            <w:pPr>
              <w:spacing w:after="0"/>
              <w:rPr>
                <w:sz w:val="20"/>
                <w:szCs w:val="20"/>
                <w:color w:val="auto"/>
              </w:rPr>
            </w:pPr>
            <w:r>
              <w:rPr>
                <w:rFonts w:ascii="Arial" w:cs="Arial" w:eastAsia="Arial" w:hAnsi="Arial"/>
                <w:sz w:val="20"/>
                <w:szCs w:val="20"/>
                <w:color w:val="auto"/>
              </w:rPr>
              <w:t>10.19</w:t>
            </w: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w w:val="98"/>
              </w:rPr>
              <w:t>Vivo Ventures VI Affiliates Fund, L.P. and</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760" w:type="dxa"/>
            <w:vAlign w:val="bottom"/>
          </w:tcPr>
          <w:p>
            <w:pPr>
              <w:ind w:left="120"/>
              <w:spacing w:after="0"/>
              <w:rPr>
                <w:sz w:val="20"/>
                <w:szCs w:val="20"/>
                <w:color w:val="auto"/>
              </w:rPr>
            </w:pPr>
            <w:r>
              <w:rPr>
                <w:rFonts w:ascii="Arial" w:cs="Arial" w:eastAsia="Arial" w:hAnsi="Arial"/>
                <w:sz w:val="20"/>
                <w:szCs w:val="20"/>
                <w:color w:val="auto"/>
              </w:rPr>
              <w:t>NPlus1 Singer Advisory LLP</w:t>
            </w:r>
          </w:p>
        </w:tc>
        <w:tc>
          <w:tcPr>
            <w:tcW w:w="0" w:type="dxa"/>
            <w:vAlign w:val="bottom"/>
          </w:tcPr>
          <w:p>
            <w:pPr>
              <w:spacing w:after="0"/>
              <w:rPr>
                <w:sz w:val="1"/>
                <w:szCs w:val="1"/>
                <w:color w:val="auto"/>
              </w:rPr>
            </w:pPr>
          </w:p>
        </w:tc>
      </w:tr>
      <w:tr>
        <w:trPr>
          <w:trHeight w:val="202"/>
        </w:trPr>
        <w:tc>
          <w:tcPr>
            <w:tcW w:w="780" w:type="dxa"/>
            <w:vAlign w:val="bottom"/>
            <w:vMerge w:val="restart"/>
          </w:tcPr>
          <w:p>
            <w:pPr>
              <w:spacing w:after="0"/>
              <w:rPr>
                <w:sz w:val="20"/>
                <w:szCs w:val="20"/>
                <w:color w:val="auto"/>
              </w:rPr>
            </w:pPr>
            <w:r>
              <w:rPr>
                <w:rFonts w:ascii="Arial" w:cs="Arial" w:eastAsia="Arial" w:hAnsi="Arial"/>
                <w:sz w:val="20"/>
                <w:szCs w:val="20"/>
                <w:color w:val="auto"/>
              </w:rPr>
              <w:t>10.20#</w:t>
            </w:r>
          </w:p>
        </w:tc>
        <w:tc>
          <w:tcPr>
            <w:tcW w:w="3760" w:type="dxa"/>
            <w:vAlign w:val="bottom"/>
          </w:tcPr>
          <w:p>
            <w:pPr>
              <w:ind w:left="120"/>
              <w:spacing w:after="0" w:line="203" w:lineRule="exact"/>
              <w:rPr>
                <w:sz w:val="20"/>
                <w:szCs w:val="20"/>
                <w:color w:val="auto"/>
              </w:rPr>
            </w:pPr>
            <w:r>
              <w:rPr>
                <w:rFonts w:ascii="Arial" w:cs="Arial" w:eastAsia="Arial" w:hAnsi="Arial"/>
                <w:sz w:val="20"/>
                <w:szCs w:val="20"/>
                <w:color w:val="auto"/>
              </w:rPr>
              <w:t>Form of Non-Executive Director letter of</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760" w:type="dxa"/>
            <w:vAlign w:val="bottom"/>
          </w:tcPr>
          <w:p>
            <w:pPr>
              <w:ind w:left="120"/>
              <w:spacing w:after="0"/>
              <w:rPr>
                <w:sz w:val="20"/>
                <w:szCs w:val="20"/>
                <w:color w:val="auto"/>
              </w:rPr>
            </w:pPr>
            <w:r>
              <w:rPr>
                <w:rFonts w:ascii="Arial" w:cs="Arial" w:eastAsia="Arial" w:hAnsi="Arial"/>
                <w:sz w:val="20"/>
                <w:szCs w:val="20"/>
                <w:color w:val="auto"/>
              </w:rPr>
              <w:t>appointment</w:t>
            </w:r>
          </w:p>
        </w:tc>
        <w:tc>
          <w:tcPr>
            <w:tcW w:w="0" w:type="dxa"/>
            <w:vAlign w:val="bottom"/>
          </w:tcPr>
          <w:p>
            <w:pPr>
              <w:spacing w:after="0"/>
              <w:rPr>
                <w:sz w:val="1"/>
                <w:szCs w:val="1"/>
                <w:color w:val="auto"/>
              </w:rPr>
            </w:pPr>
          </w:p>
        </w:tc>
      </w:tr>
      <w:tr>
        <w:trPr>
          <w:trHeight w:val="280"/>
        </w:trPr>
        <w:tc>
          <w:tcPr>
            <w:tcW w:w="780" w:type="dxa"/>
            <w:vAlign w:val="bottom"/>
          </w:tcPr>
          <w:p>
            <w:pPr>
              <w:spacing w:after="0"/>
              <w:rPr>
                <w:sz w:val="24"/>
                <w:szCs w:val="24"/>
                <w:color w:val="auto"/>
              </w:rPr>
            </w:pPr>
          </w:p>
        </w:tc>
        <w:tc>
          <w:tcPr>
            <w:tcW w:w="3760" w:type="dxa"/>
            <w:vAlign w:val="bottom"/>
          </w:tcPr>
          <w:p>
            <w:pPr>
              <w:ind w:left="120"/>
              <w:spacing w:after="0"/>
              <w:rPr>
                <w:sz w:val="20"/>
                <w:szCs w:val="20"/>
                <w:color w:val="auto"/>
              </w:rPr>
            </w:pPr>
            <w:r>
              <w:rPr>
                <w:rFonts w:ascii="Arial" w:cs="Arial" w:eastAsia="Arial" w:hAnsi="Arial"/>
                <w:sz w:val="20"/>
                <w:szCs w:val="20"/>
                <w:color w:val="auto"/>
              </w:rPr>
              <w:t>Collaboration and License Agreement,</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3760" w:type="dxa"/>
            <w:vAlign w:val="bottom"/>
          </w:tcPr>
          <w:p>
            <w:pPr>
              <w:ind w:left="120"/>
              <w:spacing w:after="0" w:line="229" w:lineRule="exact"/>
              <w:rPr>
                <w:sz w:val="20"/>
                <w:szCs w:val="20"/>
                <w:color w:val="auto"/>
              </w:rPr>
            </w:pPr>
            <w:r>
              <w:rPr>
                <w:rFonts w:ascii="Arial" w:cs="Arial" w:eastAsia="Arial" w:hAnsi="Arial"/>
                <w:sz w:val="20"/>
                <w:szCs w:val="20"/>
                <w:color w:val="auto"/>
                <w:w w:val="91"/>
              </w:rPr>
              <w:t>effective as of June 9, 2021, by and between</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3760" w:type="dxa"/>
            <w:vAlign w:val="bottom"/>
          </w:tcPr>
          <w:p>
            <w:pPr>
              <w:ind w:left="120"/>
              <w:spacing w:after="0" w:line="229" w:lineRule="exact"/>
              <w:rPr>
                <w:sz w:val="20"/>
                <w:szCs w:val="20"/>
                <w:color w:val="auto"/>
              </w:rPr>
            </w:pPr>
            <w:r>
              <w:rPr>
                <w:rFonts w:ascii="Arial" w:cs="Arial" w:eastAsia="Arial" w:hAnsi="Arial"/>
                <w:sz w:val="20"/>
                <w:szCs w:val="20"/>
                <w:color w:val="auto"/>
                <w:w w:val="91"/>
              </w:rPr>
              <w:t>Verona Pharma plc, Nuance Pharma Limited</w:t>
            </w:r>
          </w:p>
        </w:tc>
        <w:tc>
          <w:tcPr>
            <w:tcW w:w="0" w:type="dxa"/>
            <w:vAlign w:val="bottom"/>
          </w:tcPr>
          <w:p>
            <w:pPr>
              <w:spacing w:after="0"/>
              <w:rPr>
                <w:sz w:val="1"/>
                <w:szCs w:val="1"/>
                <w:color w:val="auto"/>
              </w:rPr>
            </w:pPr>
          </w:p>
        </w:tc>
      </w:tr>
      <w:tr>
        <w:trPr>
          <w:trHeight w:val="260"/>
        </w:trPr>
        <w:tc>
          <w:tcPr>
            <w:tcW w:w="780" w:type="dxa"/>
            <w:vAlign w:val="bottom"/>
          </w:tcPr>
          <w:p>
            <w:pPr>
              <w:spacing w:after="0"/>
              <w:rPr>
                <w:sz w:val="20"/>
                <w:szCs w:val="20"/>
                <w:color w:val="auto"/>
              </w:rPr>
            </w:pPr>
            <w:r>
              <w:rPr>
                <w:rFonts w:ascii="Arial" w:cs="Arial" w:eastAsia="Arial" w:hAnsi="Arial"/>
                <w:sz w:val="20"/>
                <w:szCs w:val="20"/>
                <w:color w:val="auto"/>
              </w:rPr>
              <w:t>10.21†</w:t>
            </w:r>
          </w:p>
        </w:tc>
        <w:tc>
          <w:tcPr>
            <w:tcW w:w="3760" w:type="dxa"/>
            <w:vAlign w:val="bottom"/>
          </w:tcPr>
          <w:p>
            <w:pPr>
              <w:ind w:left="120"/>
              <w:spacing w:after="0"/>
              <w:rPr>
                <w:sz w:val="20"/>
                <w:szCs w:val="20"/>
                <w:color w:val="auto"/>
              </w:rPr>
            </w:pPr>
            <w:r>
              <w:rPr>
                <w:rFonts w:ascii="Arial" w:cs="Arial" w:eastAsia="Arial" w:hAnsi="Arial"/>
                <w:sz w:val="20"/>
                <w:szCs w:val="20"/>
                <w:color w:val="auto"/>
              </w:rPr>
              <w:t>and Nuance (Shanghai) Pharma Co Ltd</w:t>
            </w:r>
          </w:p>
        </w:tc>
        <w:tc>
          <w:tcPr>
            <w:tcW w:w="0" w:type="dxa"/>
            <w:vAlign w:val="bottom"/>
          </w:tcPr>
          <w:p>
            <w:pPr>
              <w:spacing w:after="0"/>
              <w:rPr>
                <w:sz w:val="1"/>
                <w:szCs w:val="1"/>
                <w:color w:val="auto"/>
              </w:rPr>
            </w:pPr>
          </w:p>
        </w:tc>
      </w:tr>
      <w:tr>
        <w:trPr>
          <w:trHeight w:val="204"/>
        </w:trPr>
        <w:tc>
          <w:tcPr>
            <w:tcW w:w="780" w:type="dxa"/>
            <w:vAlign w:val="bottom"/>
          </w:tcPr>
          <w:p>
            <w:pPr>
              <w:spacing w:after="0"/>
              <w:rPr>
                <w:sz w:val="17"/>
                <w:szCs w:val="17"/>
                <w:color w:val="auto"/>
              </w:rPr>
            </w:pPr>
          </w:p>
        </w:tc>
        <w:tc>
          <w:tcPr>
            <w:tcW w:w="3760" w:type="dxa"/>
            <w:vAlign w:val="bottom"/>
          </w:tcPr>
          <w:p>
            <w:pPr>
              <w:ind w:left="120"/>
              <w:spacing w:after="0" w:line="204" w:lineRule="exact"/>
              <w:rPr>
                <w:sz w:val="20"/>
                <w:szCs w:val="20"/>
                <w:color w:val="auto"/>
              </w:rPr>
            </w:pPr>
            <w:r>
              <w:rPr>
                <w:rFonts w:ascii="Arial" w:cs="Arial" w:eastAsia="Arial" w:hAnsi="Arial"/>
                <w:sz w:val="20"/>
                <w:szCs w:val="20"/>
                <w:color w:val="auto"/>
                <w:w w:val="96"/>
              </w:rPr>
              <w:t>Loan and Security Agreement, dated as of</w:t>
            </w: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w w:val="94"/>
              </w:rPr>
              <w:t>December 27, 2023, by and among Verona</w:t>
            </w: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rPr>
              <w:t>Pharma, Inc., Oxford Finance LLC, as</w:t>
            </w:r>
          </w:p>
        </w:tc>
        <w:tc>
          <w:tcPr>
            <w:tcW w:w="0" w:type="dxa"/>
            <w:vAlign w:val="bottom"/>
          </w:tcPr>
          <w:p>
            <w:pPr>
              <w:spacing w:after="0"/>
              <w:rPr>
                <w:sz w:val="1"/>
                <w:szCs w:val="1"/>
                <w:color w:val="auto"/>
              </w:rPr>
            </w:pPr>
          </w:p>
        </w:tc>
      </w:tr>
      <w:tr>
        <w:trPr>
          <w:trHeight w:val="199"/>
        </w:trPr>
        <w:tc>
          <w:tcPr>
            <w:tcW w:w="780" w:type="dxa"/>
            <w:vAlign w:val="bottom"/>
            <w:vMerge w:val="restart"/>
          </w:tcPr>
          <w:p>
            <w:pPr>
              <w:spacing w:after="0"/>
              <w:rPr>
                <w:sz w:val="20"/>
                <w:szCs w:val="20"/>
                <w:color w:val="auto"/>
              </w:rPr>
            </w:pPr>
            <w:r>
              <w:rPr>
                <w:rFonts w:ascii="Arial" w:cs="Arial" w:eastAsia="Arial" w:hAnsi="Arial"/>
                <w:sz w:val="20"/>
                <w:szCs w:val="20"/>
                <w:color w:val="auto"/>
              </w:rPr>
              <w:t>10.22†</w:t>
            </w: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w w:val="88"/>
              </w:rPr>
              <w:t>collateral agent and as a lender, and the other</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760" w:type="dxa"/>
            <w:vAlign w:val="bottom"/>
          </w:tcPr>
          <w:p>
            <w:pPr>
              <w:ind w:left="120"/>
              <w:spacing w:after="0"/>
              <w:rPr>
                <w:sz w:val="20"/>
                <w:szCs w:val="20"/>
                <w:color w:val="auto"/>
              </w:rPr>
            </w:pPr>
            <w:r>
              <w:rPr>
                <w:rFonts w:ascii="Arial" w:cs="Arial" w:eastAsia="Arial" w:hAnsi="Arial"/>
                <w:sz w:val="20"/>
                <w:szCs w:val="20"/>
                <w:color w:val="auto"/>
              </w:rPr>
              <w:t>lenders party thereto</w:t>
            </w:r>
          </w:p>
        </w:tc>
        <w:tc>
          <w:tcPr>
            <w:tcW w:w="0" w:type="dxa"/>
            <w:vAlign w:val="bottom"/>
          </w:tcPr>
          <w:p>
            <w:pPr>
              <w:spacing w:after="0"/>
              <w:rPr>
                <w:sz w:val="1"/>
                <w:szCs w:val="1"/>
                <w:color w:val="auto"/>
              </w:rPr>
            </w:pPr>
          </w:p>
        </w:tc>
      </w:tr>
      <w:tr>
        <w:trPr>
          <w:trHeight w:val="212"/>
        </w:trPr>
        <w:tc>
          <w:tcPr>
            <w:tcW w:w="780" w:type="dxa"/>
            <w:vAlign w:val="bottom"/>
          </w:tcPr>
          <w:p>
            <w:pPr>
              <w:spacing w:after="0"/>
              <w:rPr>
                <w:sz w:val="18"/>
                <w:szCs w:val="18"/>
                <w:color w:val="auto"/>
              </w:rPr>
            </w:pPr>
          </w:p>
        </w:tc>
        <w:tc>
          <w:tcPr>
            <w:tcW w:w="3760" w:type="dxa"/>
            <w:vAlign w:val="bottom"/>
          </w:tcPr>
          <w:p>
            <w:pPr>
              <w:ind w:left="120"/>
              <w:spacing w:after="0" w:line="212" w:lineRule="exact"/>
              <w:rPr>
                <w:sz w:val="20"/>
                <w:szCs w:val="20"/>
                <w:color w:val="auto"/>
              </w:rPr>
            </w:pPr>
            <w:r>
              <w:rPr>
                <w:rFonts w:ascii="Arial" w:cs="Arial" w:eastAsia="Arial" w:hAnsi="Arial"/>
                <w:sz w:val="20"/>
                <w:szCs w:val="20"/>
                <w:color w:val="auto"/>
                <w:w w:val="90"/>
              </w:rPr>
              <w:t>Commercial Supply Agreement between The</w:t>
            </w:r>
          </w:p>
        </w:tc>
        <w:tc>
          <w:tcPr>
            <w:tcW w:w="0" w:type="dxa"/>
            <w:vAlign w:val="bottom"/>
          </w:tcPr>
          <w:p>
            <w:pPr>
              <w:spacing w:after="0"/>
              <w:rPr>
                <w:sz w:val="1"/>
                <w:szCs w:val="1"/>
                <w:color w:val="auto"/>
              </w:rPr>
            </w:pPr>
          </w:p>
        </w:tc>
      </w:tr>
      <w:tr>
        <w:trPr>
          <w:trHeight w:val="199"/>
        </w:trPr>
        <w:tc>
          <w:tcPr>
            <w:tcW w:w="780" w:type="dxa"/>
            <w:vAlign w:val="bottom"/>
            <w:vMerge w:val="restart"/>
          </w:tcPr>
          <w:p>
            <w:pPr>
              <w:spacing w:after="0"/>
              <w:rPr>
                <w:sz w:val="20"/>
                <w:szCs w:val="20"/>
                <w:color w:val="auto"/>
              </w:rPr>
            </w:pPr>
            <w:r>
              <w:rPr>
                <w:rFonts w:ascii="Arial" w:cs="Arial" w:eastAsia="Arial" w:hAnsi="Arial"/>
                <w:sz w:val="20"/>
                <w:szCs w:val="20"/>
                <w:color w:val="auto"/>
              </w:rPr>
              <w:t>10.23†</w:t>
            </w: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w w:val="89"/>
              </w:rPr>
              <w:t>Ritedose Corporation and Verona Pharma plc</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760" w:type="dxa"/>
            <w:vAlign w:val="bottom"/>
          </w:tcPr>
          <w:p>
            <w:pPr>
              <w:ind w:left="120"/>
              <w:spacing w:after="0"/>
              <w:rPr>
                <w:sz w:val="20"/>
                <w:szCs w:val="20"/>
                <w:color w:val="auto"/>
              </w:rPr>
            </w:pPr>
            <w:r>
              <w:rPr>
                <w:rFonts w:ascii="Arial" w:cs="Arial" w:eastAsia="Arial" w:hAnsi="Arial"/>
                <w:sz w:val="20"/>
                <w:szCs w:val="20"/>
                <w:color w:val="auto"/>
              </w:rPr>
              <w:t>dated December 20, 2023</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0"/>
                <w:szCs w:val="20"/>
                <w:color w:val="auto"/>
              </w:rPr>
            </w:pPr>
            <w:r>
              <w:rPr>
                <w:rFonts w:ascii="Arial" w:cs="Arial" w:eastAsia="Arial" w:hAnsi="Arial"/>
                <w:sz w:val="20"/>
                <w:szCs w:val="20"/>
                <w:color w:val="auto"/>
              </w:rPr>
              <w:t>21.1</w:t>
            </w:r>
          </w:p>
        </w:tc>
        <w:tc>
          <w:tcPr>
            <w:tcW w:w="3760" w:type="dxa"/>
            <w:vAlign w:val="bottom"/>
          </w:tcPr>
          <w:p>
            <w:pPr>
              <w:ind w:left="120"/>
              <w:spacing w:after="0"/>
              <w:rPr>
                <w:sz w:val="20"/>
                <w:szCs w:val="20"/>
                <w:color w:val="auto"/>
              </w:rPr>
            </w:pPr>
            <w:r>
              <w:rPr>
                <w:rFonts w:ascii="Arial" w:cs="Arial" w:eastAsia="Arial" w:hAnsi="Arial"/>
                <w:sz w:val="20"/>
                <w:szCs w:val="20"/>
                <w:color w:val="auto"/>
                <w:w w:val="98"/>
              </w:rPr>
              <w:t>List of Subsidiaries of Verona Pharma plc</w:t>
            </w:r>
          </w:p>
        </w:tc>
        <w:tc>
          <w:tcPr>
            <w:tcW w:w="0" w:type="dxa"/>
            <w:vAlign w:val="bottom"/>
          </w:tcPr>
          <w:p>
            <w:pPr>
              <w:spacing w:after="0"/>
              <w:rPr>
                <w:sz w:val="1"/>
                <w:szCs w:val="1"/>
                <w:color w:val="auto"/>
              </w:rPr>
            </w:pPr>
          </w:p>
        </w:tc>
      </w:tr>
      <w:tr>
        <w:trPr>
          <w:trHeight w:val="413"/>
        </w:trPr>
        <w:tc>
          <w:tcPr>
            <w:tcW w:w="780" w:type="dxa"/>
            <w:vAlign w:val="bottom"/>
            <w:vMerge w:val="restart"/>
          </w:tcPr>
          <w:p>
            <w:pPr>
              <w:spacing w:after="0"/>
              <w:rPr>
                <w:sz w:val="20"/>
                <w:szCs w:val="20"/>
                <w:color w:val="auto"/>
              </w:rPr>
            </w:pPr>
            <w:r>
              <w:rPr>
                <w:rFonts w:ascii="Arial" w:cs="Arial" w:eastAsia="Arial" w:hAnsi="Arial"/>
                <w:sz w:val="20"/>
                <w:szCs w:val="20"/>
                <w:color w:val="auto"/>
              </w:rPr>
              <w:t>16.1</w:t>
            </w:r>
          </w:p>
        </w:tc>
        <w:tc>
          <w:tcPr>
            <w:tcW w:w="3760" w:type="dxa"/>
            <w:vAlign w:val="bottom"/>
          </w:tcPr>
          <w:p>
            <w:pPr>
              <w:ind w:left="120"/>
              <w:spacing w:after="0"/>
              <w:rPr>
                <w:sz w:val="20"/>
                <w:szCs w:val="20"/>
                <w:color w:val="auto"/>
              </w:rPr>
            </w:pPr>
            <w:r>
              <w:rPr>
                <w:rFonts w:ascii="Arial" w:cs="Arial" w:eastAsia="Arial" w:hAnsi="Arial"/>
                <w:sz w:val="20"/>
                <w:szCs w:val="20"/>
                <w:color w:val="auto"/>
              </w:rPr>
              <w:t>Letter of PricewaterhouseCoopers LLP,</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760" w:type="dxa"/>
            <w:vAlign w:val="bottom"/>
          </w:tcPr>
          <w:p>
            <w:pPr>
              <w:ind w:left="120"/>
              <w:spacing w:after="0"/>
              <w:rPr>
                <w:sz w:val="20"/>
                <w:szCs w:val="20"/>
                <w:color w:val="auto"/>
              </w:rPr>
            </w:pPr>
            <w:r>
              <w:rPr>
                <w:rFonts w:ascii="Arial" w:cs="Arial" w:eastAsia="Arial" w:hAnsi="Arial"/>
                <w:sz w:val="20"/>
                <w:szCs w:val="20"/>
                <w:color w:val="auto"/>
              </w:rPr>
              <w:t>dated December 14, 2023.</w:t>
            </w:r>
          </w:p>
        </w:tc>
        <w:tc>
          <w:tcPr>
            <w:tcW w:w="0" w:type="dxa"/>
            <w:vAlign w:val="bottom"/>
          </w:tcPr>
          <w:p>
            <w:pPr>
              <w:spacing w:after="0"/>
              <w:rPr>
                <w:sz w:val="1"/>
                <w:szCs w:val="1"/>
                <w:color w:val="auto"/>
              </w:rPr>
            </w:pPr>
          </w:p>
        </w:tc>
      </w:tr>
      <w:tr>
        <w:trPr>
          <w:trHeight w:val="212"/>
        </w:trPr>
        <w:tc>
          <w:tcPr>
            <w:tcW w:w="780" w:type="dxa"/>
            <w:vAlign w:val="bottom"/>
          </w:tcPr>
          <w:p>
            <w:pPr>
              <w:spacing w:after="0"/>
              <w:rPr>
                <w:sz w:val="18"/>
                <w:szCs w:val="18"/>
                <w:color w:val="auto"/>
              </w:rPr>
            </w:pPr>
          </w:p>
        </w:tc>
        <w:tc>
          <w:tcPr>
            <w:tcW w:w="3760" w:type="dxa"/>
            <w:vAlign w:val="bottom"/>
          </w:tcPr>
          <w:p>
            <w:pPr>
              <w:ind w:left="120"/>
              <w:spacing w:after="0" w:line="212" w:lineRule="exact"/>
              <w:rPr>
                <w:sz w:val="20"/>
                <w:szCs w:val="20"/>
                <w:color w:val="auto"/>
              </w:rPr>
            </w:pPr>
            <w:r>
              <w:rPr>
                <w:rFonts w:ascii="Arial" w:cs="Arial" w:eastAsia="Arial" w:hAnsi="Arial"/>
                <w:sz w:val="20"/>
                <w:szCs w:val="20"/>
                <w:color w:val="auto"/>
                <w:w w:val="96"/>
              </w:rPr>
              <w:t>Consent of PricewaterhouseCoopers LLP,</w:t>
            </w:r>
          </w:p>
        </w:tc>
        <w:tc>
          <w:tcPr>
            <w:tcW w:w="0" w:type="dxa"/>
            <w:vAlign w:val="bottom"/>
          </w:tcPr>
          <w:p>
            <w:pPr>
              <w:spacing w:after="0"/>
              <w:rPr>
                <w:sz w:val="1"/>
                <w:szCs w:val="1"/>
                <w:color w:val="auto"/>
              </w:rPr>
            </w:pPr>
          </w:p>
        </w:tc>
      </w:tr>
      <w:tr>
        <w:trPr>
          <w:trHeight w:val="199"/>
        </w:trPr>
        <w:tc>
          <w:tcPr>
            <w:tcW w:w="780" w:type="dxa"/>
            <w:vAlign w:val="bottom"/>
            <w:vMerge w:val="restart"/>
          </w:tcPr>
          <w:p>
            <w:pPr>
              <w:spacing w:after="0"/>
              <w:rPr>
                <w:sz w:val="20"/>
                <w:szCs w:val="20"/>
                <w:color w:val="auto"/>
              </w:rPr>
            </w:pPr>
            <w:r>
              <w:rPr>
                <w:rFonts w:ascii="Arial" w:cs="Arial" w:eastAsia="Arial" w:hAnsi="Arial"/>
                <w:sz w:val="20"/>
                <w:szCs w:val="20"/>
                <w:color w:val="auto"/>
              </w:rPr>
              <w:t>23.1</w:t>
            </w:r>
          </w:p>
        </w:tc>
        <w:tc>
          <w:tcPr>
            <w:tcW w:w="3760" w:type="dxa"/>
            <w:vAlign w:val="bottom"/>
          </w:tcPr>
          <w:p>
            <w:pPr>
              <w:ind w:left="120"/>
              <w:spacing w:after="0" w:line="199" w:lineRule="exact"/>
              <w:rPr>
                <w:sz w:val="20"/>
                <w:szCs w:val="20"/>
                <w:color w:val="auto"/>
              </w:rPr>
            </w:pPr>
            <w:r>
              <w:rPr>
                <w:rFonts w:ascii="Arial" w:cs="Arial" w:eastAsia="Arial" w:hAnsi="Arial"/>
                <w:sz w:val="20"/>
                <w:szCs w:val="20"/>
                <w:color w:val="auto"/>
                <w:w w:val="95"/>
              </w:rPr>
              <w:t>Independent Registered Public Accounting</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760" w:type="dxa"/>
            <w:vAlign w:val="bottom"/>
          </w:tcPr>
          <w:p>
            <w:pPr>
              <w:ind w:left="120"/>
              <w:spacing w:after="0"/>
              <w:rPr>
                <w:sz w:val="20"/>
                <w:szCs w:val="20"/>
                <w:color w:val="auto"/>
              </w:rPr>
            </w:pPr>
            <w:r>
              <w:rPr>
                <w:rFonts w:ascii="Arial" w:cs="Arial" w:eastAsia="Arial" w:hAnsi="Arial"/>
                <w:sz w:val="20"/>
                <w:szCs w:val="20"/>
                <w:color w:val="auto"/>
              </w:rPr>
              <w:t>Firm</w:t>
            </w:r>
          </w:p>
        </w:tc>
        <w:tc>
          <w:tcPr>
            <w:tcW w:w="0" w:type="dxa"/>
            <w:vAlign w:val="bottom"/>
          </w:tcPr>
          <w:p>
            <w:pPr>
              <w:spacing w:after="0"/>
              <w:rPr>
                <w:sz w:val="1"/>
                <w:szCs w:val="1"/>
                <w:color w:val="auto"/>
              </w:rPr>
            </w:pPr>
          </w:p>
        </w:tc>
      </w:tr>
      <w:tr>
        <w:trPr>
          <w:trHeight w:val="202"/>
        </w:trPr>
        <w:tc>
          <w:tcPr>
            <w:tcW w:w="780" w:type="dxa"/>
            <w:vAlign w:val="bottom"/>
            <w:vMerge w:val="restart"/>
          </w:tcPr>
          <w:p>
            <w:pPr>
              <w:spacing w:after="0"/>
              <w:rPr>
                <w:sz w:val="20"/>
                <w:szCs w:val="20"/>
                <w:color w:val="auto"/>
              </w:rPr>
            </w:pPr>
            <w:r>
              <w:rPr>
                <w:rFonts w:ascii="Arial" w:cs="Arial" w:eastAsia="Arial" w:hAnsi="Arial"/>
                <w:sz w:val="20"/>
                <w:szCs w:val="20"/>
                <w:color w:val="auto"/>
              </w:rPr>
              <w:t>31.1</w:t>
            </w:r>
          </w:p>
        </w:tc>
        <w:tc>
          <w:tcPr>
            <w:tcW w:w="3760" w:type="dxa"/>
            <w:vAlign w:val="bottom"/>
          </w:tcPr>
          <w:p>
            <w:pPr>
              <w:ind w:left="120"/>
              <w:spacing w:after="0" w:line="203" w:lineRule="exact"/>
              <w:rPr>
                <w:sz w:val="20"/>
                <w:szCs w:val="20"/>
                <w:color w:val="auto"/>
              </w:rPr>
            </w:pPr>
            <w:r>
              <w:rPr>
                <w:rFonts w:ascii="Arial" w:cs="Arial" w:eastAsia="Arial" w:hAnsi="Arial"/>
                <w:sz w:val="20"/>
                <w:szCs w:val="20"/>
                <w:color w:val="auto"/>
              </w:rPr>
              <w:t>Rule 13a-14(a)/15d-14(a) Certification of</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760" w:type="dxa"/>
            <w:vAlign w:val="bottom"/>
          </w:tcPr>
          <w:p>
            <w:pPr>
              <w:ind w:left="120"/>
              <w:spacing w:after="0"/>
              <w:rPr>
                <w:sz w:val="20"/>
                <w:szCs w:val="20"/>
                <w:color w:val="auto"/>
              </w:rPr>
            </w:pPr>
            <w:r>
              <w:rPr>
                <w:rFonts w:ascii="Arial" w:cs="Arial" w:eastAsia="Arial" w:hAnsi="Arial"/>
                <w:sz w:val="20"/>
                <w:szCs w:val="20"/>
                <w:color w:val="auto"/>
              </w:rPr>
              <w:t>Chief Executive Officer</w:t>
            </w:r>
          </w:p>
        </w:tc>
        <w:tc>
          <w:tcPr>
            <w:tcW w:w="0" w:type="dxa"/>
            <w:vAlign w:val="bottom"/>
          </w:tcPr>
          <w:p>
            <w:pPr>
              <w:spacing w:after="0"/>
              <w:rPr>
                <w:sz w:val="1"/>
                <w:szCs w:val="1"/>
                <w:color w:val="auto"/>
              </w:rPr>
            </w:pPr>
          </w:p>
        </w:tc>
      </w:tr>
      <w:tr>
        <w:trPr>
          <w:trHeight w:val="202"/>
        </w:trPr>
        <w:tc>
          <w:tcPr>
            <w:tcW w:w="780" w:type="dxa"/>
            <w:vAlign w:val="bottom"/>
            <w:vMerge w:val="restart"/>
          </w:tcPr>
          <w:p>
            <w:pPr>
              <w:spacing w:after="0"/>
              <w:rPr>
                <w:sz w:val="20"/>
                <w:szCs w:val="20"/>
                <w:color w:val="auto"/>
              </w:rPr>
            </w:pPr>
            <w:r>
              <w:rPr>
                <w:rFonts w:ascii="Arial" w:cs="Arial" w:eastAsia="Arial" w:hAnsi="Arial"/>
                <w:sz w:val="20"/>
                <w:szCs w:val="20"/>
                <w:color w:val="auto"/>
              </w:rPr>
              <w:t>31.2</w:t>
            </w:r>
          </w:p>
        </w:tc>
        <w:tc>
          <w:tcPr>
            <w:tcW w:w="3760" w:type="dxa"/>
            <w:vAlign w:val="bottom"/>
          </w:tcPr>
          <w:p>
            <w:pPr>
              <w:ind w:left="120"/>
              <w:spacing w:after="0" w:line="203" w:lineRule="exact"/>
              <w:rPr>
                <w:sz w:val="20"/>
                <w:szCs w:val="20"/>
                <w:color w:val="auto"/>
              </w:rPr>
            </w:pPr>
            <w:r>
              <w:rPr>
                <w:rFonts w:ascii="Arial" w:cs="Arial" w:eastAsia="Arial" w:hAnsi="Arial"/>
                <w:sz w:val="20"/>
                <w:szCs w:val="20"/>
                <w:color w:val="auto"/>
              </w:rPr>
              <w:t>Rule 13a-14(a)/15d-14(a) Certification of</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760" w:type="dxa"/>
            <w:vAlign w:val="bottom"/>
          </w:tcPr>
          <w:p>
            <w:pPr>
              <w:ind w:left="120"/>
              <w:spacing w:after="0"/>
              <w:rPr>
                <w:sz w:val="20"/>
                <w:szCs w:val="20"/>
                <w:color w:val="auto"/>
              </w:rPr>
            </w:pPr>
            <w:r>
              <w:rPr>
                <w:rFonts w:ascii="Arial" w:cs="Arial" w:eastAsia="Arial" w:hAnsi="Arial"/>
                <w:sz w:val="20"/>
                <w:szCs w:val="20"/>
                <w:color w:val="auto"/>
              </w:rPr>
              <w:t>Chief Financial Officer</w:t>
            </w:r>
          </w:p>
        </w:tc>
        <w:tc>
          <w:tcPr>
            <w:tcW w:w="0" w:type="dxa"/>
            <w:vAlign w:val="bottom"/>
          </w:tcPr>
          <w:p>
            <w:pPr>
              <w:spacing w:after="0"/>
              <w:rPr>
                <w:sz w:val="1"/>
                <w:szCs w:val="1"/>
                <w:color w:val="auto"/>
              </w:rPr>
            </w:pPr>
          </w:p>
        </w:tc>
      </w:tr>
      <w:tr>
        <w:trPr>
          <w:trHeight w:val="202"/>
        </w:trPr>
        <w:tc>
          <w:tcPr>
            <w:tcW w:w="780" w:type="dxa"/>
            <w:vAlign w:val="bottom"/>
            <w:vMerge w:val="restart"/>
          </w:tcPr>
          <w:p>
            <w:pPr>
              <w:spacing w:after="0"/>
              <w:rPr>
                <w:sz w:val="20"/>
                <w:szCs w:val="20"/>
                <w:color w:val="auto"/>
              </w:rPr>
            </w:pPr>
            <w:r>
              <w:rPr>
                <w:rFonts w:ascii="Arial" w:cs="Arial" w:eastAsia="Arial" w:hAnsi="Arial"/>
                <w:sz w:val="20"/>
                <w:szCs w:val="20"/>
                <w:color w:val="auto"/>
              </w:rPr>
              <w:t>32.1</w:t>
            </w:r>
          </w:p>
        </w:tc>
        <w:tc>
          <w:tcPr>
            <w:tcW w:w="3760" w:type="dxa"/>
            <w:vAlign w:val="bottom"/>
          </w:tcPr>
          <w:p>
            <w:pPr>
              <w:ind w:left="120"/>
              <w:spacing w:after="0" w:line="203" w:lineRule="exact"/>
              <w:rPr>
                <w:sz w:val="20"/>
                <w:szCs w:val="20"/>
                <w:color w:val="auto"/>
              </w:rPr>
            </w:pPr>
            <w:r>
              <w:rPr>
                <w:rFonts w:ascii="Arial" w:cs="Arial" w:eastAsia="Arial" w:hAnsi="Arial"/>
                <w:sz w:val="20"/>
                <w:szCs w:val="20"/>
                <w:color w:val="auto"/>
              </w:rPr>
              <w:t>Section 1350 Certification of Chief</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760" w:type="dxa"/>
            <w:vAlign w:val="bottom"/>
          </w:tcPr>
          <w:p>
            <w:pPr>
              <w:ind w:left="120"/>
              <w:spacing w:after="0"/>
              <w:rPr>
                <w:sz w:val="20"/>
                <w:szCs w:val="20"/>
                <w:color w:val="auto"/>
              </w:rPr>
            </w:pPr>
            <w:r>
              <w:rPr>
                <w:rFonts w:ascii="Arial" w:cs="Arial" w:eastAsia="Arial" w:hAnsi="Arial"/>
                <w:sz w:val="20"/>
                <w:szCs w:val="20"/>
                <w:color w:val="auto"/>
              </w:rPr>
              <w:t>Executive Officer</w:t>
            </w:r>
          </w:p>
        </w:tc>
        <w:tc>
          <w:tcPr>
            <w:tcW w:w="0" w:type="dxa"/>
            <w:vAlign w:val="bottom"/>
          </w:tcPr>
          <w:p>
            <w:pPr>
              <w:spacing w:after="0"/>
              <w:rPr>
                <w:sz w:val="1"/>
                <w:szCs w:val="1"/>
                <w:color w:val="auto"/>
              </w:rPr>
            </w:pPr>
          </w:p>
        </w:tc>
      </w:tr>
      <w:tr>
        <w:trPr>
          <w:trHeight w:val="202"/>
        </w:trPr>
        <w:tc>
          <w:tcPr>
            <w:tcW w:w="780" w:type="dxa"/>
            <w:vAlign w:val="bottom"/>
            <w:vMerge w:val="restart"/>
          </w:tcPr>
          <w:p>
            <w:pPr>
              <w:spacing w:after="0"/>
              <w:rPr>
                <w:sz w:val="20"/>
                <w:szCs w:val="20"/>
                <w:color w:val="auto"/>
              </w:rPr>
            </w:pPr>
            <w:r>
              <w:rPr>
                <w:rFonts w:ascii="Arial" w:cs="Arial" w:eastAsia="Arial" w:hAnsi="Arial"/>
                <w:sz w:val="20"/>
                <w:szCs w:val="20"/>
                <w:color w:val="auto"/>
              </w:rPr>
              <w:t>32.2</w:t>
            </w:r>
          </w:p>
        </w:tc>
        <w:tc>
          <w:tcPr>
            <w:tcW w:w="3760" w:type="dxa"/>
            <w:vAlign w:val="bottom"/>
          </w:tcPr>
          <w:p>
            <w:pPr>
              <w:ind w:left="120"/>
              <w:spacing w:after="0" w:line="203" w:lineRule="exact"/>
              <w:rPr>
                <w:sz w:val="20"/>
                <w:szCs w:val="20"/>
                <w:color w:val="auto"/>
              </w:rPr>
            </w:pPr>
            <w:r>
              <w:rPr>
                <w:rFonts w:ascii="Arial" w:cs="Arial" w:eastAsia="Arial" w:hAnsi="Arial"/>
                <w:sz w:val="20"/>
                <w:szCs w:val="20"/>
                <w:color w:val="auto"/>
                <w:w w:val="93"/>
              </w:rPr>
              <w:t>Section 1350 Certification of Chief Financial</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760" w:type="dxa"/>
            <w:vAlign w:val="bottom"/>
          </w:tcPr>
          <w:p>
            <w:pPr>
              <w:ind w:left="12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r>
        <w:trPr>
          <w:trHeight w:val="202"/>
        </w:trPr>
        <w:tc>
          <w:tcPr>
            <w:tcW w:w="780" w:type="dxa"/>
            <w:vAlign w:val="bottom"/>
            <w:vMerge w:val="restart"/>
          </w:tcPr>
          <w:p>
            <w:pPr>
              <w:spacing w:after="0"/>
              <w:rPr>
                <w:sz w:val="20"/>
                <w:szCs w:val="20"/>
                <w:color w:val="auto"/>
              </w:rPr>
            </w:pPr>
            <w:r>
              <w:rPr>
                <w:rFonts w:ascii="Arial" w:cs="Arial" w:eastAsia="Arial" w:hAnsi="Arial"/>
                <w:sz w:val="20"/>
                <w:szCs w:val="20"/>
                <w:color w:val="auto"/>
              </w:rPr>
              <w:t>97#</w:t>
            </w:r>
          </w:p>
        </w:tc>
        <w:tc>
          <w:tcPr>
            <w:tcW w:w="3760" w:type="dxa"/>
            <w:vAlign w:val="bottom"/>
          </w:tcPr>
          <w:p>
            <w:pPr>
              <w:ind w:left="120"/>
              <w:spacing w:after="0" w:line="203" w:lineRule="exact"/>
              <w:rPr>
                <w:sz w:val="20"/>
                <w:szCs w:val="20"/>
                <w:color w:val="auto"/>
              </w:rPr>
            </w:pPr>
            <w:r>
              <w:rPr>
                <w:rFonts w:ascii="Arial" w:cs="Arial" w:eastAsia="Arial" w:hAnsi="Arial"/>
                <w:sz w:val="20"/>
                <w:szCs w:val="20"/>
                <w:color w:val="auto"/>
                <w:w w:val="92"/>
              </w:rPr>
              <w:t>Policy for Recovery of Erroneously Awarded</w:t>
            </w:r>
          </w:p>
        </w:tc>
        <w:tc>
          <w:tcPr>
            <w:tcW w:w="0" w:type="dxa"/>
            <w:vAlign w:val="bottom"/>
          </w:tcPr>
          <w:p>
            <w:pPr>
              <w:spacing w:after="0"/>
              <w:rPr>
                <w:sz w:val="1"/>
                <w:szCs w:val="1"/>
                <w:color w:val="auto"/>
              </w:rPr>
            </w:pPr>
          </w:p>
        </w:tc>
      </w:tr>
      <w:tr>
        <w:trPr>
          <w:trHeight w:val="260"/>
        </w:trPr>
        <w:tc>
          <w:tcPr>
            <w:tcW w:w="780" w:type="dxa"/>
            <w:vAlign w:val="bottom"/>
            <w:vMerge w:val="continue"/>
          </w:tcPr>
          <w:p>
            <w:pPr>
              <w:spacing w:after="0"/>
              <w:rPr>
                <w:sz w:val="22"/>
                <w:szCs w:val="22"/>
                <w:color w:val="auto"/>
              </w:rPr>
            </w:pPr>
          </w:p>
        </w:tc>
        <w:tc>
          <w:tcPr>
            <w:tcW w:w="3760" w:type="dxa"/>
            <w:vAlign w:val="bottom"/>
          </w:tcPr>
          <w:p>
            <w:pPr>
              <w:ind w:left="120"/>
              <w:spacing w:after="0"/>
              <w:rPr>
                <w:sz w:val="20"/>
                <w:szCs w:val="20"/>
                <w:color w:val="auto"/>
              </w:rPr>
            </w:pPr>
            <w:r>
              <w:rPr>
                <w:rFonts w:ascii="Arial" w:cs="Arial" w:eastAsia="Arial" w:hAnsi="Arial"/>
                <w:sz w:val="20"/>
                <w:szCs w:val="20"/>
                <w:color w:val="auto"/>
              </w:rPr>
              <w:t>Compensation</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0"/>
                <w:szCs w:val="20"/>
                <w:color w:val="auto"/>
              </w:rPr>
            </w:pPr>
            <w:r>
              <w:rPr>
                <w:rFonts w:ascii="Arial" w:cs="Arial" w:eastAsia="Arial" w:hAnsi="Arial"/>
                <w:sz w:val="20"/>
                <w:szCs w:val="20"/>
                <w:color w:val="auto"/>
              </w:rPr>
              <w:t>101.INS</w:t>
            </w:r>
          </w:p>
        </w:tc>
        <w:tc>
          <w:tcPr>
            <w:tcW w:w="3760" w:type="dxa"/>
            <w:vAlign w:val="bottom"/>
          </w:tcPr>
          <w:p>
            <w:pPr>
              <w:ind w:left="120"/>
              <w:spacing w:after="0"/>
              <w:rPr>
                <w:sz w:val="20"/>
                <w:szCs w:val="20"/>
                <w:color w:val="auto"/>
              </w:rPr>
            </w:pPr>
            <w:r>
              <w:rPr>
                <w:rFonts w:ascii="Arial" w:cs="Arial" w:eastAsia="Arial" w:hAnsi="Arial"/>
                <w:sz w:val="20"/>
                <w:szCs w:val="20"/>
                <w:color w:val="auto"/>
              </w:rPr>
              <w:t>Inline XBRL Instance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F-1 333-217124</w:t>
            </w:r>
          </w:p>
        </w:tc>
        <w:tc>
          <w:tcPr>
            <w:tcW w:w="820" w:type="dxa"/>
            <w:vAlign w:val="bottom"/>
          </w:tcPr>
          <w:p>
            <w:pPr>
              <w:jc w:val="right"/>
              <w:spacing w:after="0"/>
              <w:rPr>
                <w:sz w:val="20"/>
                <w:szCs w:val="20"/>
                <w:color w:val="auto"/>
              </w:rPr>
            </w:pPr>
            <w:r>
              <w:rPr>
                <w:rFonts w:ascii="Arial" w:cs="Arial" w:eastAsia="Arial" w:hAnsi="Arial"/>
                <w:sz w:val="20"/>
                <w:szCs w:val="20"/>
                <w:color w:val="auto"/>
              </w:rPr>
              <w:t>10.12</w:t>
            </w:r>
          </w:p>
        </w:tc>
        <w:tc>
          <w:tcPr>
            <w:tcW w:w="1200" w:type="dxa"/>
            <w:vAlign w:val="bottom"/>
          </w:tcPr>
          <w:p>
            <w:pPr>
              <w:jc w:val="right"/>
              <w:ind w:right="141"/>
              <w:spacing w:after="0"/>
              <w:rPr>
                <w:sz w:val="20"/>
                <w:szCs w:val="20"/>
                <w:color w:val="auto"/>
              </w:rPr>
            </w:pPr>
            <w:r>
              <w:rPr>
                <w:rFonts w:ascii="Arial" w:cs="Arial" w:eastAsia="Arial" w:hAnsi="Arial"/>
                <w:sz w:val="20"/>
                <w:szCs w:val="20"/>
                <w:color w:val="auto"/>
              </w:rPr>
              <w:t>4/3/2017</w:t>
            </w:r>
          </w:p>
        </w:tc>
        <w:tc>
          <w:tcPr>
            <w:tcW w:w="340" w:type="dxa"/>
            <w:vAlign w:val="bottom"/>
          </w:tcPr>
          <w:p>
            <w:pPr>
              <w:spacing w:after="0"/>
              <w:rPr>
                <w:sz w:val="22"/>
                <w:szCs w:val="22"/>
                <w:color w:val="auto"/>
              </w:rPr>
            </w:pPr>
          </w:p>
        </w:tc>
      </w:tr>
      <w:tr>
        <w:trPr>
          <w:trHeight w:val="1060"/>
        </w:trPr>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F-1 333-217124</w:t>
            </w:r>
          </w:p>
        </w:tc>
        <w:tc>
          <w:tcPr>
            <w:tcW w:w="820" w:type="dxa"/>
            <w:vAlign w:val="bottom"/>
          </w:tcPr>
          <w:p>
            <w:pPr>
              <w:jc w:val="right"/>
              <w:spacing w:after="0"/>
              <w:rPr>
                <w:sz w:val="20"/>
                <w:szCs w:val="20"/>
                <w:color w:val="auto"/>
              </w:rPr>
            </w:pPr>
            <w:r>
              <w:rPr>
                <w:rFonts w:ascii="Arial" w:cs="Arial" w:eastAsia="Arial" w:hAnsi="Arial"/>
                <w:sz w:val="20"/>
                <w:szCs w:val="20"/>
                <w:color w:val="auto"/>
              </w:rPr>
              <w:t>10.13</w:t>
            </w:r>
          </w:p>
        </w:tc>
        <w:tc>
          <w:tcPr>
            <w:tcW w:w="1200" w:type="dxa"/>
            <w:vAlign w:val="bottom"/>
          </w:tcPr>
          <w:p>
            <w:pPr>
              <w:jc w:val="right"/>
              <w:ind w:right="141"/>
              <w:spacing w:after="0"/>
              <w:rPr>
                <w:sz w:val="20"/>
                <w:szCs w:val="20"/>
                <w:color w:val="auto"/>
              </w:rPr>
            </w:pPr>
            <w:r>
              <w:rPr>
                <w:rFonts w:ascii="Arial" w:cs="Arial" w:eastAsia="Arial" w:hAnsi="Arial"/>
                <w:sz w:val="20"/>
                <w:szCs w:val="20"/>
                <w:color w:val="auto"/>
              </w:rPr>
              <w:t>4/3/2017</w:t>
            </w:r>
          </w:p>
        </w:tc>
        <w:tc>
          <w:tcPr>
            <w:tcW w:w="340" w:type="dxa"/>
            <w:vAlign w:val="bottom"/>
          </w:tcPr>
          <w:p>
            <w:pPr>
              <w:spacing w:after="0"/>
              <w:rPr>
                <w:sz w:val="24"/>
                <w:szCs w:val="24"/>
                <w:color w:val="auto"/>
              </w:rPr>
            </w:pPr>
          </w:p>
        </w:tc>
      </w:tr>
      <w:tr>
        <w:trPr>
          <w:trHeight w:val="1478"/>
        </w:trPr>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F-1 333-217124</w:t>
            </w:r>
          </w:p>
        </w:tc>
        <w:tc>
          <w:tcPr>
            <w:tcW w:w="820" w:type="dxa"/>
            <w:vAlign w:val="bottom"/>
          </w:tcPr>
          <w:p>
            <w:pPr>
              <w:jc w:val="right"/>
              <w:spacing w:after="0"/>
              <w:rPr>
                <w:sz w:val="20"/>
                <w:szCs w:val="20"/>
                <w:color w:val="auto"/>
              </w:rPr>
            </w:pPr>
            <w:r>
              <w:rPr>
                <w:rFonts w:ascii="Arial" w:cs="Arial" w:eastAsia="Arial" w:hAnsi="Arial"/>
                <w:sz w:val="20"/>
                <w:szCs w:val="20"/>
                <w:color w:val="auto"/>
              </w:rPr>
              <w:t>10.14</w:t>
            </w:r>
          </w:p>
        </w:tc>
        <w:tc>
          <w:tcPr>
            <w:tcW w:w="1200" w:type="dxa"/>
            <w:vAlign w:val="bottom"/>
          </w:tcPr>
          <w:p>
            <w:pPr>
              <w:jc w:val="right"/>
              <w:ind w:right="141"/>
              <w:spacing w:after="0"/>
              <w:rPr>
                <w:sz w:val="20"/>
                <w:szCs w:val="20"/>
                <w:color w:val="auto"/>
              </w:rPr>
            </w:pPr>
            <w:r>
              <w:rPr>
                <w:rFonts w:ascii="Arial" w:cs="Arial" w:eastAsia="Arial" w:hAnsi="Arial"/>
                <w:sz w:val="20"/>
                <w:szCs w:val="20"/>
                <w:color w:val="auto"/>
              </w:rPr>
              <w:t>4/3/2017</w:t>
            </w:r>
          </w:p>
        </w:tc>
        <w:tc>
          <w:tcPr>
            <w:tcW w:w="340" w:type="dxa"/>
            <w:vAlign w:val="bottom"/>
          </w:tcPr>
          <w:p>
            <w:pPr>
              <w:spacing w:after="0"/>
              <w:rPr>
                <w:sz w:val="24"/>
                <w:szCs w:val="24"/>
                <w:color w:val="auto"/>
              </w:rPr>
            </w:pPr>
          </w:p>
        </w:tc>
      </w:tr>
      <w:tr>
        <w:trPr>
          <w:trHeight w:val="1478"/>
        </w:trPr>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6-K  001-38067</w:t>
            </w:r>
          </w:p>
        </w:tc>
        <w:tc>
          <w:tcPr>
            <w:tcW w:w="820" w:type="dxa"/>
            <w:vAlign w:val="bottom"/>
          </w:tcPr>
          <w:p>
            <w:pPr>
              <w:jc w:val="right"/>
              <w:spacing w:after="0"/>
              <w:rPr>
                <w:sz w:val="20"/>
                <w:szCs w:val="20"/>
                <w:color w:val="auto"/>
              </w:rPr>
            </w:pPr>
            <w:r>
              <w:rPr>
                <w:rFonts w:ascii="Arial" w:cs="Arial" w:eastAsia="Arial" w:hAnsi="Arial"/>
                <w:sz w:val="20"/>
                <w:szCs w:val="20"/>
                <w:color w:val="auto"/>
              </w:rPr>
              <w:t>1</w:t>
            </w:r>
          </w:p>
        </w:tc>
        <w:tc>
          <w:tcPr>
            <w:tcW w:w="1200" w:type="dxa"/>
            <w:vAlign w:val="bottom"/>
          </w:tcPr>
          <w:p>
            <w:pPr>
              <w:jc w:val="right"/>
              <w:ind w:right="141"/>
              <w:spacing w:after="0"/>
              <w:rPr>
                <w:sz w:val="20"/>
                <w:szCs w:val="20"/>
                <w:color w:val="auto"/>
              </w:rPr>
            </w:pPr>
            <w:r>
              <w:rPr>
                <w:rFonts w:ascii="Arial" w:cs="Arial" w:eastAsia="Arial" w:hAnsi="Arial"/>
                <w:sz w:val="20"/>
                <w:szCs w:val="20"/>
                <w:color w:val="auto"/>
              </w:rPr>
              <w:t>7/22/2020</w:t>
            </w:r>
          </w:p>
        </w:tc>
        <w:tc>
          <w:tcPr>
            <w:tcW w:w="340" w:type="dxa"/>
            <w:vAlign w:val="bottom"/>
          </w:tcPr>
          <w:p>
            <w:pPr>
              <w:spacing w:after="0"/>
              <w:rPr>
                <w:sz w:val="24"/>
                <w:szCs w:val="24"/>
                <w:color w:val="auto"/>
              </w:rPr>
            </w:pPr>
          </w:p>
        </w:tc>
      </w:tr>
      <w:tr>
        <w:trPr>
          <w:trHeight w:val="463"/>
        </w:trPr>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w w:val="97"/>
              </w:rPr>
              <w:t>10-K  001-38067</w:t>
            </w:r>
          </w:p>
        </w:tc>
        <w:tc>
          <w:tcPr>
            <w:tcW w:w="820" w:type="dxa"/>
            <w:vAlign w:val="bottom"/>
          </w:tcPr>
          <w:p>
            <w:pPr>
              <w:jc w:val="right"/>
              <w:spacing w:after="0"/>
              <w:rPr>
                <w:sz w:val="20"/>
                <w:szCs w:val="20"/>
                <w:color w:val="auto"/>
              </w:rPr>
            </w:pPr>
            <w:r>
              <w:rPr>
                <w:rFonts w:ascii="Arial" w:cs="Arial" w:eastAsia="Arial" w:hAnsi="Arial"/>
                <w:sz w:val="20"/>
                <w:szCs w:val="20"/>
                <w:color w:val="auto"/>
              </w:rPr>
              <w:t>10.2</w:t>
            </w:r>
          </w:p>
        </w:tc>
        <w:tc>
          <w:tcPr>
            <w:tcW w:w="1200" w:type="dxa"/>
            <w:vAlign w:val="bottom"/>
          </w:tcPr>
          <w:p>
            <w:pPr>
              <w:jc w:val="right"/>
              <w:ind w:right="141"/>
              <w:spacing w:after="0"/>
              <w:rPr>
                <w:sz w:val="20"/>
                <w:szCs w:val="20"/>
                <w:color w:val="auto"/>
              </w:rPr>
            </w:pPr>
            <w:r>
              <w:rPr>
                <w:rFonts w:ascii="Arial" w:cs="Arial" w:eastAsia="Arial" w:hAnsi="Arial"/>
                <w:sz w:val="20"/>
                <w:szCs w:val="20"/>
                <w:color w:val="auto"/>
              </w:rPr>
              <w:t>2/25/2021</w:t>
            </w:r>
          </w:p>
        </w:tc>
        <w:tc>
          <w:tcPr>
            <w:tcW w:w="340" w:type="dxa"/>
            <w:vAlign w:val="bottom"/>
          </w:tcPr>
          <w:p>
            <w:pPr>
              <w:spacing w:after="0"/>
              <w:rPr>
                <w:sz w:val="24"/>
                <w:szCs w:val="24"/>
                <w:color w:val="auto"/>
              </w:rPr>
            </w:pPr>
          </w:p>
        </w:tc>
      </w:tr>
      <w:tr>
        <w:trPr>
          <w:trHeight w:val="1000"/>
        </w:trPr>
        <w:tc>
          <w:tcPr>
            <w:tcW w:w="520" w:type="dxa"/>
            <w:vAlign w:val="bottom"/>
          </w:tcPr>
          <w:p>
            <w:pPr>
              <w:jc w:val="right"/>
              <w:ind w:right="21"/>
              <w:spacing w:after="0"/>
              <w:rPr>
                <w:sz w:val="20"/>
                <w:szCs w:val="20"/>
                <w:color w:val="auto"/>
              </w:rPr>
            </w:pPr>
            <w:r>
              <w:rPr>
                <w:rFonts w:ascii="Arial" w:cs="Arial" w:eastAsia="Arial" w:hAnsi="Arial"/>
                <w:sz w:val="20"/>
                <w:szCs w:val="20"/>
                <w:color w:val="auto"/>
                <w:w w:val="85"/>
              </w:rPr>
              <w:t>10-Q</w:t>
            </w:r>
          </w:p>
        </w:tc>
        <w:tc>
          <w:tcPr>
            <w:tcW w:w="1280" w:type="dxa"/>
            <w:vAlign w:val="bottom"/>
          </w:tcPr>
          <w:p>
            <w:pPr>
              <w:jc w:val="right"/>
              <w:ind w:right="221"/>
              <w:spacing w:after="0"/>
              <w:rPr>
                <w:sz w:val="20"/>
                <w:szCs w:val="20"/>
                <w:color w:val="auto"/>
              </w:rPr>
            </w:pPr>
            <w:r>
              <w:rPr>
                <w:rFonts w:ascii="Arial" w:cs="Arial" w:eastAsia="Arial" w:hAnsi="Arial"/>
                <w:sz w:val="20"/>
                <w:szCs w:val="20"/>
                <w:color w:val="auto"/>
                <w:w w:val="98"/>
              </w:rPr>
              <w:t>001-38067</w:t>
            </w:r>
          </w:p>
        </w:tc>
        <w:tc>
          <w:tcPr>
            <w:tcW w:w="820" w:type="dxa"/>
            <w:vAlign w:val="bottom"/>
          </w:tcPr>
          <w:p>
            <w:pPr>
              <w:jc w:val="right"/>
              <w:spacing w:after="0"/>
              <w:rPr>
                <w:sz w:val="20"/>
                <w:szCs w:val="20"/>
                <w:color w:val="auto"/>
              </w:rPr>
            </w:pPr>
            <w:r>
              <w:rPr>
                <w:rFonts w:ascii="Arial" w:cs="Arial" w:eastAsia="Arial" w:hAnsi="Arial"/>
                <w:sz w:val="20"/>
                <w:szCs w:val="20"/>
                <w:color w:val="auto"/>
              </w:rPr>
              <w:t>10.1</w:t>
            </w:r>
          </w:p>
        </w:tc>
        <w:tc>
          <w:tcPr>
            <w:tcW w:w="1200" w:type="dxa"/>
            <w:vAlign w:val="bottom"/>
          </w:tcPr>
          <w:p>
            <w:pPr>
              <w:jc w:val="right"/>
              <w:ind w:right="141"/>
              <w:spacing w:after="0"/>
              <w:rPr>
                <w:sz w:val="20"/>
                <w:szCs w:val="20"/>
                <w:color w:val="auto"/>
              </w:rPr>
            </w:pPr>
            <w:r>
              <w:rPr>
                <w:rFonts w:ascii="Arial" w:cs="Arial" w:eastAsia="Arial" w:hAnsi="Arial"/>
                <w:sz w:val="20"/>
                <w:szCs w:val="20"/>
                <w:color w:val="auto"/>
              </w:rPr>
              <w:t>8/5/2021</w:t>
            </w:r>
          </w:p>
        </w:tc>
        <w:tc>
          <w:tcPr>
            <w:tcW w:w="340" w:type="dxa"/>
            <w:vAlign w:val="bottom"/>
          </w:tcPr>
          <w:p>
            <w:pPr>
              <w:spacing w:after="0"/>
              <w:rPr>
                <w:sz w:val="24"/>
                <w:szCs w:val="24"/>
                <w:color w:val="auto"/>
              </w:rPr>
            </w:pPr>
          </w:p>
        </w:tc>
      </w:tr>
      <w:tr>
        <w:trPr>
          <w:trHeight w:val="1060"/>
        </w:trPr>
        <w:tc>
          <w:tcPr>
            <w:tcW w:w="1800" w:type="dxa"/>
            <w:vAlign w:val="bottom"/>
            <w:gridSpan w:val="2"/>
          </w:tcPr>
          <w:p>
            <w:pPr>
              <w:jc w:val="right"/>
              <w:ind w:right="221"/>
              <w:spacing w:after="0"/>
              <w:rPr>
                <w:sz w:val="20"/>
                <w:szCs w:val="20"/>
                <w:color w:val="auto"/>
              </w:rPr>
            </w:pPr>
            <w:r>
              <w:rPr>
                <w:rFonts w:ascii="Arial" w:cs="Arial" w:eastAsia="Arial" w:hAnsi="Arial"/>
                <w:sz w:val="20"/>
                <w:szCs w:val="20"/>
                <w:color w:val="auto"/>
              </w:rPr>
              <w:t>8-K  001-38067</w:t>
            </w:r>
          </w:p>
        </w:tc>
        <w:tc>
          <w:tcPr>
            <w:tcW w:w="820" w:type="dxa"/>
            <w:vAlign w:val="bottom"/>
          </w:tcPr>
          <w:p>
            <w:pPr>
              <w:jc w:val="right"/>
              <w:spacing w:after="0"/>
              <w:rPr>
                <w:sz w:val="20"/>
                <w:szCs w:val="20"/>
                <w:color w:val="auto"/>
              </w:rPr>
            </w:pPr>
            <w:r>
              <w:rPr>
                <w:rFonts w:ascii="Arial" w:cs="Arial" w:eastAsia="Arial" w:hAnsi="Arial"/>
                <w:sz w:val="20"/>
                <w:szCs w:val="20"/>
                <w:color w:val="auto"/>
              </w:rPr>
              <w:t>10.1</w:t>
            </w:r>
          </w:p>
        </w:tc>
        <w:tc>
          <w:tcPr>
            <w:tcW w:w="1200" w:type="dxa"/>
            <w:vAlign w:val="bottom"/>
          </w:tcPr>
          <w:p>
            <w:pPr>
              <w:jc w:val="right"/>
              <w:ind w:right="141"/>
              <w:spacing w:after="0"/>
              <w:rPr>
                <w:sz w:val="20"/>
                <w:szCs w:val="20"/>
                <w:color w:val="auto"/>
              </w:rPr>
            </w:pPr>
            <w:r>
              <w:rPr>
                <w:rFonts w:ascii="Arial" w:cs="Arial" w:eastAsia="Arial" w:hAnsi="Arial"/>
                <w:sz w:val="20"/>
                <w:szCs w:val="20"/>
                <w:color w:val="auto"/>
              </w:rPr>
              <w:t>1/2/2024</w:t>
            </w:r>
          </w:p>
        </w:tc>
        <w:tc>
          <w:tcPr>
            <w:tcW w:w="340" w:type="dxa"/>
            <w:vAlign w:val="bottom"/>
          </w:tcPr>
          <w:p>
            <w:pPr>
              <w:spacing w:after="0"/>
              <w:rPr>
                <w:sz w:val="24"/>
                <w:szCs w:val="24"/>
                <w:color w:val="auto"/>
              </w:rPr>
            </w:pPr>
          </w:p>
        </w:tc>
      </w:tr>
      <w:tr>
        <w:trPr>
          <w:trHeight w:val="672"/>
        </w:trPr>
        <w:tc>
          <w:tcPr>
            <w:tcW w:w="520" w:type="dxa"/>
            <w:vAlign w:val="bottom"/>
          </w:tcPr>
          <w:p>
            <w:pPr>
              <w:jc w:val="right"/>
              <w:ind w:right="21"/>
              <w:spacing w:after="0"/>
              <w:rPr>
                <w:sz w:val="20"/>
                <w:szCs w:val="20"/>
                <w:color w:val="auto"/>
              </w:rPr>
            </w:pPr>
            <w:r>
              <w:rPr>
                <w:rFonts w:ascii="Arial" w:cs="Arial" w:eastAsia="Arial" w:hAnsi="Arial"/>
                <w:sz w:val="20"/>
                <w:szCs w:val="20"/>
                <w:color w:val="auto"/>
                <w:w w:val="89"/>
              </w:rPr>
              <w:t>10-K</w:t>
            </w:r>
          </w:p>
        </w:tc>
        <w:tc>
          <w:tcPr>
            <w:tcW w:w="1280" w:type="dxa"/>
            <w:vAlign w:val="bottom"/>
          </w:tcPr>
          <w:p>
            <w:pPr>
              <w:jc w:val="right"/>
              <w:ind w:right="221"/>
              <w:spacing w:after="0"/>
              <w:rPr>
                <w:sz w:val="20"/>
                <w:szCs w:val="20"/>
                <w:color w:val="auto"/>
              </w:rPr>
            </w:pPr>
            <w:r>
              <w:rPr>
                <w:rFonts w:ascii="Arial" w:cs="Arial" w:eastAsia="Arial" w:hAnsi="Arial"/>
                <w:sz w:val="20"/>
                <w:szCs w:val="20"/>
                <w:color w:val="auto"/>
                <w:w w:val="98"/>
              </w:rPr>
              <w:t>001-38067</w:t>
            </w:r>
          </w:p>
        </w:tc>
        <w:tc>
          <w:tcPr>
            <w:tcW w:w="820" w:type="dxa"/>
            <w:vAlign w:val="bottom"/>
          </w:tcPr>
          <w:p>
            <w:pPr>
              <w:jc w:val="right"/>
              <w:spacing w:after="0"/>
              <w:rPr>
                <w:sz w:val="20"/>
                <w:szCs w:val="20"/>
                <w:color w:val="auto"/>
              </w:rPr>
            </w:pPr>
            <w:r>
              <w:rPr>
                <w:rFonts w:ascii="Arial" w:cs="Arial" w:eastAsia="Arial" w:hAnsi="Arial"/>
                <w:sz w:val="20"/>
                <w:szCs w:val="20"/>
                <w:color w:val="auto"/>
              </w:rPr>
              <w:t>10.23</w:t>
            </w:r>
          </w:p>
        </w:tc>
        <w:tc>
          <w:tcPr>
            <w:tcW w:w="1200" w:type="dxa"/>
            <w:vAlign w:val="bottom"/>
          </w:tcPr>
          <w:p>
            <w:pPr>
              <w:jc w:val="right"/>
              <w:ind w:right="141"/>
              <w:spacing w:after="0"/>
              <w:rPr>
                <w:sz w:val="20"/>
                <w:szCs w:val="20"/>
                <w:color w:val="auto"/>
              </w:rPr>
            </w:pPr>
            <w:r>
              <w:rPr>
                <w:rFonts w:ascii="Arial" w:cs="Arial" w:eastAsia="Arial" w:hAnsi="Arial"/>
                <w:sz w:val="20"/>
                <w:szCs w:val="20"/>
                <w:color w:val="auto"/>
              </w:rPr>
              <w:t>2/29/2024</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4"/>
        </w:trPr>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672"/>
        </w:trPr>
        <w:tc>
          <w:tcPr>
            <w:tcW w:w="520" w:type="dxa"/>
            <w:vAlign w:val="bottom"/>
          </w:tcPr>
          <w:p>
            <w:pPr>
              <w:jc w:val="right"/>
              <w:ind w:right="21"/>
              <w:spacing w:after="0"/>
              <w:rPr>
                <w:sz w:val="20"/>
                <w:szCs w:val="20"/>
                <w:color w:val="auto"/>
              </w:rPr>
            </w:pPr>
            <w:r>
              <w:rPr>
                <w:rFonts w:ascii="Arial" w:cs="Arial" w:eastAsia="Arial" w:hAnsi="Arial"/>
                <w:sz w:val="20"/>
                <w:szCs w:val="20"/>
                <w:color w:val="auto"/>
              </w:rPr>
              <w:t>8-K</w:t>
            </w:r>
          </w:p>
        </w:tc>
        <w:tc>
          <w:tcPr>
            <w:tcW w:w="1280" w:type="dxa"/>
            <w:vAlign w:val="bottom"/>
          </w:tcPr>
          <w:p>
            <w:pPr>
              <w:jc w:val="right"/>
              <w:ind w:right="221"/>
              <w:spacing w:after="0"/>
              <w:rPr>
                <w:sz w:val="20"/>
                <w:szCs w:val="20"/>
                <w:color w:val="auto"/>
              </w:rPr>
            </w:pPr>
            <w:r>
              <w:rPr>
                <w:rFonts w:ascii="Arial" w:cs="Arial" w:eastAsia="Arial" w:hAnsi="Arial"/>
                <w:sz w:val="20"/>
                <w:szCs w:val="20"/>
                <w:color w:val="auto"/>
                <w:w w:val="98"/>
              </w:rPr>
              <w:t>001-38067</w:t>
            </w:r>
          </w:p>
        </w:tc>
        <w:tc>
          <w:tcPr>
            <w:tcW w:w="820" w:type="dxa"/>
            <w:vAlign w:val="bottom"/>
          </w:tcPr>
          <w:p>
            <w:pPr>
              <w:jc w:val="right"/>
              <w:spacing w:after="0"/>
              <w:rPr>
                <w:sz w:val="20"/>
                <w:szCs w:val="20"/>
                <w:color w:val="auto"/>
              </w:rPr>
            </w:pPr>
            <w:r>
              <w:rPr>
                <w:rFonts w:ascii="Arial" w:cs="Arial" w:eastAsia="Arial" w:hAnsi="Arial"/>
                <w:sz w:val="20"/>
                <w:szCs w:val="20"/>
                <w:color w:val="auto"/>
              </w:rPr>
              <w:t>16.1</w:t>
            </w:r>
          </w:p>
        </w:tc>
        <w:tc>
          <w:tcPr>
            <w:tcW w:w="1200" w:type="dxa"/>
            <w:vAlign w:val="bottom"/>
          </w:tcPr>
          <w:p>
            <w:pPr>
              <w:jc w:val="right"/>
              <w:ind w:right="141"/>
              <w:spacing w:after="0"/>
              <w:rPr>
                <w:sz w:val="20"/>
                <w:szCs w:val="20"/>
                <w:color w:val="auto"/>
              </w:rPr>
            </w:pPr>
            <w:r>
              <w:rPr>
                <w:rFonts w:ascii="Arial" w:cs="Arial" w:eastAsia="Arial" w:hAnsi="Arial"/>
                <w:sz w:val="20"/>
                <w:szCs w:val="20"/>
                <w:color w:val="auto"/>
                <w:w w:val="93"/>
              </w:rPr>
              <w:t>12/18/2023</w:t>
            </w:r>
          </w:p>
        </w:tc>
        <w:tc>
          <w:tcPr>
            <w:tcW w:w="340" w:type="dxa"/>
            <w:vAlign w:val="bottom"/>
          </w:tcPr>
          <w:p>
            <w:pPr>
              <w:spacing w:after="0"/>
              <w:rPr>
                <w:sz w:val="24"/>
                <w:szCs w:val="24"/>
                <w:color w:val="auto"/>
              </w:rPr>
            </w:pPr>
          </w:p>
        </w:tc>
      </w:tr>
      <w:tr>
        <w:trPr>
          <w:trHeight w:val="672"/>
        </w:trPr>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63"/>
        </w:trPr>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63"/>
        </w:trPr>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w:t>
      </w:r>
    </w:p>
    <w:p>
      <w:pPr>
        <w:spacing w:after="0" w:line="233" w:lineRule="exact"/>
        <w:rPr>
          <w:sz w:val="20"/>
          <w:szCs w:val="20"/>
          <w:color w:val="auto"/>
        </w:rPr>
      </w:pPr>
    </w:p>
    <w:p>
      <w:pPr>
        <w:jc w:val="right"/>
        <w:ind w:right="40"/>
        <w:spacing w:after="0"/>
        <w:rPr>
          <w:sz w:val="20"/>
          <w:szCs w:val="20"/>
          <w:color w:val="auto"/>
        </w:rPr>
      </w:pPr>
      <w:r>
        <w:rPr>
          <w:rFonts w:ascii="Arial" w:cs="Arial" w:eastAsia="Arial" w:hAnsi="Arial"/>
          <w:sz w:val="20"/>
          <w:szCs w:val="20"/>
          <w:color w:val="auto"/>
        </w:rPr>
        <w:t>**</w:t>
      </w:r>
    </w:p>
    <w:p>
      <w:pPr>
        <w:spacing w:after="0" w:line="233"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4060"/>
        <w:spacing w:after="0"/>
        <w:rPr>
          <w:sz w:val="20"/>
          <w:szCs w:val="20"/>
          <w:color w:val="auto"/>
        </w:rPr>
      </w:pPr>
      <w:r>
        <w:rPr>
          <w:rFonts w:ascii="Arial" w:cs="Arial" w:eastAsia="Arial" w:hAnsi="Arial"/>
          <w:sz w:val="20"/>
          <w:szCs w:val="20"/>
          <w:color w:val="auto"/>
        </w:rPr>
        <w:t>*</w:t>
      </w:r>
    </w:p>
    <w:p>
      <w:pPr>
        <w:spacing w:after="0" w:line="230" w:lineRule="exact"/>
        <w:rPr>
          <w:sz w:val="20"/>
          <w:szCs w:val="20"/>
          <w:color w:val="auto"/>
        </w:rPr>
      </w:pPr>
    </w:p>
    <w:p>
      <w:pPr>
        <w:sectPr>
          <w:pgSz w:w="11880" w:h="15480" w:orient="portrait"/>
          <w:cols w:equalWidth="0" w:num="2">
            <w:col w:w="4540" w:space="300"/>
            <w:col w:w="4260"/>
          </w:cols>
          <w:pgMar w:left="1340" w:top="125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9100"/>
          </w:cols>
          <w:pgMar w:left="1340" w:top="1253" w:right="1440" w:bottom="0" w:gutter="0" w:footer="0" w:header="0"/>
          <w:type w:val="continuous"/>
        </w:sectPr>
      </w:pPr>
    </w:p>
    <w:bookmarkStart w:id="105" w:name="page106"/>
    <w:bookmarkEnd w:id="105"/>
    <w:tbl>
      <w:tblPr>
        <w:tblLayout w:type="fixed"/>
        <w:tblInd w:w="60" w:type="dxa"/>
        <w:tblCellMar>
          <w:top w:w="0" w:type="dxa"/>
          <w:left w:w="0" w:type="dxa"/>
          <w:bottom w:w="0" w:type="dxa"/>
          <w:right w:w="0" w:type="dxa"/>
        </w:tblCellMar>
      </w:tblPr>
      <w:tr>
        <w:trPr>
          <w:trHeight w:val="230"/>
        </w:trPr>
        <w:tc>
          <w:tcPr>
            <w:tcW w:w="820" w:type="dxa"/>
            <w:vAlign w:val="bottom"/>
            <w:vMerge w:val="restart"/>
          </w:tcPr>
          <w:p>
            <w:pPr>
              <w:spacing w:after="0"/>
              <w:rPr>
                <w:sz w:val="20"/>
                <w:szCs w:val="20"/>
                <w:color w:val="auto"/>
              </w:rPr>
            </w:pPr>
            <w:r>
              <w:rPr>
                <w:rFonts w:ascii="Arial" w:cs="Arial" w:eastAsia="Arial" w:hAnsi="Arial"/>
                <w:sz w:val="20"/>
                <w:szCs w:val="20"/>
                <w:color w:val="auto"/>
                <w:w w:val="98"/>
              </w:rPr>
              <w:t>101.SCH</w:t>
            </w:r>
          </w:p>
        </w:tc>
        <w:tc>
          <w:tcPr>
            <w:tcW w:w="5840" w:type="dxa"/>
            <w:vAlign w:val="bottom"/>
          </w:tcPr>
          <w:p>
            <w:pPr>
              <w:ind w:left="80"/>
              <w:spacing w:after="0"/>
              <w:rPr>
                <w:sz w:val="20"/>
                <w:szCs w:val="20"/>
                <w:color w:val="auto"/>
              </w:rPr>
            </w:pPr>
            <w:r>
              <w:rPr>
                <w:rFonts w:ascii="Arial" w:cs="Arial" w:eastAsia="Arial" w:hAnsi="Arial"/>
                <w:sz w:val="20"/>
                <w:szCs w:val="20"/>
                <w:color w:val="auto"/>
              </w:rPr>
              <w:t>Inline XBRL Taxonomy Extension Schema</w:t>
            </w:r>
          </w:p>
        </w:tc>
        <w:tc>
          <w:tcPr>
            <w:tcW w:w="23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5840" w:type="dxa"/>
            <w:vAlign w:val="bottom"/>
          </w:tcPr>
          <w:p>
            <w:pPr>
              <w:ind w:left="80"/>
              <w:spacing w:after="0"/>
              <w:rPr>
                <w:sz w:val="20"/>
                <w:szCs w:val="20"/>
                <w:color w:val="auto"/>
              </w:rPr>
            </w:pPr>
            <w:r>
              <w:rPr>
                <w:rFonts w:ascii="Arial" w:cs="Arial" w:eastAsia="Arial" w:hAnsi="Arial"/>
                <w:sz w:val="20"/>
                <w:szCs w:val="20"/>
                <w:color w:val="auto"/>
              </w:rPr>
              <w:t>Document</w:t>
            </w:r>
          </w:p>
        </w:tc>
        <w:tc>
          <w:tcPr>
            <w:tcW w:w="2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820" w:type="dxa"/>
            <w:vAlign w:val="bottom"/>
            <w:vMerge w:val="restart"/>
          </w:tcPr>
          <w:p>
            <w:pPr>
              <w:spacing w:after="0"/>
              <w:rPr>
                <w:sz w:val="20"/>
                <w:szCs w:val="20"/>
                <w:color w:val="auto"/>
              </w:rPr>
            </w:pPr>
            <w:r>
              <w:rPr>
                <w:rFonts w:ascii="Arial" w:cs="Arial" w:eastAsia="Arial" w:hAnsi="Arial"/>
                <w:sz w:val="20"/>
                <w:szCs w:val="20"/>
                <w:color w:val="auto"/>
              </w:rPr>
              <w:t>101.CAL</w:t>
            </w:r>
          </w:p>
        </w:tc>
        <w:tc>
          <w:tcPr>
            <w:tcW w:w="5840" w:type="dxa"/>
            <w:vAlign w:val="bottom"/>
          </w:tcPr>
          <w:p>
            <w:pPr>
              <w:ind w:left="80"/>
              <w:spacing w:after="0" w:line="203" w:lineRule="exact"/>
              <w:rPr>
                <w:sz w:val="20"/>
                <w:szCs w:val="20"/>
                <w:color w:val="auto"/>
              </w:rPr>
            </w:pPr>
            <w:r>
              <w:rPr>
                <w:rFonts w:ascii="Arial" w:cs="Arial" w:eastAsia="Arial" w:hAnsi="Arial"/>
                <w:sz w:val="20"/>
                <w:szCs w:val="20"/>
                <w:color w:val="auto"/>
              </w:rPr>
              <w:t>Inline XBRL Taxonomy Extension</w:t>
            </w:r>
          </w:p>
        </w:tc>
        <w:tc>
          <w:tcPr>
            <w:tcW w:w="23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5840" w:type="dxa"/>
            <w:vAlign w:val="bottom"/>
          </w:tcPr>
          <w:p>
            <w:pPr>
              <w:ind w:left="80"/>
              <w:spacing w:after="0"/>
              <w:rPr>
                <w:sz w:val="20"/>
                <w:szCs w:val="20"/>
                <w:color w:val="auto"/>
              </w:rPr>
            </w:pPr>
            <w:r>
              <w:rPr>
                <w:rFonts w:ascii="Arial" w:cs="Arial" w:eastAsia="Arial" w:hAnsi="Arial"/>
                <w:sz w:val="20"/>
                <w:szCs w:val="20"/>
                <w:color w:val="auto"/>
              </w:rPr>
              <w:t>Calculation Linkbase Document</w:t>
            </w:r>
          </w:p>
        </w:tc>
        <w:tc>
          <w:tcPr>
            <w:tcW w:w="2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820" w:type="dxa"/>
            <w:vAlign w:val="bottom"/>
            <w:vMerge w:val="restart"/>
          </w:tcPr>
          <w:p>
            <w:pPr>
              <w:spacing w:after="0"/>
              <w:rPr>
                <w:sz w:val="20"/>
                <w:szCs w:val="20"/>
                <w:color w:val="auto"/>
              </w:rPr>
            </w:pPr>
            <w:r>
              <w:rPr>
                <w:rFonts w:ascii="Arial" w:cs="Arial" w:eastAsia="Arial" w:hAnsi="Arial"/>
                <w:sz w:val="20"/>
                <w:szCs w:val="20"/>
                <w:color w:val="auto"/>
              </w:rPr>
              <w:t>101.LAB</w:t>
            </w:r>
          </w:p>
        </w:tc>
        <w:tc>
          <w:tcPr>
            <w:tcW w:w="5840" w:type="dxa"/>
            <w:vAlign w:val="bottom"/>
          </w:tcPr>
          <w:p>
            <w:pPr>
              <w:ind w:left="80"/>
              <w:spacing w:after="0" w:line="203" w:lineRule="exact"/>
              <w:rPr>
                <w:sz w:val="20"/>
                <w:szCs w:val="20"/>
                <w:color w:val="auto"/>
              </w:rPr>
            </w:pPr>
            <w:r>
              <w:rPr>
                <w:rFonts w:ascii="Arial" w:cs="Arial" w:eastAsia="Arial" w:hAnsi="Arial"/>
                <w:sz w:val="20"/>
                <w:szCs w:val="20"/>
                <w:color w:val="auto"/>
              </w:rPr>
              <w:t>Inline XBRL Taxonomy Extension Label</w:t>
            </w:r>
          </w:p>
        </w:tc>
        <w:tc>
          <w:tcPr>
            <w:tcW w:w="23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5840" w:type="dxa"/>
            <w:vAlign w:val="bottom"/>
          </w:tcPr>
          <w:p>
            <w:pPr>
              <w:ind w:left="80"/>
              <w:spacing w:after="0"/>
              <w:rPr>
                <w:sz w:val="20"/>
                <w:szCs w:val="20"/>
                <w:color w:val="auto"/>
              </w:rPr>
            </w:pPr>
            <w:r>
              <w:rPr>
                <w:rFonts w:ascii="Arial" w:cs="Arial" w:eastAsia="Arial" w:hAnsi="Arial"/>
                <w:sz w:val="20"/>
                <w:szCs w:val="20"/>
                <w:color w:val="auto"/>
              </w:rPr>
              <w:t>Linkbase Document</w:t>
            </w:r>
          </w:p>
        </w:tc>
        <w:tc>
          <w:tcPr>
            <w:tcW w:w="2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820" w:type="dxa"/>
            <w:vAlign w:val="bottom"/>
            <w:vMerge w:val="restart"/>
          </w:tcPr>
          <w:p>
            <w:pPr>
              <w:spacing w:after="0"/>
              <w:rPr>
                <w:sz w:val="20"/>
                <w:szCs w:val="20"/>
                <w:color w:val="auto"/>
              </w:rPr>
            </w:pPr>
            <w:r>
              <w:rPr>
                <w:rFonts w:ascii="Arial" w:cs="Arial" w:eastAsia="Arial" w:hAnsi="Arial"/>
                <w:sz w:val="20"/>
                <w:szCs w:val="20"/>
                <w:color w:val="auto"/>
                <w:w w:val="99"/>
              </w:rPr>
              <w:t>101.PRE</w:t>
            </w:r>
          </w:p>
        </w:tc>
        <w:tc>
          <w:tcPr>
            <w:tcW w:w="5840" w:type="dxa"/>
            <w:vAlign w:val="bottom"/>
          </w:tcPr>
          <w:p>
            <w:pPr>
              <w:ind w:left="80"/>
              <w:spacing w:after="0" w:line="203" w:lineRule="exact"/>
              <w:rPr>
                <w:sz w:val="20"/>
                <w:szCs w:val="20"/>
                <w:color w:val="auto"/>
              </w:rPr>
            </w:pPr>
            <w:r>
              <w:rPr>
                <w:rFonts w:ascii="Arial" w:cs="Arial" w:eastAsia="Arial" w:hAnsi="Arial"/>
                <w:sz w:val="20"/>
                <w:szCs w:val="20"/>
                <w:color w:val="auto"/>
              </w:rPr>
              <w:t>Inline XBRL Taxonomy Extension</w:t>
            </w:r>
          </w:p>
        </w:tc>
        <w:tc>
          <w:tcPr>
            <w:tcW w:w="23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5840" w:type="dxa"/>
            <w:vAlign w:val="bottom"/>
          </w:tcPr>
          <w:p>
            <w:pPr>
              <w:ind w:left="80"/>
              <w:spacing w:after="0"/>
              <w:rPr>
                <w:sz w:val="20"/>
                <w:szCs w:val="20"/>
                <w:color w:val="auto"/>
              </w:rPr>
            </w:pPr>
            <w:r>
              <w:rPr>
                <w:rFonts w:ascii="Arial" w:cs="Arial" w:eastAsia="Arial" w:hAnsi="Arial"/>
                <w:sz w:val="20"/>
                <w:szCs w:val="20"/>
                <w:color w:val="auto"/>
              </w:rPr>
              <w:t>Presentation Linkbase Document</w:t>
            </w:r>
          </w:p>
        </w:tc>
        <w:tc>
          <w:tcPr>
            <w:tcW w:w="2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820" w:type="dxa"/>
            <w:vAlign w:val="bottom"/>
            <w:vMerge w:val="restart"/>
          </w:tcPr>
          <w:p>
            <w:pPr>
              <w:spacing w:after="0"/>
              <w:rPr>
                <w:sz w:val="20"/>
                <w:szCs w:val="20"/>
                <w:color w:val="auto"/>
              </w:rPr>
            </w:pPr>
            <w:r>
              <w:rPr>
                <w:rFonts w:ascii="Arial" w:cs="Arial" w:eastAsia="Arial" w:hAnsi="Arial"/>
                <w:sz w:val="20"/>
                <w:szCs w:val="20"/>
                <w:color w:val="auto"/>
              </w:rPr>
              <w:t>101.DEF</w:t>
            </w:r>
          </w:p>
        </w:tc>
        <w:tc>
          <w:tcPr>
            <w:tcW w:w="5840" w:type="dxa"/>
            <w:vAlign w:val="bottom"/>
          </w:tcPr>
          <w:p>
            <w:pPr>
              <w:ind w:left="80"/>
              <w:spacing w:after="0" w:line="203" w:lineRule="exact"/>
              <w:rPr>
                <w:sz w:val="20"/>
                <w:szCs w:val="20"/>
                <w:color w:val="auto"/>
              </w:rPr>
            </w:pPr>
            <w:r>
              <w:rPr>
                <w:rFonts w:ascii="Arial" w:cs="Arial" w:eastAsia="Arial" w:hAnsi="Arial"/>
                <w:sz w:val="20"/>
                <w:szCs w:val="20"/>
                <w:color w:val="auto"/>
              </w:rPr>
              <w:t>Inline XBRL Taxonomy Extension</w:t>
            </w:r>
          </w:p>
        </w:tc>
        <w:tc>
          <w:tcPr>
            <w:tcW w:w="23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5840" w:type="dxa"/>
            <w:vAlign w:val="bottom"/>
          </w:tcPr>
          <w:p>
            <w:pPr>
              <w:ind w:left="80"/>
              <w:spacing w:after="0"/>
              <w:rPr>
                <w:sz w:val="20"/>
                <w:szCs w:val="20"/>
                <w:color w:val="auto"/>
              </w:rPr>
            </w:pPr>
            <w:r>
              <w:rPr>
                <w:rFonts w:ascii="Arial" w:cs="Arial" w:eastAsia="Arial" w:hAnsi="Arial"/>
                <w:sz w:val="20"/>
                <w:szCs w:val="20"/>
                <w:color w:val="auto"/>
              </w:rPr>
              <w:t>Definition Linkbase Document</w:t>
            </w:r>
          </w:p>
        </w:tc>
        <w:tc>
          <w:tcPr>
            <w:tcW w:w="2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820" w:type="dxa"/>
            <w:vAlign w:val="bottom"/>
          </w:tcPr>
          <w:p>
            <w:pPr>
              <w:spacing w:after="0"/>
              <w:rPr>
                <w:sz w:val="17"/>
                <w:szCs w:val="17"/>
                <w:color w:val="auto"/>
              </w:rPr>
            </w:pPr>
          </w:p>
        </w:tc>
        <w:tc>
          <w:tcPr>
            <w:tcW w:w="5840" w:type="dxa"/>
            <w:vAlign w:val="bottom"/>
          </w:tcPr>
          <w:p>
            <w:pPr>
              <w:ind w:left="80"/>
              <w:spacing w:after="0" w:line="202" w:lineRule="exact"/>
              <w:rPr>
                <w:sz w:val="20"/>
                <w:szCs w:val="20"/>
                <w:color w:val="auto"/>
              </w:rPr>
            </w:pPr>
            <w:r>
              <w:rPr>
                <w:rFonts w:ascii="Arial" w:cs="Arial" w:eastAsia="Arial" w:hAnsi="Arial"/>
                <w:sz w:val="20"/>
                <w:szCs w:val="20"/>
                <w:color w:val="auto"/>
              </w:rPr>
              <w:t>Cover Page Interactive Data File (formatted</w:t>
            </w:r>
          </w:p>
        </w:tc>
        <w:tc>
          <w:tcPr>
            <w:tcW w:w="2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 w:type="dxa"/>
            <w:vAlign w:val="bottom"/>
            <w:vMerge w:val="restart"/>
          </w:tcPr>
          <w:p>
            <w:pPr>
              <w:spacing w:after="0"/>
              <w:rPr>
                <w:sz w:val="20"/>
                <w:szCs w:val="20"/>
                <w:color w:val="auto"/>
              </w:rPr>
            </w:pPr>
            <w:r>
              <w:rPr>
                <w:rFonts w:ascii="Arial" w:cs="Arial" w:eastAsia="Arial" w:hAnsi="Arial"/>
                <w:sz w:val="20"/>
                <w:szCs w:val="20"/>
                <w:color w:val="auto"/>
              </w:rPr>
              <w:t>104</w:t>
            </w:r>
          </w:p>
        </w:tc>
        <w:tc>
          <w:tcPr>
            <w:tcW w:w="5840" w:type="dxa"/>
            <w:vAlign w:val="bottom"/>
          </w:tcPr>
          <w:p>
            <w:pPr>
              <w:ind w:left="80"/>
              <w:spacing w:after="0" w:line="199" w:lineRule="exact"/>
              <w:rPr>
                <w:sz w:val="20"/>
                <w:szCs w:val="20"/>
                <w:color w:val="auto"/>
              </w:rPr>
            </w:pPr>
            <w:r>
              <w:rPr>
                <w:rFonts w:ascii="Arial" w:cs="Arial" w:eastAsia="Arial" w:hAnsi="Arial"/>
                <w:sz w:val="20"/>
                <w:szCs w:val="20"/>
                <w:color w:val="auto"/>
              </w:rPr>
              <w:t>in Inline XBRL and contained in Exhibit</w:t>
            </w:r>
          </w:p>
        </w:tc>
        <w:tc>
          <w:tcPr>
            <w:tcW w:w="23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0"/>
        </w:trPr>
        <w:tc>
          <w:tcPr>
            <w:tcW w:w="820" w:type="dxa"/>
            <w:vAlign w:val="bottom"/>
            <w:vMerge w:val="continue"/>
          </w:tcPr>
          <w:p>
            <w:pPr>
              <w:spacing w:after="0"/>
              <w:rPr>
                <w:sz w:val="22"/>
                <w:szCs w:val="22"/>
                <w:color w:val="auto"/>
              </w:rPr>
            </w:pPr>
          </w:p>
        </w:tc>
        <w:tc>
          <w:tcPr>
            <w:tcW w:w="5840" w:type="dxa"/>
            <w:vAlign w:val="bottom"/>
          </w:tcPr>
          <w:p>
            <w:pPr>
              <w:ind w:left="80"/>
              <w:spacing w:after="0"/>
              <w:rPr>
                <w:sz w:val="20"/>
                <w:szCs w:val="20"/>
                <w:color w:val="auto"/>
              </w:rPr>
            </w:pPr>
            <w:r>
              <w:rPr>
                <w:rFonts w:ascii="Arial" w:cs="Arial" w:eastAsia="Arial" w:hAnsi="Arial"/>
                <w:sz w:val="20"/>
                <w:szCs w:val="20"/>
                <w:color w:val="auto"/>
              </w:rPr>
              <w:t>101)</w:t>
            </w:r>
          </w:p>
        </w:tc>
        <w:tc>
          <w:tcPr>
            <w:tcW w:w="2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00" w:hanging="497"/>
        <w:spacing w:after="0"/>
        <w:tabs>
          <w:tab w:leader="none" w:pos="5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Filed herewith.</w:t>
      </w:r>
    </w:p>
    <w:p>
      <w:pPr>
        <w:spacing w:after="0" w:line="108" w:lineRule="exact"/>
        <w:rPr>
          <w:sz w:val="20"/>
          <w:szCs w:val="20"/>
          <w:color w:val="auto"/>
        </w:rPr>
      </w:pPr>
    </w:p>
    <w:p>
      <w:pPr>
        <w:ind w:left="500" w:hanging="497"/>
        <w:spacing w:after="0"/>
        <w:tabs>
          <w:tab w:leader="none" w:pos="5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Furnished herewith.</w:t>
      </w:r>
    </w:p>
    <w:p>
      <w:pPr>
        <w:spacing w:after="0" w:line="108" w:lineRule="exact"/>
        <w:rPr>
          <w:sz w:val="20"/>
          <w:szCs w:val="20"/>
          <w:color w:val="auto"/>
        </w:rPr>
      </w:pPr>
    </w:p>
    <w:p>
      <w:pPr>
        <w:ind w:left="560" w:hanging="557"/>
        <w:spacing w:after="0"/>
        <w:tabs>
          <w:tab w:leader="none" w:pos="5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Indicates management contract or compensatory plan.</w:t>
      </w:r>
    </w:p>
    <w:p>
      <w:pPr>
        <w:spacing w:after="0" w:line="108" w:lineRule="exact"/>
        <w:rPr>
          <w:sz w:val="20"/>
          <w:szCs w:val="20"/>
          <w:color w:val="auto"/>
        </w:rPr>
      </w:pPr>
    </w:p>
    <w:p>
      <w:pPr>
        <w:jc w:val="both"/>
        <w:ind w:firstLine="3"/>
        <w:spacing w:after="0" w:line="239" w:lineRule="auto"/>
        <w:tabs>
          <w:tab w:leader="none" w:pos="764" w:val="left"/>
        </w:tabs>
        <w:numPr>
          <w:ilvl w:val="0"/>
          <w:numId w:val="60"/>
        </w:numPr>
        <w:rPr>
          <w:rFonts w:ascii="Arial" w:cs="Arial" w:eastAsia="Arial" w:hAnsi="Arial"/>
          <w:sz w:val="20"/>
          <w:szCs w:val="20"/>
          <w:color w:val="auto"/>
        </w:rPr>
      </w:pPr>
      <w:r>
        <w:rPr>
          <w:rFonts w:ascii="Arial" w:cs="Arial" w:eastAsia="Arial" w:hAnsi="Arial"/>
          <w:sz w:val="20"/>
          <w:szCs w:val="20"/>
          <w:color w:val="auto"/>
        </w:rPr>
        <w:t>Portions of this exhibit (indicated by asterisks) have been omitted pursuant to Regulation S-K, Item 601(b)(10). Such omitted information is not material and the registrant customarily and actually treats such information as private or confidential. Additionally, schedules and attachments to this exhibit have been omitted pursuant to Regulation S-K, Items 601(a)(5).</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9320"/>
          </w:cols>
          <w:pgMar w:left="1280" w:top="125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9320"/>
          </w:cols>
          <w:pgMar w:left="1280" w:top="1253" w:right="1280" w:bottom="0" w:gutter="0" w:footer="0" w:header="0"/>
          <w:type w:val="continuous"/>
        </w:sectPr>
      </w:pPr>
    </w:p>
    <w:bookmarkStart w:id="106" w:name="page107"/>
    <w:bookmarkEnd w:id="106"/>
    <w:p>
      <w:pPr>
        <w:spacing w:after="0" w:line="22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SIGNATURES</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VERONA PHARMA PLC</w:t>
      </w:r>
    </w:p>
    <w:p>
      <w:pPr>
        <w:spacing w:after="0" w:line="367" w:lineRule="exact"/>
        <w:rPr>
          <w:sz w:val="20"/>
          <w:szCs w:val="20"/>
          <w:color w:val="auto"/>
        </w:rPr>
      </w:pPr>
    </w:p>
    <w:p>
      <w:pPr>
        <w:ind w:left="60"/>
        <w:spacing w:after="0"/>
        <w:tabs>
          <w:tab w:leader="none" w:pos="4580" w:val="left"/>
          <w:tab w:leader="none" w:pos="6860" w:val="left"/>
        </w:tabs>
        <w:rPr>
          <w:sz w:val="20"/>
          <w:szCs w:val="20"/>
          <w:color w:val="auto"/>
        </w:rPr>
      </w:pPr>
      <w:r>
        <w:rPr>
          <w:rFonts w:ascii="Arial" w:cs="Arial" w:eastAsia="Arial" w:hAnsi="Arial"/>
          <w:sz w:val="20"/>
          <w:szCs w:val="20"/>
          <w:color w:val="auto"/>
        </w:rPr>
        <w:t>Date: February 29, 2024</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David Zaccardelli</w:t>
      </w:r>
    </w:p>
    <w:p>
      <w:pPr>
        <w:spacing w:after="0" w:line="69" w:lineRule="exact"/>
        <w:rPr>
          <w:sz w:val="20"/>
          <w:szCs w:val="20"/>
          <w:color w:val="auto"/>
        </w:rPr>
      </w:pPr>
    </w:p>
    <w:p>
      <w:pPr>
        <w:ind w:left="6880"/>
        <w:spacing w:after="0"/>
        <w:rPr>
          <w:sz w:val="20"/>
          <w:szCs w:val="20"/>
          <w:color w:val="auto"/>
        </w:rPr>
      </w:pPr>
      <w:r>
        <w:rPr>
          <w:rFonts w:ascii="Arial" w:cs="Arial" w:eastAsia="Arial" w:hAnsi="Arial"/>
          <w:sz w:val="19"/>
          <w:szCs w:val="19"/>
          <w:color w:val="auto"/>
        </w:rPr>
        <w:t>David Zaccardelli, Pharm. 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4333240</wp:posOffset>
                </wp:positionH>
                <wp:positionV relativeFrom="paragraph">
                  <wp:posOffset>-132080</wp:posOffset>
                </wp:positionV>
                <wp:extent cx="158242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2420" cy="4763"/>
                        </a:xfrm>
                        <a:prstGeom prst="line">
                          <a:avLst/>
                        </a:prstGeom>
                        <a:solidFill>
                          <a:srgbClr val="FFFFFF"/>
                        </a:solidFill>
                        <a:ln w="12636">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2pt,-10.3999pt" to="465.8pt,-10.3999pt" o:allowincell="f" strokecolor="#000000" strokeweight="0.995pt"/>
            </w:pict>
          </mc:Fallback>
        </mc:AlternateContent>
      </w:r>
    </w:p>
    <w:p>
      <w:pPr>
        <w:spacing w:after="0" w:line="253" w:lineRule="exact"/>
        <w:rPr>
          <w:sz w:val="20"/>
          <w:szCs w:val="20"/>
          <w:color w:val="auto"/>
        </w:rPr>
      </w:pPr>
    </w:p>
    <w:p>
      <w:pPr>
        <w:ind w:left="6880"/>
        <w:spacing w:after="0"/>
        <w:rPr>
          <w:sz w:val="20"/>
          <w:szCs w:val="20"/>
          <w:color w:val="auto"/>
        </w:rPr>
      </w:pPr>
      <w:r>
        <w:rPr>
          <w:rFonts w:ascii="Arial" w:cs="Arial" w:eastAsia="Arial" w:hAnsi="Arial"/>
          <w:sz w:val="20"/>
          <w:szCs w:val="20"/>
          <w:color w:val="auto"/>
        </w:rPr>
        <w:t>President and Chief</w:t>
      </w:r>
    </w:p>
    <w:p>
      <w:pPr>
        <w:ind w:left="6880"/>
        <w:spacing w:after="0"/>
        <w:rPr>
          <w:sz w:val="20"/>
          <w:szCs w:val="20"/>
          <w:color w:val="auto"/>
        </w:rPr>
      </w:pPr>
      <w:r>
        <w:rPr>
          <w:rFonts w:ascii="Arial" w:cs="Arial" w:eastAsia="Arial" w:hAnsi="Arial"/>
          <w:sz w:val="20"/>
          <w:szCs w:val="20"/>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in the capacities and on the dates indicated.</w:t>
      </w:r>
    </w:p>
    <w:p>
      <w:pPr>
        <w:sectPr>
          <w:pgSz w:w="11880" w:h="15480" w:orient="portrait"/>
          <w:cols w:equalWidth="0" w:num="1">
            <w:col w:w="9320"/>
          </w:cols>
          <w:pgMar w:left="1280" w:top="14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9320"/>
          </w:cols>
          <w:pgMar w:left="1280" w:top="1440" w:right="1280" w:bottom="0" w:gutter="0" w:footer="0" w:header="0"/>
          <w:type w:val="continuous"/>
        </w:sectPr>
      </w:pPr>
    </w:p>
    <w:bookmarkStart w:id="107" w:name="page108"/>
    <w:bookmarkEnd w:id="107"/>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789940</wp:posOffset>
            </wp:positionH>
            <wp:positionV relativeFrom="page">
              <wp:posOffset>807720</wp:posOffset>
            </wp:positionV>
            <wp:extent cx="5926455" cy="70586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a:extLst>
                        <a:ext uri="{28A0092B-C50C-407E-A947-70E740481C1C}"/>
                      </a:extLst>
                    </a:blip>
                    <a:srcRect/>
                    <a:stretch>
                      <a:fillRect/>
                    </a:stretch>
                  </pic:blipFill>
                  <pic:spPr bwMode="auto">
                    <a:xfrm>
                      <a:off x="0" y="0"/>
                      <a:ext cx="5926455" cy="70586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0"/>
        </w:trPr>
        <w:tc>
          <w:tcPr>
            <w:tcW w:w="2880" w:type="dxa"/>
            <w:vAlign w:val="bottom"/>
          </w:tcPr>
          <w:p>
            <w:pPr>
              <w:jc w:val="center"/>
              <w:spacing w:after="0"/>
              <w:rPr>
                <w:sz w:val="20"/>
                <w:szCs w:val="20"/>
                <w:color w:val="auto"/>
              </w:rPr>
            </w:pPr>
            <w:r>
              <w:rPr>
                <w:rFonts w:ascii="Arial" w:cs="Arial" w:eastAsia="Arial" w:hAnsi="Arial"/>
                <w:sz w:val="20"/>
                <w:szCs w:val="20"/>
                <w:color w:val="auto"/>
                <w:w w:val="92"/>
              </w:rPr>
              <w:t>/s/ David Zaccardelli</w:t>
            </w:r>
          </w:p>
        </w:tc>
        <w:tc>
          <w:tcPr>
            <w:tcW w:w="20" w:type="dxa"/>
            <w:vAlign w:val="bottom"/>
          </w:tcPr>
          <w:p>
            <w:pPr>
              <w:spacing w:after="0"/>
              <w:rPr>
                <w:sz w:val="22"/>
                <w:szCs w:val="22"/>
                <w:color w:val="auto"/>
              </w:rPr>
            </w:pPr>
          </w:p>
        </w:tc>
        <w:tc>
          <w:tcPr>
            <w:tcW w:w="4220" w:type="dxa"/>
            <w:vAlign w:val="bottom"/>
          </w:tcPr>
          <w:p>
            <w:pPr>
              <w:ind w:left="220"/>
              <w:spacing w:after="0"/>
              <w:rPr>
                <w:sz w:val="20"/>
                <w:szCs w:val="20"/>
                <w:color w:val="auto"/>
              </w:rPr>
            </w:pPr>
            <w:r>
              <w:rPr>
                <w:rFonts w:ascii="Arial" w:cs="Arial" w:eastAsia="Arial" w:hAnsi="Arial"/>
                <w:sz w:val="20"/>
                <w:szCs w:val="20"/>
                <w:color w:val="auto"/>
              </w:rPr>
              <w:t>President and Chief Executive Officer</w:t>
            </w:r>
          </w:p>
        </w:tc>
        <w:tc>
          <w:tcPr>
            <w:tcW w:w="2140" w:type="dxa"/>
            <w:vAlign w:val="bottom"/>
          </w:tcPr>
          <w:p>
            <w:pPr>
              <w:ind w:left="520"/>
              <w:spacing w:after="0"/>
              <w:rPr>
                <w:sz w:val="20"/>
                <w:szCs w:val="20"/>
                <w:color w:val="auto"/>
              </w:rPr>
            </w:pPr>
            <w:r>
              <w:rPr>
                <w:rFonts w:ascii="Arial" w:cs="Arial" w:eastAsia="Arial" w:hAnsi="Arial"/>
                <w:sz w:val="20"/>
                <w:szCs w:val="20"/>
                <w:color w:val="auto"/>
                <w:w w:val="97"/>
              </w:rPr>
              <w:t>February 29, 2024</w:t>
            </w:r>
          </w:p>
        </w:tc>
        <w:tc>
          <w:tcPr>
            <w:tcW w:w="0" w:type="dxa"/>
            <w:vAlign w:val="bottom"/>
          </w:tcPr>
          <w:p>
            <w:pPr>
              <w:spacing w:after="0"/>
              <w:rPr>
                <w:sz w:val="1"/>
                <w:szCs w:val="1"/>
                <w:color w:val="auto"/>
              </w:rPr>
            </w:pPr>
          </w:p>
        </w:tc>
      </w:tr>
      <w:tr>
        <w:trPr>
          <w:trHeight w:val="48"/>
        </w:trPr>
        <w:tc>
          <w:tcPr>
            <w:tcW w:w="288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4220" w:type="dxa"/>
            <w:vAlign w:val="bottom"/>
            <w:vMerge w:val="restart"/>
          </w:tcPr>
          <w:p>
            <w:pPr>
              <w:ind w:left="220"/>
              <w:spacing w:after="0"/>
              <w:rPr>
                <w:sz w:val="20"/>
                <w:szCs w:val="20"/>
                <w:color w:val="auto"/>
              </w:rPr>
            </w:pPr>
            <w:r>
              <w:rPr>
                <w:rFonts w:ascii="Arial" w:cs="Arial" w:eastAsia="Arial" w:hAnsi="Arial"/>
                <w:sz w:val="20"/>
                <w:szCs w:val="20"/>
                <w:b w:val="1"/>
                <w:bCs w:val="1"/>
                <w:i w:val="1"/>
                <w:iCs w:val="1"/>
                <w:color w:val="auto"/>
              </w:rPr>
              <w:t>(principal executive officer)</w:t>
            </w: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80" w:type="dxa"/>
            <w:vAlign w:val="bottom"/>
          </w:tcPr>
          <w:p>
            <w:pPr>
              <w:jc w:val="center"/>
              <w:spacing w:after="0"/>
              <w:rPr>
                <w:sz w:val="20"/>
                <w:szCs w:val="20"/>
                <w:color w:val="auto"/>
              </w:rPr>
            </w:pPr>
            <w:r>
              <w:rPr>
                <w:rFonts w:ascii="Arial" w:cs="Arial" w:eastAsia="Arial" w:hAnsi="Arial"/>
                <w:sz w:val="20"/>
                <w:szCs w:val="20"/>
                <w:b w:val="1"/>
                <w:bCs w:val="1"/>
                <w:color w:val="auto"/>
                <w:w w:val="92"/>
              </w:rPr>
              <w:t>David Zaccardelli, Pharm. D.</w:t>
            </w:r>
          </w:p>
        </w:tc>
        <w:tc>
          <w:tcPr>
            <w:tcW w:w="20" w:type="dxa"/>
            <w:vAlign w:val="bottom"/>
            <w:vMerge w:val="continue"/>
          </w:tcPr>
          <w:p>
            <w:pPr>
              <w:spacing w:after="0"/>
              <w:rPr>
                <w:sz w:val="22"/>
                <w:szCs w:val="22"/>
                <w:color w:val="auto"/>
              </w:rPr>
            </w:pPr>
          </w:p>
        </w:tc>
        <w:tc>
          <w:tcPr>
            <w:tcW w:w="4220" w:type="dxa"/>
            <w:vAlign w:val="bottom"/>
            <w:vMerge w:val="continue"/>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3"/>
        </w:trPr>
        <w:tc>
          <w:tcPr>
            <w:tcW w:w="2880" w:type="dxa"/>
            <w:vAlign w:val="bottom"/>
          </w:tcPr>
          <w:p>
            <w:pPr>
              <w:jc w:val="center"/>
              <w:spacing w:after="0"/>
              <w:rPr>
                <w:sz w:val="20"/>
                <w:szCs w:val="20"/>
                <w:color w:val="auto"/>
              </w:rPr>
            </w:pPr>
            <w:r>
              <w:rPr>
                <w:rFonts w:ascii="Arial" w:cs="Arial" w:eastAsia="Arial" w:hAnsi="Arial"/>
                <w:sz w:val="20"/>
                <w:szCs w:val="20"/>
                <w:color w:val="auto"/>
                <w:w w:val="93"/>
              </w:rPr>
              <w:t>/s/ Mark W. Hahn</w:t>
            </w:r>
          </w:p>
        </w:tc>
        <w:tc>
          <w:tcPr>
            <w:tcW w:w="20" w:type="dxa"/>
            <w:vAlign w:val="bottom"/>
          </w:tcPr>
          <w:p>
            <w:pPr>
              <w:spacing w:after="0"/>
              <w:rPr>
                <w:sz w:val="24"/>
                <w:szCs w:val="24"/>
                <w:color w:val="auto"/>
              </w:rPr>
            </w:pPr>
          </w:p>
        </w:tc>
        <w:tc>
          <w:tcPr>
            <w:tcW w:w="4220" w:type="dxa"/>
            <w:vAlign w:val="bottom"/>
          </w:tcPr>
          <w:p>
            <w:pPr>
              <w:ind w:left="220"/>
              <w:spacing w:after="0"/>
              <w:rPr>
                <w:sz w:val="20"/>
                <w:szCs w:val="20"/>
                <w:color w:val="auto"/>
              </w:rPr>
            </w:pPr>
            <w:r>
              <w:rPr>
                <w:rFonts w:ascii="Arial" w:cs="Arial" w:eastAsia="Arial" w:hAnsi="Arial"/>
                <w:sz w:val="20"/>
                <w:szCs w:val="20"/>
                <w:color w:val="auto"/>
              </w:rPr>
              <w:t>Chief Financial Officer</w:t>
            </w:r>
          </w:p>
        </w:tc>
        <w:tc>
          <w:tcPr>
            <w:tcW w:w="2140" w:type="dxa"/>
            <w:vAlign w:val="bottom"/>
          </w:tcPr>
          <w:p>
            <w:pPr>
              <w:ind w:left="520"/>
              <w:spacing w:after="0"/>
              <w:rPr>
                <w:sz w:val="20"/>
                <w:szCs w:val="20"/>
                <w:color w:val="auto"/>
              </w:rPr>
            </w:pPr>
            <w:r>
              <w:rPr>
                <w:rFonts w:ascii="Arial" w:cs="Arial" w:eastAsia="Arial" w:hAnsi="Arial"/>
                <w:sz w:val="20"/>
                <w:szCs w:val="20"/>
                <w:color w:val="auto"/>
                <w:w w:val="97"/>
              </w:rPr>
              <w:t>February 29, 2024</w:t>
            </w:r>
          </w:p>
        </w:tc>
        <w:tc>
          <w:tcPr>
            <w:tcW w:w="0" w:type="dxa"/>
            <w:vAlign w:val="bottom"/>
          </w:tcPr>
          <w:p>
            <w:pPr>
              <w:spacing w:after="0"/>
              <w:rPr>
                <w:sz w:val="1"/>
                <w:szCs w:val="1"/>
                <w:color w:val="auto"/>
              </w:rPr>
            </w:pPr>
          </w:p>
        </w:tc>
      </w:tr>
      <w:tr>
        <w:trPr>
          <w:trHeight w:val="69"/>
        </w:trPr>
        <w:tc>
          <w:tcPr>
            <w:tcW w:w="2880" w:type="dxa"/>
            <w:vAlign w:val="bottom"/>
            <w:tcBorders>
              <w:bottom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4220" w:type="dxa"/>
            <w:vAlign w:val="bottom"/>
            <w:vMerge w:val="restart"/>
          </w:tcPr>
          <w:p>
            <w:pPr>
              <w:ind w:left="220"/>
              <w:spacing w:after="0"/>
              <w:rPr>
                <w:sz w:val="20"/>
                <w:szCs w:val="20"/>
                <w:color w:val="auto"/>
              </w:rPr>
            </w:pPr>
            <w:r>
              <w:rPr>
                <w:rFonts w:ascii="Arial" w:cs="Arial" w:eastAsia="Arial" w:hAnsi="Arial"/>
                <w:sz w:val="20"/>
                <w:szCs w:val="20"/>
                <w:b w:val="1"/>
                <w:bCs w:val="1"/>
                <w:i w:val="1"/>
                <w:iCs w:val="1"/>
                <w:color w:val="auto"/>
                <w:w w:val="98"/>
              </w:rPr>
              <w:t>(principal financial and accounting officer)</w:t>
            </w:r>
          </w:p>
        </w:tc>
        <w:tc>
          <w:tcPr>
            <w:tcW w:w="2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880" w:type="dxa"/>
            <w:vAlign w:val="bottom"/>
          </w:tcPr>
          <w:p>
            <w:pPr>
              <w:jc w:val="center"/>
              <w:spacing w:after="0"/>
              <w:rPr>
                <w:sz w:val="20"/>
                <w:szCs w:val="20"/>
                <w:color w:val="auto"/>
              </w:rPr>
            </w:pPr>
            <w:r>
              <w:rPr>
                <w:rFonts w:ascii="Arial" w:cs="Arial" w:eastAsia="Arial" w:hAnsi="Arial"/>
                <w:sz w:val="20"/>
                <w:szCs w:val="20"/>
                <w:b w:val="1"/>
                <w:bCs w:val="1"/>
                <w:color w:val="auto"/>
                <w:w w:val="99"/>
              </w:rPr>
              <w:t>Mark W. Hahn</w:t>
            </w:r>
          </w:p>
        </w:tc>
        <w:tc>
          <w:tcPr>
            <w:tcW w:w="20" w:type="dxa"/>
            <w:vAlign w:val="bottom"/>
            <w:vMerge w:val="continue"/>
          </w:tcPr>
          <w:p>
            <w:pPr>
              <w:spacing w:after="0"/>
              <w:rPr>
                <w:sz w:val="22"/>
                <w:szCs w:val="22"/>
                <w:color w:val="auto"/>
              </w:rPr>
            </w:pPr>
          </w:p>
        </w:tc>
        <w:tc>
          <w:tcPr>
            <w:tcW w:w="4220" w:type="dxa"/>
            <w:vAlign w:val="bottom"/>
            <w:vMerge w:val="continue"/>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3"/>
        </w:trPr>
        <w:tc>
          <w:tcPr>
            <w:tcW w:w="2880" w:type="dxa"/>
            <w:vAlign w:val="bottom"/>
          </w:tcPr>
          <w:p>
            <w:pPr>
              <w:jc w:val="center"/>
              <w:spacing w:after="0"/>
              <w:rPr>
                <w:sz w:val="20"/>
                <w:szCs w:val="20"/>
                <w:color w:val="auto"/>
              </w:rPr>
            </w:pPr>
            <w:r>
              <w:rPr>
                <w:rFonts w:ascii="Arial" w:cs="Arial" w:eastAsia="Arial" w:hAnsi="Arial"/>
                <w:sz w:val="20"/>
                <w:szCs w:val="20"/>
                <w:color w:val="auto"/>
                <w:w w:val="91"/>
              </w:rPr>
              <w:t>/s/ David Ebsworth, Ph.D.</w:t>
            </w:r>
          </w:p>
        </w:tc>
        <w:tc>
          <w:tcPr>
            <w:tcW w:w="20" w:type="dxa"/>
            <w:vAlign w:val="bottom"/>
          </w:tcPr>
          <w:p>
            <w:pPr>
              <w:spacing w:after="0"/>
              <w:rPr>
                <w:sz w:val="24"/>
                <w:szCs w:val="24"/>
                <w:color w:val="auto"/>
              </w:rPr>
            </w:pPr>
          </w:p>
        </w:tc>
        <w:tc>
          <w:tcPr>
            <w:tcW w:w="4220" w:type="dxa"/>
            <w:vAlign w:val="bottom"/>
          </w:tcPr>
          <w:p>
            <w:pPr>
              <w:ind w:left="220"/>
              <w:spacing w:after="0"/>
              <w:rPr>
                <w:sz w:val="20"/>
                <w:szCs w:val="20"/>
                <w:color w:val="auto"/>
              </w:rPr>
            </w:pPr>
            <w:r>
              <w:rPr>
                <w:rFonts w:ascii="Arial" w:cs="Arial" w:eastAsia="Arial" w:hAnsi="Arial"/>
                <w:sz w:val="20"/>
                <w:szCs w:val="20"/>
                <w:color w:val="auto"/>
              </w:rPr>
              <w:t>Chairperson of the Board of Directors</w:t>
            </w:r>
          </w:p>
        </w:tc>
        <w:tc>
          <w:tcPr>
            <w:tcW w:w="2140" w:type="dxa"/>
            <w:vAlign w:val="bottom"/>
          </w:tcPr>
          <w:p>
            <w:pPr>
              <w:ind w:left="520"/>
              <w:spacing w:after="0"/>
              <w:rPr>
                <w:sz w:val="20"/>
                <w:szCs w:val="20"/>
                <w:color w:val="auto"/>
              </w:rPr>
            </w:pPr>
            <w:r>
              <w:rPr>
                <w:rFonts w:ascii="Arial" w:cs="Arial" w:eastAsia="Arial" w:hAnsi="Arial"/>
                <w:sz w:val="20"/>
                <w:szCs w:val="20"/>
                <w:color w:val="auto"/>
                <w:w w:val="97"/>
              </w:rPr>
              <w:t>February 29, 2024</w:t>
            </w:r>
          </w:p>
        </w:tc>
        <w:tc>
          <w:tcPr>
            <w:tcW w:w="0" w:type="dxa"/>
            <w:vAlign w:val="bottom"/>
          </w:tcPr>
          <w:p>
            <w:pPr>
              <w:spacing w:after="0"/>
              <w:rPr>
                <w:sz w:val="1"/>
                <w:szCs w:val="1"/>
                <w:color w:val="auto"/>
              </w:rPr>
            </w:pPr>
          </w:p>
        </w:tc>
      </w:tr>
      <w:tr>
        <w:trPr>
          <w:trHeight w:val="38"/>
        </w:trPr>
        <w:tc>
          <w:tcPr>
            <w:tcW w:w="2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880" w:type="dxa"/>
            <w:vAlign w:val="bottom"/>
          </w:tcPr>
          <w:p>
            <w:pPr>
              <w:jc w:val="center"/>
              <w:spacing w:after="0"/>
              <w:rPr>
                <w:sz w:val="20"/>
                <w:szCs w:val="20"/>
                <w:color w:val="auto"/>
              </w:rPr>
            </w:pPr>
            <w:r>
              <w:rPr>
                <w:rFonts w:ascii="Arial" w:cs="Arial" w:eastAsia="Arial" w:hAnsi="Arial"/>
                <w:sz w:val="20"/>
                <w:szCs w:val="20"/>
                <w:b w:val="1"/>
                <w:bCs w:val="1"/>
                <w:color w:val="auto"/>
                <w:w w:val="91"/>
              </w:rPr>
              <w:t>David Ebsworth, Ph.D.</w:t>
            </w:r>
          </w:p>
        </w:tc>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3"/>
        </w:trPr>
        <w:tc>
          <w:tcPr>
            <w:tcW w:w="2880" w:type="dxa"/>
            <w:vAlign w:val="bottom"/>
          </w:tcPr>
          <w:p>
            <w:pPr>
              <w:jc w:val="center"/>
              <w:spacing w:after="0"/>
              <w:rPr>
                <w:sz w:val="20"/>
                <w:szCs w:val="20"/>
                <w:color w:val="auto"/>
              </w:rPr>
            </w:pPr>
            <w:r>
              <w:rPr>
                <w:rFonts w:ascii="Arial" w:cs="Arial" w:eastAsia="Arial" w:hAnsi="Arial"/>
                <w:sz w:val="20"/>
                <w:szCs w:val="20"/>
                <w:color w:val="auto"/>
                <w:w w:val="91"/>
              </w:rPr>
              <w:t>/s/ Christina Ackermann</w:t>
            </w:r>
          </w:p>
        </w:tc>
        <w:tc>
          <w:tcPr>
            <w:tcW w:w="20" w:type="dxa"/>
            <w:vAlign w:val="bottom"/>
          </w:tcPr>
          <w:p>
            <w:pPr>
              <w:spacing w:after="0"/>
              <w:rPr>
                <w:sz w:val="24"/>
                <w:szCs w:val="24"/>
                <w:color w:val="auto"/>
              </w:rPr>
            </w:pPr>
          </w:p>
        </w:tc>
        <w:tc>
          <w:tcPr>
            <w:tcW w:w="4220" w:type="dxa"/>
            <w:vAlign w:val="bottom"/>
          </w:tcPr>
          <w:p>
            <w:pPr>
              <w:ind w:left="220"/>
              <w:spacing w:after="0"/>
              <w:rPr>
                <w:sz w:val="20"/>
                <w:szCs w:val="20"/>
                <w:color w:val="auto"/>
              </w:rPr>
            </w:pPr>
            <w:r>
              <w:rPr>
                <w:rFonts w:ascii="Arial" w:cs="Arial" w:eastAsia="Arial" w:hAnsi="Arial"/>
                <w:sz w:val="20"/>
                <w:szCs w:val="20"/>
                <w:color w:val="auto"/>
              </w:rPr>
              <w:t>Director</w:t>
            </w:r>
          </w:p>
        </w:tc>
        <w:tc>
          <w:tcPr>
            <w:tcW w:w="2140" w:type="dxa"/>
            <w:vAlign w:val="bottom"/>
          </w:tcPr>
          <w:p>
            <w:pPr>
              <w:ind w:left="520"/>
              <w:spacing w:after="0"/>
              <w:rPr>
                <w:sz w:val="20"/>
                <w:szCs w:val="20"/>
                <w:color w:val="auto"/>
              </w:rPr>
            </w:pPr>
            <w:r>
              <w:rPr>
                <w:rFonts w:ascii="Arial" w:cs="Arial" w:eastAsia="Arial" w:hAnsi="Arial"/>
                <w:sz w:val="20"/>
                <w:szCs w:val="20"/>
                <w:color w:val="auto"/>
                <w:w w:val="97"/>
              </w:rPr>
              <w:t>February 29, 2024</w:t>
            </w:r>
          </w:p>
        </w:tc>
        <w:tc>
          <w:tcPr>
            <w:tcW w:w="0" w:type="dxa"/>
            <w:vAlign w:val="bottom"/>
          </w:tcPr>
          <w:p>
            <w:pPr>
              <w:spacing w:after="0"/>
              <w:rPr>
                <w:sz w:val="1"/>
                <w:szCs w:val="1"/>
                <w:color w:val="auto"/>
              </w:rPr>
            </w:pPr>
          </w:p>
        </w:tc>
      </w:tr>
      <w:tr>
        <w:trPr>
          <w:trHeight w:val="53"/>
        </w:trPr>
        <w:tc>
          <w:tcPr>
            <w:tcW w:w="28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2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80" w:type="dxa"/>
            <w:vAlign w:val="bottom"/>
          </w:tcPr>
          <w:p>
            <w:pPr>
              <w:jc w:val="center"/>
              <w:spacing w:after="0"/>
              <w:rPr>
                <w:sz w:val="20"/>
                <w:szCs w:val="20"/>
                <w:color w:val="auto"/>
              </w:rPr>
            </w:pPr>
            <w:r>
              <w:rPr>
                <w:rFonts w:ascii="Arial" w:cs="Arial" w:eastAsia="Arial" w:hAnsi="Arial"/>
                <w:sz w:val="20"/>
                <w:szCs w:val="20"/>
                <w:b w:val="1"/>
                <w:bCs w:val="1"/>
                <w:color w:val="auto"/>
                <w:w w:val="92"/>
              </w:rPr>
              <w:t>Christina Ackermann</w:t>
            </w:r>
          </w:p>
        </w:tc>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3"/>
        </w:trPr>
        <w:tc>
          <w:tcPr>
            <w:tcW w:w="2880" w:type="dxa"/>
            <w:vAlign w:val="bottom"/>
          </w:tcPr>
          <w:p>
            <w:pPr>
              <w:jc w:val="center"/>
              <w:spacing w:after="0"/>
              <w:rPr>
                <w:sz w:val="20"/>
                <w:szCs w:val="20"/>
                <w:color w:val="auto"/>
              </w:rPr>
            </w:pPr>
            <w:r>
              <w:rPr>
                <w:rFonts w:ascii="Arial" w:cs="Arial" w:eastAsia="Arial" w:hAnsi="Arial"/>
                <w:sz w:val="20"/>
                <w:szCs w:val="20"/>
                <w:color w:val="auto"/>
                <w:w w:val="94"/>
              </w:rPr>
              <w:t>/s/ Michael Austwick</w:t>
            </w:r>
          </w:p>
        </w:tc>
        <w:tc>
          <w:tcPr>
            <w:tcW w:w="20" w:type="dxa"/>
            <w:vAlign w:val="bottom"/>
          </w:tcPr>
          <w:p>
            <w:pPr>
              <w:spacing w:after="0"/>
              <w:rPr>
                <w:sz w:val="24"/>
                <w:szCs w:val="24"/>
                <w:color w:val="auto"/>
              </w:rPr>
            </w:pPr>
          </w:p>
        </w:tc>
        <w:tc>
          <w:tcPr>
            <w:tcW w:w="4220" w:type="dxa"/>
            <w:vAlign w:val="bottom"/>
          </w:tcPr>
          <w:p>
            <w:pPr>
              <w:ind w:left="220"/>
              <w:spacing w:after="0"/>
              <w:rPr>
                <w:sz w:val="20"/>
                <w:szCs w:val="20"/>
                <w:color w:val="auto"/>
              </w:rPr>
            </w:pPr>
            <w:r>
              <w:rPr>
                <w:rFonts w:ascii="Arial" w:cs="Arial" w:eastAsia="Arial" w:hAnsi="Arial"/>
                <w:sz w:val="20"/>
                <w:szCs w:val="20"/>
                <w:color w:val="auto"/>
              </w:rPr>
              <w:t>Director</w:t>
            </w:r>
          </w:p>
        </w:tc>
        <w:tc>
          <w:tcPr>
            <w:tcW w:w="2140" w:type="dxa"/>
            <w:vAlign w:val="bottom"/>
          </w:tcPr>
          <w:p>
            <w:pPr>
              <w:ind w:left="520"/>
              <w:spacing w:after="0"/>
              <w:rPr>
                <w:sz w:val="20"/>
                <w:szCs w:val="20"/>
                <w:color w:val="auto"/>
              </w:rPr>
            </w:pPr>
            <w:r>
              <w:rPr>
                <w:rFonts w:ascii="Arial" w:cs="Arial" w:eastAsia="Arial" w:hAnsi="Arial"/>
                <w:sz w:val="20"/>
                <w:szCs w:val="20"/>
                <w:color w:val="auto"/>
                <w:w w:val="97"/>
              </w:rPr>
              <w:t>February 29, 2024</w:t>
            </w:r>
          </w:p>
        </w:tc>
        <w:tc>
          <w:tcPr>
            <w:tcW w:w="0" w:type="dxa"/>
            <w:vAlign w:val="bottom"/>
          </w:tcPr>
          <w:p>
            <w:pPr>
              <w:spacing w:after="0"/>
              <w:rPr>
                <w:sz w:val="1"/>
                <w:szCs w:val="1"/>
                <w:color w:val="auto"/>
              </w:rPr>
            </w:pPr>
          </w:p>
        </w:tc>
      </w:tr>
      <w:tr>
        <w:trPr>
          <w:trHeight w:val="38"/>
        </w:trPr>
        <w:tc>
          <w:tcPr>
            <w:tcW w:w="2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880" w:type="dxa"/>
            <w:vAlign w:val="bottom"/>
          </w:tcPr>
          <w:p>
            <w:pPr>
              <w:jc w:val="center"/>
              <w:spacing w:after="0"/>
              <w:rPr>
                <w:sz w:val="20"/>
                <w:szCs w:val="20"/>
                <w:color w:val="auto"/>
              </w:rPr>
            </w:pPr>
            <w:r>
              <w:rPr>
                <w:rFonts w:ascii="Arial" w:cs="Arial" w:eastAsia="Arial" w:hAnsi="Arial"/>
                <w:sz w:val="20"/>
                <w:szCs w:val="20"/>
                <w:b w:val="1"/>
                <w:bCs w:val="1"/>
                <w:color w:val="auto"/>
                <w:w w:val="91"/>
              </w:rPr>
              <w:t>Michael Austwick</w:t>
            </w:r>
          </w:p>
        </w:tc>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3"/>
        </w:trPr>
        <w:tc>
          <w:tcPr>
            <w:tcW w:w="2880" w:type="dxa"/>
            <w:vAlign w:val="bottom"/>
          </w:tcPr>
          <w:p>
            <w:pPr>
              <w:jc w:val="center"/>
              <w:spacing w:after="0"/>
              <w:rPr>
                <w:sz w:val="20"/>
                <w:szCs w:val="20"/>
                <w:color w:val="auto"/>
              </w:rPr>
            </w:pPr>
            <w:r>
              <w:rPr>
                <w:rFonts w:ascii="Arial" w:cs="Arial" w:eastAsia="Arial" w:hAnsi="Arial"/>
                <w:sz w:val="20"/>
                <w:szCs w:val="20"/>
                <w:color w:val="auto"/>
                <w:w w:val="87"/>
              </w:rPr>
              <w:t>/s/ James Brady</w:t>
            </w:r>
          </w:p>
        </w:tc>
        <w:tc>
          <w:tcPr>
            <w:tcW w:w="20" w:type="dxa"/>
            <w:vAlign w:val="bottom"/>
          </w:tcPr>
          <w:p>
            <w:pPr>
              <w:spacing w:after="0"/>
              <w:rPr>
                <w:sz w:val="24"/>
                <w:szCs w:val="24"/>
                <w:color w:val="auto"/>
              </w:rPr>
            </w:pPr>
          </w:p>
        </w:tc>
        <w:tc>
          <w:tcPr>
            <w:tcW w:w="4220" w:type="dxa"/>
            <w:vAlign w:val="bottom"/>
          </w:tcPr>
          <w:p>
            <w:pPr>
              <w:ind w:left="220"/>
              <w:spacing w:after="0"/>
              <w:rPr>
                <w:sz w:val="20"/>
                <w:szCs w:val="20"/>
                <w:color w:val="auto"/>
              </w:rPr>
            </w:pPr>
            <w:r>
              <w:rPr>
                <w:rFonts w:ascii="Arial" w:cs="Arial" w:eastAsia="Arial" w:hAnsi="Arial"/>
                <w:sz w:val="20"/>
                <w:szCs w:val="20"/>
                <w:color w:val="auto"/>
              </w:rPr>
              <w:t>Director</w:t>
            </w:r>
          </w:p>
        </w:tc>
        <w:tc>
          <w:tcPr>
            <w:tcW w:w="2140" w:type="dxa"/>
            <w:vAlign w:val="bottom"/>
          </w:tcPr>
          <w:p>
            <w:pPr>
              <w:ind w:left="520"/>
              <w:spacing w:after="0"/>
              <w:rPr>
                <w:sz w:val="20"/>
                <w:szCs w:val="20"/>
                <w:color w:val="auto"/>
              </w:rPr>
            </w:pPr>
            <w:r>
              <w:rPr>
                <w:rFonts w:ascii="Arial" w:cs="Arial" w:eastAsia="Arial" w:hAnsi="Arial"/>
                <w:sz w:val="20"/>
                <w:szCs w:val="20"/>
                <w:color w:val="auto"/>
                <w:w w:val="97"/>
              </w:rPr>
              <w:t>February 29, 2024</w:t>
            </w:r>
          </w:p>
        </w:tc>
        <w:tc>
          <w:tcPr>
            <w:tcW w:w="0" w:type="dxa"/>
            <w:vAlign w:val="bottom"/>
          </w:tcPr>
          <w:p>
            <w:pPr>
              <w:spacing w:after="0"/>
              <w:rPr>
                <w:sz w:val="1"/>
                <w:szCs w:val="1"/>
                <w:color w:val="auto"/>
              </w:rPr>
            </w:pPr>
          </w:p>
        </w:tc>
      </w:tr>
      <w:tr>
        <w:trPr>
          <w:trHeight w:val="38"/>
        </w:trPr>
        <w:tc>
          <w:tcPr>
            <w:tcW w:w="2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880" w:type="dxa"/>
            <w:vAlign w:val="bottom"/>
          </w:tcPr>
          <w:p>
            <w:pPr>
              <w:jc w:val="center"/>
              <w:spacing w:after="0"/>
              <w:rPr>
                <w:sz w:val="20"/>
                <w:szCs w:val="20"/>
                <w:color w:val="auto"/>
              </w:rPr>
            </w:pPr>
            <w:r>
              <w:rPr>
                <w:rFonts w:ascii="Arial" w:cs="Arial" w:eastAsia="Arial" w:hAnsi="Arial"/>
                <w:sz w:val="20"/>
                <w:szCs w:val="20"/>
                <w:b w:val="1"/>
                <w:bCs w:val="1"/>
                <w:color w:val="auto"/>
                <w:w w:val="89"/>
              </w:rPr>
              <w:t>James Brady</w:t>
            </w:r>
          </w:p>
        </w:tc>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3"/>
        </w:trPr>
        <w:tc>
          <w:tcPr>
            <w:tcW w:w="2880" w:type="dxa"/>
            <w:vAlign w:val="bottom"/>
          </w:tcPr>
          <w:p>
            <w:pPr>
              <w:jc w:val="center"/>
              <w:spacing w:after="0"/>
              <w:rPr>
                <w:sz w:val="20"/>
                <w:szCs w:val="20"/>
                <w:color w:val="auto"/>
              </w:rPr>
            </w:pPr>
            <w:r>
              <w:rPr>
                <w:rFonts w:ascii="Arial" w:cs="Arial" w:eastAsia="Arial" w:hAnsi="Arial"/>
                <w:sz w:val="20"/>
                <w:szCs w:val="20"/>
                <w:color w:val="auto"/>
                <w:w w:val="92"/>
              </w:rPr>
              <w:t>/s/ Ken Cunningham, M.D.</w:t>
            </w:r>
          </w:p>
        </w:tc>
        <w:tc>
          <w:tcPr>
            <w:tcW w:w="20" w:type="dxa"/>
            <w:vAlign w:val="bottom"/>
          </w:tcPr>
          <w:p>
            <w:pPr>
              <w:spacing w:after="0"/>
              <w:rPr>
                <w:sz w:val="24"/>
                <w:szCs w:val="24"/>
                <w:color w:val="auto"/>
              </w:rPr>
            </w:pPr>
          </w:p>
        </w:tc>
        <w:tc>
          <w:tcPr>
            <w:tcW w:w="4220" w:type="dxa"/>
            <w:vAlign w:val="bottom"/>
          </w:tcPr>
          <w:p>
            <w:pPr>
              <w:ind w:left="220"/>
              <w:spacing w:after="0"/>
              <w:rPr>
                <w:sz w:val="20"/>
                <w:szCs w:val="20"/>
                <w:color w:val="auto"/>
              </w:rPr>
            </w:pPr>
            <w:r>
              <w:rPr>
                <w:rFonts w:ascii="Arial" w:cs="Arial" w:eastAsia="Arial" w:hAnsi="Arial"/>
                <w:sz w:val="20"/>
                <w:szCs w:val="20"/>
                <w:color w:val="auto"/>
              </w:rPr>
              <w:t>Director</w:t>
            </w:r>
          </w:p>
        </w:tc>
        <w:tc>
          <w:tcPr>
            <w:tcW w:w="2140" w:type="dxa"/>
            <w:vAlign w:val="bottom"/>
          </w:tcPr>
          <w:p>
            <w:pPr>
              <w:ind w:left="520"/>
              <w:spacing w:after="0"/>
              <w:rPr>
                <w:sz w:val="20"/>
                <w:szCs w:val="20"/>
                <w:color w:val="auto"/>
              </w:rPr>
            </w:pPr>
            <w:r>
              <w:rPr>
                <w:rFonts w:ascii="Arial" w:cs="Arial" w:eastAsia="Arial" w:hAnsi="Arial"/>
                <w:sz w:val="20"/>
                <w:szCs w:val="20"/>
                <w:color w:val="auto"/>
                <w:w w:val="97"/>
              </w:rPr>
              <w:t>February 29, 2024</w:t>
            </w:r>
          </w:p>
        </w:tc>
        <w:tc>
          <w:tcPr>
            <w:tcW w:w="0" w:type="dxa"/>
            <w:vAlign w:val="bottom"/>
          </w:tcPr>
          <w:p>
            <w:pPr>
              <w:spacing w:after="0"/>
              <w:rPr>
                <w:sz w:val="1"/>
                <w:szCs w:val="1"/>
                <w:color w:val="auto"/>
              </w:rPr>
            </w:pPr>
          </w:p>
        </w:tc>
      </w:tr>
      <w:tr>
        <w:trPr>
          <w:trHeight w:val="38"/>
        </w:trPr>
        <w:tc>
          <w:tcPr>
            <w:tcW w:w="2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880" w:type="dxa"/>
            <w:vAlign w:val="bottom"/>
          </w:tcPr>
          <w:p>
            <w:pPr>
              <w:jc w:val="center"/>
              <w:spacing w:after="0"/>
              <w:rPr>
                <w:sz w:val="20"/>
                <w:szCs w:val="20"/>
                <w:color w:val="auto"/>
              </w:rPr>
            </w:pPr>
            <w:r>
              <w:rPr>
                <w:rFonts w:ascii="Arial" w:cs="Arial" w:eastAsia="Arial" w:hAnsi="Arial"/>
                <w:sz w:val="20"/>
                <w:szCs w:val="20"/>
                <w:b w:val="1"/>
                <w:bCs w:val="1"/>
                <w:color w:val="auto"/>
                <w:w w:val="93"/>
              </w:rPr>
              <w:t>Ken Cunningham, M.D.</w:t>
            </w:r>
          </w:p>
        </w:tc>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3"/>
        </w:trPr>
        <w:tc>
          <w:tcPr>
            <w:tcW w:w="2880" w:type="dxa"/>
            <w:vAlign w:val="bottom"/>
          </w:tcPr>
          <w:p>
            <w:pPr>
              <w:jc w:val="center"/>
              <w:spacing w:after="0"/>
              <w:rPr>
                <w:sz w:val="20"/>
                <w:szCs w:val="20"/>
                <w:color w:val="auto"/>
              </w:rPr>
            </w:pPr>
            <w:r>
              <w:rPr>
                <w:rFonts w:ascii="Arial" w:cs="Arial" w:eastAsia="Arial" w:hAnsi="Arial"/>
                <w:sz w:val="20"/>
                <w:szCs w:val="20"/>
                <w:color w:val="auto"/>
                <w:w w:val="88"/>
              </w:rPr>
              <w:t>/s/ Lisa Deschamps</w:t>
            </w:r>
          </w:p>
        </w:tc>
        <w:tc>
          <w:tcPr>
            <w:tcW w:w="20" w:type="dxa"/>
            <w:vAlign w:val="bottom"/>
          </w:tcPr>
          <w:p>
            <w:pPr>
              <w:spacing w:after="0"/>
              <w:rPr>
                <w:sz w:val="24"/>
                <w:szCs w:val="24"/>
                <w:color w:val="auto"/>
              </w:rPr>
            </w:pPr>
          </w:p>
        </w:tc>
        <w:tc>
          <w:tcPr>
            <w:tcW w:w="4220" w:type="dxa"/>
            <w:vAlign w:val="bottom"/>
          </w:tcPr>
          <w:p>
            <w:pPr>
              <w:ind w:left="220"/>
              <w:spacing w:after="0"/>
              <w:rPr>
                <w:sz w:val="20"/>
                <w:szCs w:val="20"/>
                <w:color w:val="auto"/>
              </w:rPr>
            </w:pPr>
            <w:r>
              <w:rPr>
                <w:rFonts w:ascii="Arial" w:cs="Arial" w:eastAsia="Arial" w:hAnsi="Arial"/>
                <w:sz w:val="20"/>
                <w:szCs w:val="20"/>
                <w:color w:val="auto"/>
              </w:rPr>
              <w:t>Director</w:t>
            </w:r>
          </w:p>
        </w:tc>
        <w:tc>
          <w:tcPr>
            <w:tcW w:w="2140" w:type="dxa"/>
            <w:vAlign w:val="bottom"/>
          </w:tcPr>
          <w:p>
            <w:pPr>
              <w:ind w:left="520"/>
              <w:spacing w:after="0"/>
              <w:rPr>
                <w:sz w:val="20"/>
                <w:szCs w:val="20"/>
                <w:color w:val="auto"/>
              </w:rPr>
            </w:pPr>
            <w:r>
              <w:rPr>
                <w:rFonts w:ascii="Arial" w:cs="Arial" w:eastAsia="Arial" w:hAnsi="Arial"/>
                <w:sz w:val="20"/>
                <w:szCs w:val="20"/>
                <w:color w:val="auto"/>
                <w:w w:val="97"/>
              </w:rPr>
              <w:t>February 29, 2024</w:t>
            </w:r>
          </w:p>
        </w:tc>
        <w:tc>
          <w:tcPr>
            <w:tcW w:w="0" w:type="dxa"/>
            <w:vAlign w:val="bottom"/>
          </w:tcPr>
          <w:p>
            <w:pPr>
              <w:spacing w:after="0"/>
              <w:rPr>
                <w:sz w:val="1"/>
                <w:szCs w:val="1"/>
                <w:color w:val="auto"/>
              </w:rPr>
            </w:pPr>
          </w:p>
        </w:tc>
      </w:tr>
      <w:tr>
        <w:trPr>
          <w:trHeight w:val="38"/>
        </w:trPr>
        <w:tc>
          <w:tcPr>
            <w:tcW w:w="2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880" w:type="dxa"/>
            <w:vAlign w:val="bottom"/>
          </w:tcPr>
          <w:p>
            <w:pPr>
              <w:jc w:val="center"/>
              <w:spacing w:after="0"/>
              <w:rPr>
                <w:sz w:val="20"/>
                <w:szCs w:val="20"/>
                <w:color w:val="auto"/>
              </w:rPr>
            </w:pPr>
            <w:r>
              <w:rPr>
                <w:rFonts w:ascii="Arial" w:cs="Arial" w:eastAsia="Arial" w:hAnsi="Arial"/>
                <w:sz w:val="20"/>
                <w:szCs w:val="20"/>
                <w:b w:val="1"/>
                <w:bCs w:val="1"/>
                <w:color w:val="auto"/>
                <w:w w:val="87"/>
              </w:rPr>
              <w:t>Lisa Deschamps</w:t>
            </w:r>
          </w:p>
        </w:tc>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3"/>
        </w:trPr>
        <w:tc>
          <w:tcPr>
            <w:tcW w:w="2880" w:type="dxa"/>
            <w:vAlign w:val="bottom"/>
          </w:tcPr>
          <w:p>
            <w:pPr>
              <w:jc w:val="center"/>
              <w:spacing w:after="0"/>
              <w:rPr>
                <w:sz w:val="20"/>
                <w:szCs w:val="20"/>
                <w:color w:val="auto"/>
              </w:rPr>
            </w:pPr>
            <w:r>
              <w:rPr>
                <w:rFonts w:ascii="Arial" w:cs="Arial" w:eastAsia="Arial" w:hAnsi="Arial"/>
                <w:sz w:val="20"/>
                <w:szCs w:val="20"/>
                <w:color w:val="auto"/>
                <w:w w:val="93"/>
              </w:rPr>
              <w:t>/s/ Martin Edwards, M.D.</w:t>
            </w:r>
          </w:p>
        </w:tc>
        <w:tc>
          <w:tcPr>
            <w:tcW w:w="20" w:type="dxa"/>
            <w:vAlign w:val="bottom"/>
          </w:tcPr>
          <w:p>
            <w:pPr>
              <w:spacing w:after="0"/>
              <w:rPr>
                <w:sz w:val="24"/>
                <w:szCs w:val="24"/>
                <w:color w:val="auto"/>
              </w:rPr>
            </w:pPr>
          </w:p>
        </w:tc>
        <w:tc>
          <w:tcPr>
            <w:tcW w:w="4220" w:type="dxa"/>
            <w:vAlign w:val="bottom"/>
          </w:tcPr>
          <w:p>
            <w:pPr>
              <w:ind w:left="220"/>
              <w:spacing w:after="0"/>
              <w:rPr>
                <w:sz w:val="20"/>
                <w:szCs w:val="20"/>
                <w:color w:val="auto"/>
              </w:rPr>
            </w:pPr>
            <w:r>
              <w:rPr>
                <w:rFonts w:ascii="Arial" w:cs="Arial" w:eastAsia="Arial" w:hAnsi="Arial"/>
                <w:sz w:val="20"/>
                <w:szCs w:val="20"/>
                <w:color w:val="auto"/>
              </w:rPr>
              <w:t>Director</w:t>
            </w:r>
          </w:p>
        </w:tc>
        <w:tc>
          <w:tcPr>
            <w:tcW w:w="2140" w:type="dxa"/>
            <w:vAlign w:val="bottom"/>
          </w:tcPr>
          <w:p>
            <w:pPr>
              <w:ind w:left="520"/>
              <w:spacing w:after="0"/>
              <w:rPr>
                <w:sz w:val="20"/>
                <w:szCs w:val="20"/>
                <w:color w:val="auto"/>
              </w:rPr>
            </w:pPr>
            <w:r>
              <w:rPr>
                <w:rFonts w:ascii="Arial" w:cs="Arial" w:eastAsia="Arial" w:hAnsi="Arial"/>
                <w:sz w:val="20"/>
                <w:szCs w:val="20"/>
                <w:color w:val="auto"/>
                <w:w w:val="97"/>
              </w:rPr>
              <w:t>February 29, 2024</w:t>
            </w:r>
          </w:p>
        </w:tc>
        <w:tc>
          <w:tcPr>
            <w:tcW w:w="0" w:type="dxa"/>
            <w:vAlign w:val="bottom"/>
          </w:tcPr>
          <w:p>
            <w:pPr>
              <w:spacing w:after="0"/>
              <w:rPr>
                <w:sz w:val="1"/>
                <w:szCs w:val="1"/>
                <w:color w:val="auto"/>
              </w:rPr>
            </w:pPr>
          </w:p>
        </w:tc>
      </w:tr>
      <w:tr>
        <w:trPr>
          <w:trHeight w:val="38"/>
        </w:trPr>
        <w:tc>
          <w:tcPr>
            <w:tcW w:w="2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880" w:type="dxa"/>
            <w:vAlign w:val="bottom"/>
          </w:tcPr>
          <w:p>
            <w:pPr>
              <w:jc w:val="center"/>
              <w:spacing w:after="0"/>
              <w:rPr>
                <w:sz w:val="20"/>
                <w:szCs w:val="20"/>
                <w:color w:val="auto"/>
              </w:rPr>
            </w:pPr>
            <w:r>
              <w:rPr>
                <w:rFonts w:ascii="Arial" w:cs="Arial" w:eastAsia="Arial" w:hAnsi="Arial"/>
                <w:sz w:val="20"/>
                <w:szCs w:val="20"/>
                <w:b w:val="1"/>
                <w:bCs w:val="1"/>
                <w:color w:val="auto"/>
                <w:w w:val="96"/>
              </w:rPr>
              <w:t>Martin Edwards, M.D.</w:t>
            </w:r>
          </w:p>
        </w:tc>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3"/>
        </w:trPr>
        <w:tc>
          <w:tcPr>
            <w:tcW w:w="2880" w:type="dxa"/>
            <w:vAlign w:val="bottom"/>
          </w:tcPr>
          <w:p>
            <w:pPr>
              <w:jc w:val="center"/>
              <w:spacing w:after="0"/>
              <w:rPr>
                <w:sz w:val="20"/>
                <w:szCs w:val="20"/>
                <w:color w:val="auto"/>
              </w:rPr>
            </w:pPr>
            <w:r>
              <w:rPr>
                <w:rFonts w:ascii="Arial" w:cs="Arial" w:eastAsia="Arial" w:hAnsi="Arial"/>
                <w:sz w:val="20"/>
                <w:szCs w:val="20"/>
                <w:color w:val="auto"/>
                <w:w w:val="88"/>
              </w:rPr>
              <w:t>/s/ Mahendra Shah, Ph.D.</w:t>
            </w:r>
          </w:p>
        </w:tc>
        <w:tc>
          <w:tcPr>
            <w:tcW w:w="20" w:type="dxa"/>
            <w:vAlign w:val="bottom"/>
          </w:tcPr>
          <w:p>
            <w:pPr>
              <w:spacing w:after="0"/>
              <w:rPr>
                <w:sz w:val="24"/>
                <w:szCs w:val="24"/>
                <w:color w:val="auto"/>
              </w:rPr>
            </w:pPr>
          </w:p>
        </w:tc>
        <w:tc>
          <w:tcPr>
            <w:tcW w:w="4220" w:type="dxa"/>
            <w:vAlign w:val="bottom"/>
          </w:tcPr>
          <w:p>
            <w:pPr>
              <w:ind w:left="220"/>
              <w:spacing w:after="0"/>
              <w:rPr>
                <w:sz w:val="20"/>
                <w:szCs w:val="20"/>
                <w:color w:val="auto"/>
              </w:rPr>
            </w:pPr>
            <w:r>
              <w:rPr>
                <w:rFonts w:ascii="Arial" w:cs="Arial" w:eastAsia="Arial" w:hAnsi="Arial"/>
                <w:sz w:val="20"/>
                <w:szCs w:val="20"/>
                <w:color w:val="auto"/>
              </w:rPr>
              <w:t>Director</w:t>
            </w:r>
          </w:p>
        </w:tc>
        <w:tc>
          <w:tcPr>
            <w:tcW w:w="2140" w:type="dxa"/>
            <w:vAlign w:val="bottom"/>
          </w:tcPr>
          <w:p>
            <w:pPr>
              <w:ind w:left="520"/>
              <w:spacing w:after="0"/>
              <w:rPr>
                <w:sz w:val="20"/>
                <w:szCs w:val="20"/>
                <w:color w:val="auto"/>
              </w:rPr>
            </w:pPr>
            <w:r>
              <w:rPr>
                <w:rFonts w:ascii="Arial" w:cs="Arial" w:eastAsia="Arial" w:hAnsi="Arial"/>
                <w:sz w:val="20"/>
                <w:szCs w:val="20"/>
                <w:color w:val="auto"/>
                <w:w w:val="97"/>
              </w:rPr>
              <w:t>February 29, 2024</w:t>
            </w:r>
          </w:p>
        </w:tc>
        <w:tc>
          <w:tcPr>
            <w:tcW w:w="0" w:type="dxa"/>
            <w:vAlign w:val="bottom"/>
          </w:tcPr>
          <w:p>
            <w:pPr>
              <w:spacing w:after="0"/>
              <w:rPr>
                <w:sz w:val="1"/>
                <w:szCs w:val="1"/>
                <w:color w:val="auto"/>
              </w:rPr>
            </w:pPr>
          </w:p>
        </w:tc>
      </w:tr>
      <w:tr>
        <w:trPr>
          <w:trHeight w:val="38"/>
        </w:trPr>
        <w:tc>
          <w:tcPr>
            <w:tcW w:w="2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880" w:type="dxa"/>
            <w:vAlign w:val="bottom"/>
          </w:tcPr>
          <w:p>
            <w:pPr>
              <w:jc w:val="center"/>
              <w:spacing w:after="0"/>
              <w:rPr>
                <w:sz w:val="20"/>
                <w:szCs w:val="20"/>
                <w:color w:val="auto"/>
              </w:rPr>
            </w:pPr>
            <w:r>
              <w:rPr>
                <w:rFonts w:ascii="Arial" w:cs="Arial" w:eastAsia="Arial" w:hAnsi="Arial"/>
                <w:sz w:val="20"/>
                <w:szCs w:val="20"/>
                <w:b w:val="1"/>
                <w:bCs w:val="1"/>
                <w:color w:val="auto"/>
                <w:w w:val="92"/>
              </w:rPr>
              <w:t>Mahendra Shah, Ph.D.</w:t>
            </w:r>
          </w:p>
        </w:tc>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3"/>
        </w:trPr>
        <w:tc>
          <w:tcPr>
            <w:tcW w:w="2880" w:type="dxa"/>
            <w:vAlign w:val="bottom"/>
          </w:tcPr>
          <w:p>
            <w:pPr>
              <w:jc w:val="center"/>
              <w:spacing w:after="0"/>
              <w:rPr>
                <w:sz w:val="20"/>
                <w:szCs w:val="20"/>
                <w:color w:val="auto"/>
              </w:rPr>
            </w:pPr>
            <w:r>
              <w:rPr>
                <w:rFonts w:ascii="Arial" w:cs="Arial" w:eastAsia="Arial" w:hAnsi="Arial"/>
                <w:sz w:val="20"/>
                <w:szCs w:val="20"/>
                <w:color w:val="auto"/>
                <w:w w:val="90"/>
              </w:rPr>
              <w:t>/s/ Vikas Sinha</w:t>
            </w:r>
          </w:p>
        </w:tc>
        <w:tc>
          <w:tcPr>
            <w:tcW w:w="20" w:type="dxa"/>
            <w:vAlign w:val="bottom"/>
          </w:tcPr>
          <w:p>
            <w:pPr>
              <w:spacing w:after="0"/>
              <w:rPr>
                <w:sz w:val="24"/>
                <w:szCs w:val="24"/>
                <w:color w:val="auto"/>
              </w:rPr>
            </w:pPr>
          </w:p>
        </w:tc>
        <w:tc>
          <w:tcPr>
            <w:tcW w:w="4220" w:type="dxa"/>
            <w:vAlign w:val="bottom"/>
          </w:tcPr>
          <w:p>
            <w:pPr>
              <w:ind w:left="220"/>
              <w:spacing w:after="0"/>
              <w:rPr>
                <w:sz w:val="20"/>
                <w:szCs w:val="20"/>
                <w:color w:val="auto"/>
              </w:rPr>
            </w:pPr>
            <w:r>
              <w:rPr>
                <w:rFonts w:ascii="Arial" w:cs="Arial" w:eastAsia="Arial" w:hAnsi="Arial"/>
                <w:sz w:val="20"/>
                <w:szCs w:val="20"/>
                <w:color w:val="auto"/>
              </w:rPr>
              <w:t>Director</w:t>
            </w:r>
          </w:p>
        </w:tc>
        <w:tc>
          <w:tcPr>
            <w:tcW w:w="2140" w:type="dxa"/>
            <w:vAlign w:val="bottom"/>
          </w:tcPr>
          <w:p>
            <w:pPr>
              <w:ind w:left="520"/>
              <w:spacing w:after="0"/>
              <w:rPr>
                <w:sz w:val="20"/>
                <w:szCs w:val="20"/>
                <w:color w:val="auto"/>
              </w:rPr>
            </w:pPr>
            <w:r>
              <w:rPr>
                <w:rFonts w:ascii="Arial" w:cs="Arial" w:eastAsia="Arial" w:hAnsi="Arial"/>
                <w:sz w:val="20"/>
                <w:szCs w:val="20"/>
                <w:color w:val="auto"/>
                <w:w w:val="97"/>
              </w:rPr>
              <w:t>February 29, 2024</w:t>
            </w:r>
          </w:p>
        </w:tc>
        <w:tc>
          <w:tcPr>
            <w:tcW w:w="0" w:type="dxa"/>
            <w:vAlign w:val="bottom"/>
          </w:tcPr>
          <w:p>
            <w:pPr>
              <w:spacing w:after="0"/>
              <w:rPr>
                <w:sz w:val="1"/>
                <w:szCs w:val="1"/>
                <w:color w:val="auto"/>
              </w:rPr>
            </w:pPr>
          </w:p>
        </w:tc>
      </w:tr>
      <w:tr>
        <w:trPr>
          <w:trHeight w:val="38"/>
        </w:trPr>
        <w:tc>
          <w:tcPr>
            <w:tcW w:w="2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880" w:type="dxa"/>
            <w:vAlign w:val="bottom"/>
          </w:tcPr>
          <w:p>
            <w:pPr>
              <w:jc w:val="center"/>
              <w:spacing w:after="0"/>
              <w:rPr>
                <w:sz w:val="20"/>
                <w:szCs w:val="20"/>
                <w:color w:val="auto"/>
              </w:rPr>
            </w:pPr>
            <w:r>
              <w:rPr>
                <w:rFonts w:ascii="Arial" w:cs="Arial" w:eastAsia="Arial" w:hAnsi="Arial"/>
                <w:sz w:val="20"/>
                <w:szCs w:val="20"/>
                <w:b w:val="1"/>
                <w:bCs w:val="1"/>
                <w:color w:val="auto"/>
                <w:w w:val="90"/>
              </w:rPr>
              <w:t>Vikas Sinha</w:t>
            </w:r>
          </w:p>
        </w:tc>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3"/>
        </w:trPr>
        <w:tc>
          <w:tcPr>
            <w:tcW w:w="2880" w:type="dxa"/>
            <w:vAlign w:val="bottom"/>
          </w:tcPr>
          <w:p>
            <w:pPr>
              <w:jc w:val="center"/>
              <w:spacing w:after="0"/>
              <w:rPr>
                <w:sz w:val="20"/>
                <w:szCs w:val="20"/>
                <w:color w:val="auto"/>
              </w:rPr>
            </w:pPr>
            <w:r>
              <w:rPr>
                <w:rFonts w:ascii="Arial" w:cs="Arial" w:eastAsia="Arial" w:hAnsi="Arial"/>
                <w:sz w:val="20"/>
                <w:szCs w:val="20"/>
                <w:color w:val="auto"/>
                <w:w w:val="92"/>
              </w:rPr>
              <w:t>/s/ Anders Ullman, M.D., Ph.D.</w:t>
            </w:r>
          </w:p>
        </w:tc>
        <w:tc>
          <w:tcPr>
            <w:tcW w:w="20" w:type="dxa"/>
            <w:vAlign w:val="bottom"/>
          </w:tcPr>
          <w:p>
            <w:pPr>
              <w:spacing w:after="0"/>
              <w:rPr>
                <w:sz w:val="24"/>
                <w:szCs w:val="24"/>
                <w:color w:val="auto"/>
              </w:rPr>
            </w:pPr>
          </w:p>
        </w:tc>
        <w:tc>
          <w:tcPr>
            <w:tcW w:w="4220" w:type="dxa"/>
            <w:vAlign w:val="bottom"/>
          </w:tcPr>
          <w:p>
            <w:pPr>
              <w:ind w:left="220"/>
              <w:spacing w:after="0"/>
              <w:rPr>
                <w:sz w:val="20"/>
                <w:szCs w:val="20"/>
                <w:color w:val="auto"/>
              </w:rPr>
            </w:pPr>
            <w:r>
              <w:rPr>
                <w:rFonts w:ascii="Arial" w:cs="Arial" w:eastAsia="Arial" w:hAnsi="Arial"/>
                <w:sz w:val="20"/>
                <w:szCs w:val="20"/>
                <w:color w:val="auto"/>
              </w:rPr>
              <w:t>Director</w:t>
            </w:r>
          </w:p>
        </w:tc>
        <w:tc>
          <w:tcPr>
            <w:tcW w:w="2140" w:type="dxa"/>
            <w:vAlign w:val="bottom"/>
          </w:tcPr>
          <w:p>
            <w:pPr>
              <w:ind w:left="520"/>
              <w:spacing w:after="0"/>
              <w:rPr>
                <w:sz w:val="20"/>
                <w:szCs w:val="20"/>
                <w:color w:val="auto"/>
              </w:rPr>
            </w:pPr>
            <w:r>
              <w:rPr>
                <w:rFonts w:ascii="Arial" w:cs="Arial" w:eastAsia="Arial" w:hAnsi="Arial"/>
                <w:sz w:val="20"/>
                <w:szCs w:val="20"/>
                <w:color w:val="auto"/>
                <w:w w:val="97"/>
              </w:rPr>
              <w:t>February 29, 2024</w:t>
            </w:r>
          </w:p>
        </w:tc>
        <w:tc>
          <w:tcPr>
            <w:tcW w:w="0" w:type="dxa"/>
            <w:vAlign w:val="bottom"/>
          </w:tcPr>
          <w:p>
            <w:pPr>
              <w:spacing w:after="0"/>
              <w:rPr>
                <w:sz w:val="1"/>
                <w:szCs w:val="1"/>
                <w:color w:val="auto"/>
              </w:rPr>
            </w:pPr>
          </w:p>
        </w:tc>
      </w:tr>
      <w:tr>
        <w:trPr>
          <w:trHeight w:val="38"/>
        </w:trPr>
        <w:tc>
          <w:tcPr>
            <w:tcW w:w="2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880" w:type="dxa"/>
            <w:vAlign w:val="bottom"/>
          </w:tcPr>
          <w:p>
            <w:pPr>
              <w:jc w:val="center"/>
              <w:spacing w:after="0"/>
              <w:rPr>
                <w:sz w:val="20"/>
                <w:szCs w:val="20"/>
                <w:color w:val="auto"/>
              </w:rPr>
            </w:pPr>
            <w:r>
              <w:rPr>
                <w:rFonts w:ascii="Arial" w:cs="Arial" w:eastAsia="Arial" w:hAnsi="Arial"/>
                <w:sz w:val="20"/>
                <w:szCs w:val="20"/>
                <w:b w:val="1"/>
                <w:bCs w:val="1"/>
                <w:color w:val="auto"/>
                <w:w w:val="93"/>
              </w:rPr>
              <w:t>Anders Ullman, M.D., Ph.D.</w:t>
            </w:r>
          </w:p>
        </w:tc>
        <w:tc>
          <w:tcPr>
            <w:tcW w:w="2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260"/>
          </w:cols>
          <w:pgMar w:left="1280" w:top="1440"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9260"/>
          </w:cols>
          <w:pgMar w:left="1280" w:top="1440" w:right="1340" w:bottom="0" w:gutter="0" w:footer="0" w:header="0"/>
          <w:type w:val="continuous"/>
        </w:sectPr>
      </w:pPr>
    </w:p>
    <w:bookmarkStart w:id="108" w:name="page109"/>
    <w:bookmarkEnd w:id="108"/>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313"/>
        </w:trPr>
        <w:tc>
          <w:tcPr>
            <w:tcW w:w="8540" w:type="dxa"/>
            <w:vAlign w:val="bottom"/>
            <w:shd w:val="clear" w:color="auto" w:fill="E6E6E6"/>
          </w:tcPr>
          <w:p>
            <w:pPr>
              <w:ind w:left="60"/>
              <w:spacing w:after="0"/>
              <w:rPr>
                <w:sz w:val="20"/>
                <w:szCs w:val="20"/>
                <w:color w:val="auto"/>
              </w:rPr>
            </w:pPr>
            <w:r>
              <w:rPr>
                <w:rFonts w:ascii="Arial" w:cs="Arial" w:eastAsia="Arial" w:hAnsi="Arial"/>
                <w:sz w:val="20"/>
                <w:szCs w:val="20"/>
                <w:color w:val="auto"/>
              </w:rPr>
              <w:t>Report of Independent Registered Public Accounting Firm (PCAOB ID: 876)</w:t>
            </w:r>
          </w:p>
        </w:tc>
        <w:tc>
          <w:tcPr>
            <w:tcW w:w="780" w:type="dxa"/>
            <w:vAlign w:val="bottom"/>
            <w:shd w:val="clear" w:color="auto" w:fill="E6E6E6"/>
          </w:tcPr>
          <w:p>
            <w:pPr>
              <w:ind w:left="440"/>
              <w:spacing w:after="0"/>
              <w:rPr>
                <w:sz w:val="20"/>
                <w:szCs w:val="20"/>
                <w:color w:val="auto"/>
              </w:rPr>
            </w:pPr>
            <w:r>
              <w:rPr>
                <w:rFonts w:ascii="Arial" w:cs="Arial" w:eastAsia="Arial" w:hAnsi="Arial"/>
                <w:sz w:val="20"/>
                <w:szCs w:val="20"/>
                <w:color w:val="auto"/>
              </w:rPr>
              <w:t>F-2</w:t>
            </w:r>
          </w:p>
        </w:tc>
        <w:tc>
          <w:tcPr>
            <w:tcW w:w="0" w:type="dxa"/>
            <w:vAlign w:val="bottom"/>
          </w:tcPr>
          <w:p>
            <w:pPr>
              <w:spacing w:after="0"/>
              <w:rPr>
                <w:sz w:val="1"/>
                <w:szCs w:val="1"/>
                <w:color w:val="auto"/>
              </w:rPr>
            </w:pPr>
          </w:p>
        </w:tc>
      </w:tr>
      <w:tr>
        <w:trPr>
          <w:trHeight w:val="307"/>
        </w:trPr>
        <w:tc>
          <w:tcPr>
            <w:tcW w:w="8540" w:type="dxa"/>
            <w:vAlign w:val="bottom"/>
          </w:tcPr>
          <w:p>
            <w:pPr>
              <w:ind w:left="60"/>
              <w:spacing w:after="0"/>
              <w:rPr>
                <w:sz w:val="20"/>
                <w:szCs w:val="20"/>
                <w:color w:val="auto"/>
              </w:rPr>
            </w:pPr>
            <w:r>
              <w:rPr>
                <w:rFonts w:ascii="Arial" w:cs="Arial" w:eastAsia="Arial" w:hAnsi="Arial"/>
                <w:sz w:val="20"/>
                <w:szCs w:val="20"/>
                <w:color w:val="auto"/>
              </w:rPr>
              <w:t>Consolidated Balance Sheets as of December 31, 2023 and 2022</w:t>
            </w:r>
          </w:p>
        </w:tc>
        <w:tc>
          <w:tcPr>
            <w:tcW w:w="780" w:type="dxa"/>
            <w:vAlign w:val="bottom"/>
          </w:tcPr>
          <w:p>
            <w:pPr>
              <w:ind w:left="440"/>
              <w:spacing w:after="0"/>
              <w:rPr>
                <w:sz w:val="20"/>
                <w:szCs w:val="20"/>
                <w:color w:val="auto"/>
              </w:rPr>
            </w:pPr>
            <w:r>
              <w:rPr>
                <w:rFonts w:ascii="Arial" w:cs="Arial" w:eastAsia="Arial" w:hAnsi="Arial"/>
                <w:sz w:val="20"/>
                <w:szCs w:val="20"/>
                <w:color w:val="auto"/>
              </w:rPr>
              <w:t>F-4</w:t>
            </w:r>
          </w:p>
        </w:tc>
        <w:tc>
          <w:tcPr>
            <w:tcW w:w="0" w:type="dxa"/>
            <w:vAlign w:val="bottom"/>
          </w:tcPr>
          <w:p>
            <w:pPr>
              <w:spacing w:after="0"/>
              <w:rPr>
                <w:sz w:val="1"/>
                <w:szCs w:val="1"/>
                <w:color w:val="auto"/>
              </w:rPr>
            </w:pPr>
          </w:p>
        </w:tc>
      </w:tr>
      <w:tr>
        <w:trPr>
          <w:trHeight w:val="197"/>
        </w:trPr>
        <w:tc>
          <w:tcPr>
            <w:tcW w:w="8540" w:type="dxa"/>
            <w:vAlign w:val="bottom"/>
            <w:shd w:val="clear" w:color="auto" w:fill="E6E6E6"/>
          </w:tcPr>
          <w:p>
            <w:pPr>
              <w:ind w:left="60"/>
              <w:spacing w:after="0" w:line="197" w:lineRule="exact"/>
              <w:rPr>
                <w:sz w:val="20"/>
                <w:szCs w:val="20"/>
                <w:color w:val="auto"/>
              </w:rPr>
            </w:pPr>
            <w:r>
              <w:rPr>
                <w:rFonts w:ascii="Arial" w:cs="Arial" w:eastAsia="Arial" w:hAnsi="Arial"/>
                <w:sz w:val="20"/>
                <w:szCs w:val="20"/>
                <w:color w:val="auto"/>
                <w:w w:val="95"/>
              </w:rPr>
              <w:t>Consolidated Statements of Operations and Comprehensive Loss for the years ended December 31,</w:t>
            </w:r>
          </w:p>
        </w:tc>
        <w:tc>
          <w:tcPr>
            <w:tcW w:w="780" w:type="dxa"/>
            <w:vAlign w:val="bottom"/>
            <w:vMerge w:val="restart"/>
            <w:shd w:val="clear" w:color="auto" w:fill="E6E6E6"/>
          </w:tcPr>
          <w:p>
            <w:pPr>
              <w:ind w:left="440"/>
              <w:spacing w:after="0"/>
              <w:rPr>
                <w:sz w:val="20"/>
                <w:szCs w:val="20"/>
                <w:color w:val="auto"/>
              </w:rPr>
            </w:pPr>
            <w:r>
              <w:rPr>
                <w:rFonts w:ascii="Arial" w:cs="Arial" w:eastAsia="Arial" w:hAnsi="Arial"/>
                <w:sz w:val="20"/>
                <w:szCs w:val="20"/>
                <w:color w:val="auto"/>
              </w:rPr>
              <w:t>F-5</w:t>
            </w:r>
          </w:p>
        </w:tc>
        <w:tc>
          <w:tcPr>
            <w:tcW w:w="0" w:type="dxa"/>
            <w:vAlign w:val="bottom"/>
          </w:tcPr>
          <w:p>
            <w:pPr>
              <w:spacing w:after="0"/>
              <w:rPr>
                <w:sz w:val="1"/>
                <w:szCs w:val="1"/>
                <w:color w:val="auto"/>
              </w:rPr>
            </w:pPr>
          </w:p>
        </w:tc>
      </w:tr>
      <w:tr>
        <w:trPr>
          <w:trHeight w:val="272"/>
        </w:trPr>
        <w:tc>
          <w:tcPr>
            <w:tcW w:w="8540" w:type="dxa"/>
            <w:vAlign w:val="bottom"/>
            <w:shd w:val="clear" w:color="auto" w:fill="E6E6E6"/>
          </w:tcPr>
          <w:p>
            <w:pPr>
              <w:ind w:left="60"/>
              <w:spacing w:after="0"/>
              <w:rPr>
                <w:sz w:val="20"/>
                <w:szCs w:val="20"/>
                <w:color w:val="auto"/>
              </w:rPr>
            </w:pPr>
            <w:r>
              <w:rPr>
                <w:rFonts w:ascii="Arial" w:cs="Arial" w:eastAsia="Arial" w:hAnsi="Arial"/>
                <w:sz w:val="20"/>
                <w:szCs w:val="20"/>
                <w:color w:val="auto"/>
              </w:rPr>
              <w:t>2023 and 2022</w:t>
            </w:r>
          </w:p>
        </w:tc>
        <w:tc>
          <w:tcPr>
            <w:tcW w:w="780" w:type="dxa"/>
            <w:vAlign w:val="bottom"/>
            <w:vMerge w:val="continue"/>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8540" w:type="dxa"/>
            <w:vAlign w:val="bottom"/>
          </w:tcPr>
          <w:p>
            <w:pPr>
              <w:ind w:left="60"/>
              <w:spacing w:after="0" w:line="191" w:lineRule="exact"/>
              <w:rPr>
                <w:sz w:val="20"/>
                <w:szCs w:val="20"/>
                <w:color w:val="auto"/>
              </w:rPr>
            </w:pPr>
            <w:r>
              <w:rPr>
                <w:rFonts w:ascii="Arial" w:cs="Arial" w:eastAsia="Arial" w:hAnsi="Arial"/>
                <w:sz w:val="20"/>
                <w:szCs w:val="20"/>
                <w:color w:val="auto"/>
                <w:w w:val="93"/>
              </w:rPr>
              <w:t>Consolidated Statements of Changes in Shareholders’ Equity for the years ended December 31, 2023</w:t>
            </w:r>
          </w:p>
        </w:tc>
        <w:tc>
          <w:tcPr>
            <w:tcW w:w="780" w:type="dxa"/>
            <w:vAlign w:val="bottom"/>
            <w:vMerge w:val="restart"/>
          </w:tcPr>
          <w:p>
            <w:pPr>
              <w:ind w:left="440"/>
              <w:spacing w:after="0"/>
              <w:rPr>
                <w:sz w:val="20"/>
                <w:szCs w:val="20"/>
                <w:color w:val="auto"/>
              </w:rPr>
            </w:pPr>
            <w:r>
              <w:rPr>
                <w:rFonts w:ascii="Arial" w:cs="Arial" w:eastAsia="Arial" w:hAnsi="Arial"/>
                <w:sz w:val="20"/>
                <w:szCs w:val="20"/>
                <w:color w:val="auto"/>
              </w:rPr>
              <w:t>F-6</w:t>
            </w:r>
          </w:p>
        </w:tc>
        <w:tc>
          <w:tcPr>
            <w:tcW w:w="0" w:type="dxa"/>
            <w:vAlign w:val="bottom"/>
          </w:tcPr>
          <w:p>
            <w:pPr>
              <w:spacing w:after="0"/>
              <w:rPr>
                <w:sz w:val="1"/>
                <w:szCs w:val="1"/>
                <w:color w:val="auto"/>
              </w:rPr>
            </w:pPr>
          </w:p>
        </w:tc>
      </w:tr>
      <w:tr>
        <w:trPr>
          <w:trHeight w:val="266"/>
        </w:trPr>
        <w:tc>
          <w:tcPr>
            <w:tcW w:w="8540" w:type="dxa"/>
            <w:vAlign w:val="bottom"/>
          </w:tcPr>
          <w:p>
            <w:pPr>
              <w:ind w:left="60"/>
              <w:spacing w:after="0"/>
              <w:rPr>
                <w:sz w:val="20"/>
                <w:szCs w:val="20"/>
                <w:color w:val="auto"/>
              </w:rPr>
            </w:pPr>
            <w:r>
              <w:rPr>
                <w:rFonts w:ascii="Arial" w:cs="Arial" w:eastAsia="Arial" w:hAnsi="Arial"/>
                <w:sz w:val="20"/>
                <w:szCs w:val="20"/>
                <w:color w:val="auto"/>
              </w:rPr>
              <w:t>and 2022</w:t>
            </w:r>
          </w:p>
        </w:tc>
        <w:tc>
          <w:tcPr>
            <w:tcW w:w="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19"/>
        </w:trPr>
        <w:tc>
          <w:tcPr>
            <w:tcW w:w="8540" w:type="dxa"/>
            <w:vAlign w:val="bottom"/>
            <w:shd w:val="clear" w:color="auto" w:fill="E6E6E6"/>
          </w:tcPr>
          <w:p>
            <w:pPr>
              <w:ind w:left="60"/>
              <w:spacing w:after="0"/>
              <w:rPr>
                <w:sz w:val="20"/>
                <w:szCs w:val="20"/>
                <w:color w:val="auto"/>
              </w:rPr>
            </w:pPr>
            <w:r>
              <w:rPr>
                <w:rFonts w:ascii="Arial" w:cs="Arial" w:eastAsia="Arial" w:hAnsi="Arial"/>
                <w:sz w:val="20"/>
                <w:szCs w:val="20"/>
                <w:color w:val="auto"/>
              </w:rPr>
              <w:t>Consolidated Statements of Cash Flows for the years ended December 31, 2023 and 2022</w:t>
            </w:r>
          </w:p>
        </w:tc>
        <w:tc>
          <w:tcPr>
            <w:tcW w:w="780" w:type="dxa"/>
            <w:vAlign w:val="bottom"/>
            <w:shd w:val="clear" w:color="auto" w:fill="E6E6E6"/>
          </w:tcPr>
          <w:p>
            <w:pPr>
              <w:ind w:left="440"/>
              <w:spacing w:after="0"/>
              <w:rPr>
                <w:sz w:val="20"/>
                <w:szCs w:val="20"/>
                <w:color w:val="auto"/>
              </w:rPr>
            </w:pPr>
            <w:r>
              <w:rPr>
                <w:rFonts w:ascii="Arial" w:cs="Arial" w:eastAsia="Arial" w:hAnsi="Arial"/>
                <w:sz w:val="20"/>
                <w:szCs w:val="20"/>
                <w:color w:val="auto"/>
              </w:rPr>
              <w:t>F-7</w:t>
            </w:r>
          </w:p>
        </w:tc>
        <w:tc>
          <w:tcPr>
            <w:tcW w:w="0" w:type="dxa"/>
            <w:vAlign w:val="bottom"/>
          </w:tcPr>
          <w:p>
            <w:pPr>
              <w:spacing w:after="0"/>
              <w:rPr>
                <w:sz w:val="1"/>
                <w:szCs w:val="1"/>
                <w:color w:val="auto"/>
              </w:rPr>
            </w:pPr>
          </w:p>
        </w:tc>
      </w:tr>
      <w:tr>
        <w:trPr>
          <w:trHeight w:val="301"/>
        </w:trPr>
        <w:tc>
          <w:tcPr>
            <w:tcW w:w="8540" w:type="dxa"/>
            <w:vAlign w:val="bottom"/>
          </w:tcPr>
          <w:p>
            <w:pPr>
              <w:ind w:left="60"/>
              <w:spacing w:after="0"/>
              <w:rPr>
                <w:sz w:val="20"/>
                <w:szCs w:val="20"/>
                <w:color w:val="auto"/>
              </w:rPr>
            </w:pPr>
            <w:r>
              <w:rPr>
                <w:rFonts w:ascii="Arial" w:cs="Arial" w:eastAsia="Arial" w:hAnsi="Arial"/>
                <w:sz w:val="20"/>
                <w:szCs w:val="20"/>
                <w:color w:val="auto"/>
              </w:rPr>
              <w:t>Notes to Consolidated Financial Statements</w:t>
            </w:r>
          </w:p>
        </w:tc>
        <w:tc>
          <w:tcPr>
            <w:tcW w:w="780" w:type="dxa"/>
            <w:vAlign w:val="bottom"/>
          </w:tcPr>
          <w:p>
            <w:pPr>
              <w:ind w:left="440"/>
              <w:spacing w:after="0"/>
              <w:rPr>
                <w:sz w:val="20"/>
                <w:szCs w:val="20"/>
                <w:color w:val="auto"/>
              </w:rPr>
            </w:pPr>
            <w:r>
              <w:rPr>
                <w:rFonts w:ascii="Arial" w:cs="Arial" w:eastAsia="Arial" w:hAnsi="Arial"/>
                <w:sz w:val="20"/>
                <w:szCs w:val="20"/>
                <w:color w:val="auto"/>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320"/>
          </w:cols>
          <w:pgMar w:left="1280" w:top="14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F-1</w:t>
      </w:r>
    </w:p>
    <w:p>
      <w:pPr>
        <w:sectPr>
          <w:pgSz w:w="11880" w:h="15480" w:orient="portrait"/>
          <w:cols w:equalWidth="0" w:num="1">
            <w:col w:w="9320"/>
          </w:cols>
          <w:pgMar w:left="1280" w:top="1440" w:right="1280" w:bottom="0" w:gutter="0" w:footer="0" w:header="0"/>
          <w:type w:val="continuous"/>
        </w:sectPr>
      </w:pPr>
    </w:p>
    <w:bookmarkStart w:id="109" w:name="page110"/>
    <w:bookmarkEnd w:id="109"/>
    <w:p>
      <w:pPr>
        <w:ind w:left="216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 Verona Pharma plc</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11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We have audited the accompanying consolidated balance sheets of Verona Pharma plc and its subsidiaries (the “Company”) as of December 31, 2023 and 2022, and the related consolidated statements of operations and comprehensive loss, of shareholders’ equity and of cash flows for the years then ended,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8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In our opinion, the consolidated financial statements referred to above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6"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w:t>
      </w:r>
    </w:p>
    <w:p>
      <w:pPr>
        <w:sectPr>
          <w:pgSz w:w="11880" w:h="15480" w:orient="portrait"/>
          <w:cols w:equalWidth="0" w:num="1">
            <w:col w:w="9320"/>
          </w:cols>
          <w:pgMar w:left="1280" w:top="1222"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F-2</w:t>
      </w:r>
    </w:p>
    <w:p>
      <w:pPr>
        <w:sectPr>
          <w:pgSz w:w="11880" w:h="15480" w:orient="portrait"/>
          <w:cols w:equalWidth="0" w:num="1">
            <w:col w:w="9320"/>
          </w:cols>
          <w:pgMar w:left="1280" w:top="1222" w:right="1280" w:bottom="0" w:gutter="0" w:footer="0" w:header="0"/>
          <w:type w:val="continuous"/>
        </w:sectPr>
      </w:pPr>
    </w:p>
    <w:bookmarkStart w:id="110" w:name="page111"/>
    <w:bookmarkEnd w:id="110"/>
    <w:p>
      <w:pPr>
        <w:jc w:val="both"/>
        <w:spacing w:after="0" w:line="260" w:lineRule="auto"/>
        <w:rPr>
          <w:sz w:val="20"/>
          <w:szCs w:val="20"/>
          <w:color w:val="auto"/>
        </w:rPr>
      </w:pPr>
      <w:r>
        <w:rPr>
          <w:rFonts w:ascii="Arial" w:cs="Arial" w:eastAsia="Arial" w:hAnsi="Arial"/>
          <w:sz w:val="20"/>
          <w:szCs w:val="20"/>
          <w:color w:val="auto"/>
        </w:rPr>
        <w:t>inadequate because of changes in conditions, or that the degree of compliance with the policies or procedures may deteriorate.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11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Accounting for the modification of a term loan facility</w:t>
      </w:r>
    </w:p>
    <w:p>
      <w:pPr>
        <w:spacing w:after="0" w:line="111"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As described in Note 1, 2 and 5 to the consolidated financial statements, on December 27, 2023 (the “2023 Effective Date”) the Company entered into a term loan facility of up to $400.0 million (the “2023 Term Loan” or “Loan Agreement”), consisting of a term loan advance in an aggregate amount of $50.0 million funded on the 2023 Effective Date (the “Term A Loan”) and four additional term loan advances subject to certain terms and conditions. The 2023 Term Loan replaced the Company’s existing $150.0 million facility. The Company received net proceeds from the Term A Loan partially offset by the repayment, in full, of the existing outstanding indebtedness owed by the Company under the previous Term Loan of $20 million. Debt may be considered extinguished when it has been modified and the terms of the new debt instruments and old debt instruments are “substantially different”. Based upon management’s evaluation of the accounting for the Loan Agreement, management has applied modification accounting to a portion of the Term A Loan in accordance with ASC 470-50 “</w:t>
      </w:r>
      <w:r>
        <w:rPr>
          <w:rFonts w:ascii="Arial" w:cs="Arial" w:eastAsia="Arial" w:hAnsi="Arial"/>
          <w:sz w:val="19"/>
          <w:szCs w:val="19"/>
          <w:b w:val="1"/>
          <w:bCs w:val="1"/>
          <w:i w:val="1"/>
          <w:iCs w:val="1"/>
          <w:color w:val="auto"/>
        </w:rPr>
        <w:t>Debt-Modifications and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Extinguishments</w:t>
      </w:r>
      <w:r>
        <w:rPr>
          <w:rFonts w:ascii="Arial" w:cs="Arial" w:eastAsia="Arial" w:hAnsi="Arial"/>
          <w:sz w:val="19"/>
          <w:szCs w:val="19"/>
          <w:color w:val="auto"/>
        </w:rPr>
        <w:t>”.</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principal considerations for our determination that performing procedures relating to the accounting for the modification of a term loan facility is a critical audit matter are (i) the matter represented a significant transaction, and (ii) a high degree of auditor effort in performing procedures and evaluating audit evidence related to the Company’s accounting for the term loan facility modification and extinguishment assessment.</w:t>
      </w:r>
    </w:p>
    <w:p>
      <w:pPr>
        <w:spacing w:after="0" w:line="6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accounting for significant transactions in connection with debt modification. These procedures also included, among others, (i) evaluating management’s assessment regarding the accounting for the new term facility, in particular with respect to their assessment of modification and extinguishment in accordance with the applicable accounting guidance; and (ii) evaluating the sufficiency of the disclosures in the consolidated financial statements.</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Reading, 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February 29, 2024</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2015.</w:t>
      </w:r>
    </w:p>
    <w:p>
      <w:pPr>
        <w:sectPr>
          <w:pgSz w:w="11880" w:h="15480" w:orient="portrait"/>
          <w:cols w:equalWidth="0" w:num="1">
            <w:col w:w="9320"/>
          </w:cols>
          <w:pgMar w:left="1280" w:top="1229"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F-3</w:t>
      </w:r>
    </w:p>
    <w:p>
      <w:pPr>
        <w:sectPr>
          <w:pgSz w:w="11880" w:h="15480" w:orient="portrait"/>
          <w:cols w:equalWidth="0" w:num="1">
            <w:col w:w="9320"/>
          </w:cols>
          <w:pgMar w:left="1280" w:top="1229" w:right="1280" w:bottom="0" w:gutter="0" w:footer="0" w:header="0"/>
          <w:type w:val="continuous"/>
        </w:sectPr>
      </w:pPr>
    </w:p>
    <w:bookmarkStart w:id="111" w:name="page112"/>
    <w:bookmarkEnd w:id="111"/>
    <w:p>
      <w:pPr>
        <w:jc w:val="center"/>
        <w:ind w:right="-79"/>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Consolidated Balance Sheets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330"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6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5"/>
          </w:tcPr>
          <w:p>
            <w:pPr>
              <w:ind w:left="4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6800" w:type="dxa"/>
            <w:vAlign w:val="bottom"/>
            <w:tcBorders>
              <w:bottom w:val="single" w:sz="8" w:color="E6E6E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6800" w:type="dxa"/>
            <w:vAlign w:val="bottom"/>
            <w:shd w:val="clear" w:color="auto" w:fill="E6E6E6"/>
          </w:tcPr>
          <w:p>
            <w:pPr>
              <w:ind w:left="4200"/>
              <w:spacing w:after="0"/>
              <w:rPr>
                <w:sz w:val="20"/>
                <w:szCs w:val="20"/>
                <w:color w:val="auto"/>
              </w:rPr>
            </w:pPr>
            <w:r>
              <w:rPr>
                <w:rFonts w:ascii="Arial" w:cs="Arial" w:eastAsia="Arial" w:hAnsi="Arial"/>
                <w:sz w:val="20"/>
                <w:szCs w:val="20"/>
                <w:b w:val="1"/>
                <w:bCs w:val="1"/>
                <w:color w:val="auto"/>
              </w:rPr>
              <w:t>ASSETS</w:t>
            </w:r>
          </w:p>
        </w:tc>
        <w:tc>
          <w:tcPr>
            <w:tcW w:w="240" w:type="dxa"/>
            <w:vAlign w:val="bottom"/>
            <w:shd w:val="clear" w:color="auto" w:fill="E6E6E6"/>
          </w:tcPr>
          <w:p>
            <w:pPr>
              <w:spacing w:after="0"/>
              <w:rPr>
                <w:sz w:val="23"/>
                <w:szCs w:val="23"/>
                <w:color w:val="auto"/>
              </w:rPr>
            </w:pPr>
          </w:p>
        </w:tc>
        <w:tc>
          <w:tcPr>
            <w:tcW w:w="9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8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800" w:type="dxa"/>
            <w:vAlign w:val="bottom"/>
          </w:tcPr>
          <w:p>
            <w:pPr>
              <w:ind w:left="40"/>
              <w:spacing w:after="0"/>
              <w:rPr>
                <w:sz w:val="20"/>
                <w:szCs w:val="20"/>
                <w:color w:val="auto"/>
              </w:rPr>
            </w:pPr>
            <w:r>
              <w:rPr>
                <w:rFonts w:ascii="Arial" w:cs="Arial" w:eastAsia="Arial" w:hAnsi="Arial"/>
                <w:sz w:val="20"/>
                <w:szCs w:val="20"/>
                <w:b w:val="1"/>
                <w:bCs w:val="1"/>
                <w:color w:val="auto"/>
              </w:rPr>
              <w:t>Current assets:</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68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Cash and cash equivalents</w:t>
            </w:r>
          </w:p>
        </w:tc>
        <w:tc>
          <w:tcPr>
            <w:tcW w:w="240" w:type="dxa"/>
            <w:vAlign w:val="bottom"/>
            <w:tcBorders>
              <w:bottom w:val="single" w:sz="8" w:color="E6E6E6"/>
            </w:tcBorders>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271,772</w:t>
            </w:r>
          </w:p>
        </w:tc>
        <w:tc>
          <w:tcPr>
            <w:tcW w:w="340" w:type="dxa"/>
            <w:vAlign w:val="bottom"/>
            <w:tcBorders>
              <w:bottom w:val="single" w:sz="8" w:color="E6E6E6"/>
            </w:tcBorders>
            <w:gridSpan w:val="2"/>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227,827</w:t>
            </w:r>
          </w:p>
        </w:tc>
        <w:tc>
          <w:tcPr>
            <w:tcW w:w="2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6800" w:type="dxa"/>
            <w:vAlign w:val="bottom"/>
          </w:tcPr>
          <w:p>
            <w:pPr>
              <w:ind w:left="280"/>
              <w:spacing w:after="0"/>
              <w:rPr>
                <w:sz w:val="20"/>
                <w:szCs w:val="20"/>
                <w:color w:val="auto"/>
              </w:rPr>
            </w:pPr>
            <w:r>
              <w:rPr>
                <w:rFonts w:ascii="Arial" w:cs="Arial" w:eastAsia="Arial" w:hAnsi="Arial"/>
                <w:sz w:val="20"/>
                <w:szCs w:val="20"/>
                <w:color w:val="auto"/>
              </w:rPr>
              <w:t>Prepaid expenses</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3,617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2,499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Tax incentive receivables</w:t>
            </w:r>
          </w:p>
        </w:tc>
        <w:tc>
          <w:tcPr>
            <w:tcW w:w="240" w:type="dxa"/>
            <w:vAlign w:val="bottom"/>
            <w:tcBorders>
              <w:bottom w:val="single" w:sz="8" w:color="E6E6E6"/>
            </w:tcBorders>
            <w:shd w:val="clear" w:color="auto" w:fill="E6E6E6"/>
          </w:tcPr>
          <w:p>
            <w:pPr>
              <w:spacing w:after="0"/>
              <w:rPr>
                <w:sz w:val="22"/>
                <w:szCs w:val="22"/>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10,954</w:t>
            </w:r>
          </w:p>
        </w:tc>
        <w:tc>
          <w:tcPr>
            <w:tcW w:w="8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9,282</w:t>
            </w:r>
          </w:p>
        </w:tc>
        <w:tc>
          <w:tcPr>
            <w:tcW w:w="2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6800" w:type="dxa"/>
            <w:vAlign w:val="bottom"/>
            <w:tcBorders>
              <w:bottom w:val="single" w:sz="8" w:color="E6E6E6"/>
            </w:tcBorders>
          </w:tcPr>
          <w:p>
            <w:pPr>
              <w:ind w:left="280"/>
              <w:spacing w:after="0"/>
              <w:rPr>
                <w:sz w:val="20"/>
                <w:szCs w:val="20"/>
                <w:color w:val="auto"/>
              </w:rPr>
            </w:pPr>
            <w:r>
              <w:rPr>
                <w:rFonts w:ascii="Arial" w:cs="Arial" w:eastAsia="Arial" w:hAnsi="Arial"/>
                <w:sz w:val="20"/>
                <w:szCs w:val="20"/>
                <w:color w:val="auto"/>
              </w:rPr>
              <w:t>Other current assets</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3,365</w:t>
            </w:r>
          </w:p>
        </w:tc>
        <w:tc>
          <w:tcPr>
            <w:tcW w:w="8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3,388</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800" w:type="dxa"/>
            <w:vAlign w:val="bottom"/>
            <w:shd w:val="clear" w:color="auto" w:fill="E6E6E6"/>
          </w:tcPr>
          <w:p>
            <w:pPr>
              <w:ind w:left="400"/>
              <w:spacing w:after="0"/>
              <w:rPr>
                <w:sz w:val="20"/>
                <w:szCs w:val="20"/>
                <w:color w:val="auto"/>
              </w:rPr>
            </w:pPr>
            <w:r>
              <w:rPr>
                <w:rFonts w:ascii="Arial" w:cs="Arial" w:eastAsia="Arial" w:hAnsi="Arial"/>
                <w:sz w:val="20"/>
                <w:szCs w:val="20"/>
                <w:b w:val="1"/>
                <w:bCs w:val="1"/>
                <w:color w:val="auto"/>
              </w:rPr>
              <w:t>Total current assets</w:t>
            </w:r>
          </w:p>
        </w:tc>
        <w:tc>
          <w:tcPr>
            <w:tcW w:w="240" w:type="dxa"/>
            <w:vAlign w:val="bottom"/>
            <w:shd w:val="clear" w:color="auto" w:fill="E6E6E6"/>
          </w:tcPr>
          <w:p>
            <w:pPr>
              <w:spacing w:after="0"/>
              <w:rPr>
                <w:sz w:val="23"/>
                <w:szCs w:val="23"/>
                <w:color w:val="auto"/>
              </w:rPr>
            </w:pPr>
          </w:p>
        </w:tc>
        <w:tc>
          <w:tcPr>
            <w:tcW w:w="9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289,708</w:t>
            </w:r>
          </w:p>
        </w:tc>
        <w:tc>
          <w:tcPr>
            <w:tcW w:w="80" w:type="dxa"/>
            <w:vAlign w:val="bottom"/>
            <w:shd w:val="clear" w:color="auto" w:fill="E6E6E6"/>
          </w:tcPr>
          <w:p>
            <w:pPr>
              <w:spacing w:after="0"/>
              <w:rPr>
                <w:sz w:val="23"/>
                <w:szCs w:val="23"/>
                <w:color w:val="auto"/>
              </w:rPr>
            </w:pPr>
          </w:p>
        </w:tc>
        <w:tc>
          <w:tcPr>
            <w:tcW w:w="260" w:type="dxa"/>
            <w:vAlign w:val="bottom"/>
            <w:shd w:val="clear" w:color="auto" w:fill="E6E6E6"/>
          </w:tcPr>
          <w:p>
            <w:pPr>
              <w:spacing w:after="0"/>
              <w:rPr>
                <w:sz w:val="23"/>
                <w:szCs w:val="23"/>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242,996</w:t>
            </w:r>
          </w:p>
        </w:tc>
        <w:tc>
          <w:tcPr>
            <w:tcW w:w="20" w:type="dxa"/>
            <w:vAlign w:val="bottom"/>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6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6800" w:type="dxa"/>
            <w:vAlign w:val="bottom"/>
            <w:shd w:val="clear" w:color="auto" w:fill="E6E6E6"/>
          </w:tcPr>
          <w:p>
            <w:pPr>
              <w:ind w:left="40"/>
              <w:spacing w:after="0"/>
              <w:rPr>
                <w:sz w:val="20"/>
                <w:szCs w:val="20"/>
                <w:color w:val="auto"/>
              </w:rPr>
            </w:pPr>
            <w:r>
              <w:rPr>
                <w:rFonts w:ascii="Arial" w:cs="Arial" w:eastAsia="Arial" w:hAnsi="Arial"/>
                <w:sz w:val="20"/>
                <w:szCs w:val="20"/>
                <w:b w:val="1"/>
                <w:bCs w:val="1"/>
                <w:color w:val="auto"/>
              </w:rPr>
              <w:t>Non-current assets:</w:t>
            </w:r>
          </w:p>
        </w:tc>
        <w:tc>
          <w:tcPr>
            <w:tcW w:w="24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800" w:type="dxa"/>
            <w:vAlign w:val="bottom"/>
          </w:tcPr>
          <w:p>
            <w:pPr>
              <w:ind w:left="280"/>
              <w:spacing w:after="0"/>
              <w:rPr>
                <w:sz w:val="20"/>
                <w:szCs w:val="20"/>
                <w:color w:val="auto"/>
              </w:rPr>
            </w:pPr>
            <w:r>
              <w:rPr>
                <w:rFonts w:ascii="Arial" w:cs="Arial" w:eastAsia="Arial" w:hAnsi="Arial"/>
                <w:sz w:val="20"/>
                <w:szCs w:val="20"/>
                <w:color w:val="auto"/>
              </w:rPr>
              <w:t>Furniture and equipment, net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Goodwill</w:t>
            </w:r>
          </w:p>
        </w:tc>
        <w:tc>
          <w:tcPr>
            <w:tcW w:w="240" w:type="dxa"/>
            <w:vAlign w:val="bottom"/>
            <w:tcBorders>
              <w:bottom w:val="single" w:sz="8" w:color="E6E6E6"/>
            </w:tcBorders>
            <w:shd w:val="clear" w:color="auto" w:fill="E6E6E6"/>
          </w:tcPr>
          <w:p>
            <w:pPr>
              <w:spacing w:after="0"/>
              <w:rPr>
                <w:sz w:val="22"/>
                <w:szCs w:val="22"/>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545</w:t>
            </w:r>
          </w:p>
        </w:tc>
        <w:tc>
          <w:tcPr>
            <w:tcW w:w="8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545</w:t>
            </w:r>
          </w:p>
        </w:tc>
        <w:tc>
          <w:tcPr>
            <w:tcW w:w="2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800" w:type="dxa"/>
            <w:vAlign w:val="bottom"/>
          </w:tcPr>
          <w:p>
            <w:pPr>
              <w:ind w:left="280"/>
              <w:spacing w:after="0"/>
              <w:rPr>
                <w:sz w:val="20"/>
                <w:szCs w:val="20"/>
                <w:color w:val="auto"/>
              </w:rPr>
            </w:pPr>
            <w:r>
              <w:rPr>
                <w:rFonts w:ascii="Arial" w:cs="Arial" w:eastAsia="Arial" w:hAnsi="Arial"/>
                <w:sz w:val="20"/>
                <w:szCs w:val="20"/>
                <w:color w:val="auto"/>
              </w:rPr>
              <w:t>Equity interest</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15,000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15,000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68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Right-of-use assets</w:t>
            </w:r>
          </w:p>
        </w:tc>
        <w:tc>
          <w:tcPr>
            <w:tcW w:w="24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2,847</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854</w:t>
            </w:r>
          </w:p>
        </w:tc>
        <w:tc>
          <w:tcPr>
            <w:tcW w:w="20" w:type="dxa"/>
            <w:vAlign w:val="bottom"/>
            <w:tcBorders>
              <w:bottom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800" w:type="dxa"/>
            <w:vAlign w:val="bottom"/>
            <w:tcBorders>
              <w:bottom w:val="single" w:sz="8" w:color="E6E6E6"/>
            </w:tcBorders>
          </w:tcPr>
          <w:p>
            <w:pPr>
              <w:ind w:left="400"/>
              <w:spacing w:after="0"/>
              <w:rPr>
                <w:sz w:val="20"/>
                <w:szCs w:val="20"/>
                <w:color w:val="auto"/>
              </w:rPr>
            </w:pPr>
            <w:r>
              <w:rPr>
                <w:rFonts w:ascii="Arial" w:cs="Arial" w:eastAsia="Arial" w:hAnsi="Arial"/>
                <w:sz w:val="20"/>
                <w:szCs w:val="20"/>
                <w:b w:val="1"/>
                <w:bCs w:val="1"/>
                <w:color w:val="auto"/>
              </w:rPr>
              <w:t>Total non-current assets: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18,416</w:t>
            </w:r>
          </w:p>
        </w:tc>
        <w:tc>
          <w:tcPr>
            <w:tcW w:w="80" w:type="dxa"/>
            <w:vAlign w:val="bottom"/>
            <w:tcBorders>
              <w:bottom w:val="single" w:sz="8" w:color="E6E6E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16,472</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80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20"/>
                <w:szCs w:val="20"/>
                <w:b w:val="1"/>
                <w:bCs w:val="1"/>
                <w:color w:val="auto"/>
              </w:rPr>
              <w:t>Total assets</w:t>
            </w:r>
          </w:p>
        </w:tc>
        <w:tc>
          <w:tcPr>
            <w:tcW w:w="24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308,124</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259,468</w:t>
            </w:r>
          </w:p>
        </w:tc>
        <w:tc>
          <w:tcPr>
            <w:tcW w:w="20" w:type="dxa"/>
            <w:vAlign w:val="bottom"/>
            <w:tcBorders>
              <w:bottom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6800" w:type="dxa"/>
            <w:vAlign w:val="bottom"/>
            <w:shd w:val="clear" w:color="auto" w:fill="E6E6E6"/>
          </w:tcPr>
          <w:p>
            <w:pPr>
              <w:ind w:left="2420"/>
              <w:spacing w:after="0"/>
              <w:rPr>
                <w:sz w:val="20"/>
                <w:szCs w:val="20"/>
                <w:color w:val="auto"/>
              </w:rPr>
            </w:pPr>
            <w:r>
              <w:rPr>
                <w:rFonts w:ascii="Arial" w:cs="Arial" w:eastAsia="Arial" w:hAnsi="Arial"/>
                <w:sz w:val="20"/>
                <w:szCs w:val="20"/>
                <w:b w:val="1"/>
                <w:bCs w:val="1"/>
                <w:color w:val="auto"/>
              </w:rPr>
              <w:t>LIABILITIES AND SHAREHOLDERS’ EQUITY</w:t>
            </w:r>
          </w:p>
        </w:tc>
        <w:tc>
          <w:tcPr>
            <w:tcW w:w="24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800" w:type="dxa"/>
            <w:vAlign w:val="bottom"/>
          </w:tcPr>
          <w:p>
            <w:pPr>
              <w:ind w:left="40"/>
              <w:spacing w:after="0"/>
              <w:rPr>
                <w:sz w:val="20"/>
                <w:szCs w:val="20"/>
                <w:color w:val="auto"/>
              </w:rPr>
            </w:pPr>
            <w:r>
              <w:rPr>
                <w:rFonts w:ascii="Arial" w:cs="Arial" w:eastAsia="Arial" w:hAnsi="Arial"/>
                <w:sz w:val="20"/>
                <w:szCs w:val="20"/>
                <w:b w:val="1"/>
                <w:bCs w:val="1"/>
                <w:color w:val="auto"/>
              </w:rPr>
              <w:t>Current liabilities:</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68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Accounts payable</w:t>
            </w:r>
          </w:p>
        </w:tc>
        <w:tc>
          <w:tcPr>
            <w:tcW w:w="240" w:type="dxa"/>
            <w:vAlign w:val="bottom"/>
            <w:tcBorders>
              <w:bottom w:val="single" w:sz="8" w:color="E6E6E6"/>
            </w:tcBorders>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3,492</w:t>
            </w:r>
          </w:p>
        </w:tc>
        <w:tc>
          <w:tcPr>
            <w:tcW w:w="340" w:type="dxa"/>
            <w:vAlign w:val="bottom"/>
            <w:tcBorders>
              <w:bottom w:val="single" w:sz="8" w:color="E6E6E6"/>
            </w:tcBorders>
            <w:gridSpan w:val="2"/>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2,910</w:t>
            </w:r>
          </w:p>
        </w:tc>
        <w:tc>
          <w:tcPr>
            <w:tcW w:w="2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6800" w:type="dxa"/>
            <w:vAlign w:val="bottom"/>
          </w:tcPr>
          <w:p>
            <w:pPr>
              <w:ind w:left="280"/>
              <w:spacing w:after="0"/>
              <w:rPr>
                <w:sz w:val="20"/>
                <w:szCs w:val="20"/>
                <w:color w:val="auto"/>
              </w:rPr>
            </w:pPr>
            <w:r>
              <w:rPr>
                <w:rFonts w:ascii="Arial" w:cs="Arial" w:eastAsia="Arial" w:hAnsi="Arial"/>
                <w:sz w:val="20"/>
                <w:szCs w:val="20"/>
                <w:color w:val="auto"/>
              </w:rPr>
              <w:t>Accrued expenses</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3,585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13,752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Current operating lease liabilities</w:t>
            </w:r>
          </w:p>
        </w:tc>
        <w:tc>
          <w:tcPr>
            <w:tcW w:w="240" w:type="dxa"/>
            <w:vAlign w:val="bottom"/>
            <w:tcBorders>
              <w:bottom w:val="single" w:sz="8" w:color="E6E6E6"/>
            </w:tcBorders>
            <w:shd w:val="clear" w:color="auto" w:fill="E6E6E6"/>
          </w:tcPr>
          <w:p>
            <w:pPr>
              <w:spacing w:after="0"/>
              <w:rPr>
                <w:sz w:val="22"/>
                <w:szCs w:val="22"/>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1,180</w:t>
            </w:r>
          </w:p>
        </w:tc>
        <w:tc>
          <w:tcPr>
            <w:tcW w:w="8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675</w:t>
            </w:r>
          </w:p>
        </w:tc>
        <w:tc>
          <w:tcPr>
            <w:tcW w:w="2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800" w:type="dxa"/>
            <w:vAlign w:val="bottom"/>
          </w:tcPr>
          <w:p>
            <w:pPr>
              <w:ind w:left="280"/>
              <w:spacing w:after="0"/>
              <w:rPr>
                <w:sz w:val="20"/>
                <w:szCs w:val="20"/>
                <w:color w:val="auto"/>
              </w:rPr>
            </w:pPr>
            <w:r>
              <w:rPr>
                <w:rFonts w:ascii="Arial" w:cs="Arial" w:eastAsia="Arial" w:hAnsi="Arial"/>
                <w:sz w:val="20"/>
                <w:szCs w:val="20"/>
                <w:color w:val="auto"/>
              </w:rPr>
              <w:t>Taxes payable</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8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Other current liabilities</w:t>
            </w:r>
          </w:p>
        </w:tc>
        <w:tc>
          <w:tcPr>
            <w:tcW w:w="24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435</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1,409</w:t>
            </w:r>
          </w:p>
        </w:tc>
        <w:tc>
          <w:tcPr>
            <w:tcW w:w="20" w:type="dxa"/>
            <w:vAlign w:val="bottom"/>
            <w:tcBorders>
              <w:bottom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800" w:type="dxa"/>
            <w:vAlign w:val="bottom"/>
          </w:tcPr>
          <w:p>
            <w:pPr>
              <w:ind w:left="400"/>
              <w:spacing w:after="0"/>
              <w:rPr>
                <w:sz w:val="20"/>
                <w:szCs w:val="20"/>
                <w:color w:val="auto"/>
              </w:rPr>
            </w:pPr>
            <w:r>
              <w:rPr>
                <w:rFonts w:ascii="Arial" w:cs="Arial" w:eastAsia="Arial" w:hAnsi="Arial"/>
                <w:sz w:val="20"/>
                <w:szCs w:val="20"/>
                <w:b w:val="1"/>
                <w:bCs w:val="1"/>
                <w:color w:val="auto"/>
              </w:rPr>
              <w:t>Total current liabilities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8,692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19,029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6800" w:type="dxa"/>
            <w:vAlign w:val="bottom"/>
          </w:tcPr>
          <w:p>
            <w:pPr>
              <w:ind w:left="40"/>
              <w:spacing w:after="0"/>
              <w:rPr>
                <w:sz w:val="20"/>
                <w:szCs w:val="20"/>
                <w:color w:val="auto"/>
              </w:rPr>
            </w:pPr>
            <w:r>
              <w:rPr>
                <w:rFonts w:ascii="Arial" w:cs="Arial" w:eastAsia="Arial" w:hAnsi="Arial"/>
                <w:sz w:val="20"/>
                <w:szCs w:val="20"/>
                <w:b w:val="1"/>
                <w:bCs w:val="1"/>
                <w:color w:val="auto"/>
              </w:rPr>
              <w:t>Non-current liabilities:</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68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Term loan</w:t>
            </w:r>
          </w:p>
        </w:tc>
        <w:tc>
          <w:tcPr>
            <w:tcW w:w="240" w:type="dxa"/>
            <w:vAlign w:val="bottom"/>
            <w:tcBorders>
              <w:bottom w:val="single" w:sz="8" w:color="E6E6E6"/>
            </w:tcBorders>
            <w:shd w:val="clear" w:color="auto" w:fill="E6E6E6"/>
          </w:tcPr>
          <w:p>
            <w:pPr>
              <w:spacing w:after="0"/>
              <w:rPr>
                <w:sz w:val="23"/>
                <w:szCs w:val="23"/>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48,374</w:t>
            </w:r>
          </w:p>
        </w:tc>
        <w:tc>
          <w:tcPr>
            <w:tcW w:w="80" w:type="dxa"/>
            <w:vAlign w:val="bottom"/>
            <w:tcBorders>
              <w:bottom w:val="single" w:sz="8" w:color="E6E6E6"/>
            </w:tcBorders>
            <w:shd w:val="clear" w:color="auto" w:fill="E6E6E6"/>
          </w:tcPr>
          <w:p>
            <w:pPr>
              <w:spacing w:after="0"/>
              <w:rPr>
                <w:sz w:val="23"/>
                <w:szCs w:val="23"/>
                <w:color w:val="auto"/>
              </w:rPr>
            </w:pPr>
          </w:p>
        </w:tc>
        <w:tc>
          <w:tcPr>
            <w:tcW w:w="260" w:type="dxa"/>
            <w:vAlign w:val="bottom"/>
            <w:tcBorders>
              <w:bottom w:val="single" w:sz="8" w:color="E6E6E6"/>
            </w:tcBorders>
            <w:shd w:val="clear" w:color="auto" w:fill="E6E6E6"/>
          </w:tcPr>
          <w:p>
            <w:pPr>
              <w:spacing w:after="0"/>
              <w:rPr>
                <w:sz w:val="23"/>
                <w:szCs w:val="23"/>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9,768</w:t>
            </w:r>
          </w:p>
        </w:tc>
        <w:tc>
          <w:tcPr>
            <w:tcW w:w="20" w:type="dxa"/>
            <w:vAlign w:val="bottom"/>
            <w:tcBorders>
              <w:bottom w:val="single" w:sz="8" w:color="E6E6E6"/>
            </w:tcBorders>
            <w:shd w:val="clear" w:color="auto" w:fill="E6E6E6"/>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800" w:type="dxa"/>
            <w:vAlign w:val="bottom"/>
            <w:tcBorders>
              <w:bottom w:val="single" w:sz="8" w:color="E6E6E6"/>
            </w:tcBorders>
          </w:tcPr>
          <w:p>
            <w:pPr>
              <w:ind w:left="280"/>
              <w:spacing w:after="0"/>
              <w:rPr>
                <w:sz w:val="20"/>
                <w:szCs w:val="20"/>
                <w:color w:val="auto"/>
              </w:rPr>
            </w:pPr>
            <w:r>
              <w:rPr>
                <w:rFonts w:ascii="Arial" w:cs="Arial" w:eastAsia="Arial" w:hAnsi="Arial"/>
                <w:sz w:val="20"/>
                <w:szCs w:val="20"/>
                <w:color w:val="auto"/>
              </w:rPr>
              <w:t>Non-current operating lease liabilities</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1,775</w:t>
            </w:r>
          </w:p>
        </w:tc>
        <w:tc>
          <w:tcPr>
            <w:tcW w:w="80" w:type="dxa"/>
            <w:vAlign w:val="bottom"/>
            <w:tcBorders>
              <w:bottom w:val="single" w:sz="8" w:color="E6E6E6"/>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205</w:t>
            </w:r>
          </w:p>
        </w:tc>
        <w:tc>
          <w:tcPr>
            <w:tcW w:w="20" w:type="dxa"/>
            <w:vAlign w:val="bottom"/>
            <w:tcBorders>
              <w:bottom w:val="single" w:sz="8" w:color="E6E6E6"/>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6800" w:type="dxa"/>
            <w:vAlign w:val="bottom"/>
            <w:tcBorders>
              <w:bottom w:val="single" w:sz="8" w:color="E6E6E6"/>
            </w:tcBorders>
            <w:shd w:val="clear" w:color="auto" w:fill="E6E6E6"/>
          </w:tcPr>
          <w:p>
            <w:pPr>
              <w:ind w:left="400"/>
              <w:spacing w:after="0"/>
              <w:rPr>
                <w:sz w:val="20"/>
                <w:szCs w:val="20"/>
                <w:color w:val="auto"/>
              </w:rPr>
            </w:pPr>
            <w:r>
              <w:rPr>
                <w:rFonts w:ascii="Arial" w:cs="Arial" w:eastAsia="Arial" w:hAnsi="Arial"/>
                <w:sz w:val="20"/>
                <w:szCs w:val="20"/>
                <w:b w:val="1"/>
                <w:bCs w:val="1"/>
                <w:color w:val="auto"/>
              </w:rPr>
              <w:t>Total non-current liabilities</w:t>
            </w:r>
          </w:p>
        </w:tc>
        <w:tc>
          <w:tcPr>
            <w:tcW w:w="24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50,149</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9,973</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800" w:type="dxa"/>
            <w:vAlign w:val="bottom"/>
          </w:tcPr>
          <w:p>
            <w:pPr>
              <w:ind w:left="520"/>
              <w:spacing w:after="0"/>
              <w:rPr>
                <w:sz w:val="20"/>
                <w:szCs w:val="20"/>
                <w:color w:val="auto"/>
              </w:rPr>
            </w:pPr>
            <w:r>
              <w:rPr>
                <w:rFonts w:ascii="Arial" w:cs="Arial" w:eastAsia="Arial" w:hAnsi="Arial"/>
                <w:sz w:val="20"/>
                <w:szCs w:val="20"/>
                <w:b w:val="1"/>
                <w:bCs w:val="1"/>
                <w:color w:val="auto"/>
              </w:rPr>
              <w:t>Total liabilities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58,841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29,002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80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6800" w:type="dxa"/>
            <w:vAlign w:val="bottom"/>
          </w:tcPr>
          <w:p>
            <w:pPr>
              <w:ind w:left="40"/>
              <w:spacing w:after="0"/>
              <w:rPr>
                <w:sz w:val="20"/>
                <w:szCs w:val="20"/>
                <w:color w:val="auto"/>
              </w:rPr>
            </w:pPr>
            <w:r>
              <w:rPr>
                <w:rFonts w:ascii="Arial" w:cs="Arial" w:eastAsia="Arial" w:hAnsi="Arial"/>
                <w:sz w:val="20"/>
                <w:szCs w:val="20"/>
                <w:b w:val="1"/>
                <w:bCs w:val="1"/>
                <w:color w:val="auto"/>
              </w:rPr>
              <w:t>Commitments and contingencies</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680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6800" w:type="dxa"/>
            <w:vAlign w:val="bottom"/>
          </w:tcPr>
          <w:p>
            <w:pPr>
              <w:ind w:left="40"/>
              <w:spacing w:after="0"/>
              <w:rPr>
                <w:sz w:val="20"/>
                <w:szCs w:val="20"/>
                <w:color w:val="auto"/>
              </w:rPr>
            </w:pPr>
            <w:r>
              <w:rPr>
                <w:rFonts w:ascii="Arial" w:cs="Arial" w:eastAsia="Arial" w:hAnsi="Arial"/>
                <w:sz w:val="20"/>
                <w:szCs w:val="20"/>
                <w:b w:val="1"/>
                <w:bCs w:val="1"/>
                <w:color w:val="auto"/>
              </w:rPr>
              <w:t>Shareholders' equity</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6800" w:type="dxa"/>
            <w:vAlign w:val="bottom"/>
            <w:shd w:val="clear" w:color="auto" w:fill="E6E6E6"/>
          </w:tcPr>
          <w:p>
            <w:pPr>
              <w:ind w:left="40"/>
              <w:spacing w:after="0" w:line="200" w:lineRule="exact"/>
              <w:rPr>
                <w:sz w:val="20"/>
                <w:szCs w:val="20"/>
                <w:color w:val="auto"/>
              </w:rPr>
            </w:pPr>
            <w:r>
              <w:rPr>
                <w:rFonts w:ascii="Arial" w:cs="Arial" w:eastAsia="Arial" w:hAnsi="Arial"/>
                <w:sz w:val="20"/>
                <w:szCs w:val="20"/>
                <w:color w:val="auto"/>
              </w:rPr>
              <w:t>Ordinary £0.05 par value shares: 667,659,630 and 631,338,246 issued, and</w:t>
            </w:r>
          </w:p>
        </w:tc>
        <w:tc>
          <w:tcPr>
            <w:tcW w:w="240" w:type="dxa"/>
            <w:vAlign w:val="bottom"/>
            <w:shd w:val="clear" w:color="auto" w:fill="E6E6E6"/>
          </w:tcPr>
          <w:p>
            <w:pPr>
              <w:spacing w:after="0"/>
              <w:rPr>
                <w:sz w:val="17"/>
                <w:szCs w:val="17"/>
                <w:color w:val="auto"/>
              </w:rPr>
            </w:pPr>
          </w:p>
        </w:tc>
        <w:tc>
          <w:tcPr>
            <w:tcW w:w="90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42,771</w:t>
            </w:r>
          </w:p>
        </w:tc>
        <w:tc>
          <w:tcPr>
            <w:tcW w:w="8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80" w:type="dxa"/>
            <w:vAlign w:val="bottom"/>
            <w:vMerge w:val="restart"/>
            <w:shd w:val="clear" w:color="auto" w:fill="E6E6E6"/>
          </w:tcPr>
          <w:p>
            <w:pPr>
              <w:jc w:val="right"/>
              <w:spacing w:after="0"/>
              <w:rPr>
                <w:sz w:val="20"/>
                <w:szCs w:val="20"/>
                <w:color w:val="auto"/>
              </w:rPr>
            </w:pPr>
            <w:r>
              <w:rPr>
                <w:rFonts w:ascii="Arial" w:cs="Arial" w:eastAsia="Arial" w:hAnsi="Arial"/>
                <w:sz w:val="20"/>
                <w:szCs w:val="20"/>
                <w:color w:val="auto"/>
              </w:rPr>
              <w:t>40,526</w:t>
            </w: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00" w:type="dxa"/>
            <w:vAlign w:val="bottom"/>
            <w:shd w:val="clear" w:color="auto" w:fill="E6E6E6"/>
          </w:tcPr>
          <w:p>
            <w:pPr>
              <w:ind w:left="40"/>
              <w:spacing w:after="0" w:line="205" w:lineRule="exact"/>
              <w:rPr>
                <w:sz w:val="20"/>
                <w:szCs w:val="20"/>
                <w:color w:val="auto"/>
              </w:rPr>
            </w:pPr>
            <w:r>
              <w:rPr>
                <w:rFonts w:ascii="Arial" w:cs="Arial" w:eastAsia="Arial" w:hAnsi="Arial"/>
                <w:sz w:val="20"/>
                <w:szCs w:val="20"/>
                <w:color w:val="auto"/>
                <w:w w:val="99"/>
              </w:rPr>
              <w:t>643,536,094 and 606,301,054 outstanding, at December 31, 2023 and 2022,</w:t>
            </w:r>
          </w:p>
        </w:tc>
        <w:tc>
          <w:tcPr>
            <w:tcW w:w="240" w:type="dxa"/>
            <w:vAlign w:val="bottom"/>
            <w:shd w:val="clear" w:color="auto" w:fill="E6E6E6"/>
          </w:tcPr>
          <w:p>
            <w:pPr>
              <w:spacing w:after="0"/>
              <w:rPr>
                <w:sz w:val="17"/>
                <w:szCs w:val="17"/>
                <w:color w:val="auto"/>
              </w:rPr>
            </w:pPr>
          </w:p>
        </w:tc>
        <w:tc>
          <w:tcPr>
            <w:tcW w:w="900" w:type="dxa"/>
            <w:vAlign w:val="bottom"/>
            <w:vMerge w:val="continue"/>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80" w:type="dxa"/>
            <w:vAlign w:val="bottom"/>
            <w:vMerge w:val="continue"/>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6800" w:type="dxa"/>
            <w:vAlign w:val="bottom"/>
            <w:shd w:val="clear" w:color="auto" w:fill="E6E6E6"/>
          </w:tcPr>
          <w:p>
            <w:pPr>
              <w:ind w:left="40"/>
              <w:spacing w:after="0"/>
              <w:rPr>
                <w:sz w:val="20"/>
                <w:szCs w:val="20"/>
                <w:color w:val="auto"/>
              </w:rPr>
            </w:pPr>
            <w:r>
              <w:rPr>
                <w:rFonts w:ascii="Arial" w:cs="Arial" w:eastAsia="Arial" w:hAnsi="Arial"/>
                <w:sz w:val="20"/>
                <w:szCs w:val="20"/>
                <w:color w:val="auto"/>
              </w:rPr>
              <w:t>respectively</w:t>
            </w:r>
          </w:p>
        </w:tc>
        <w:tc>
          <w:tcPr>
            <w:tcW w:w="240" w:type="dxa"/>
            <w:vAlign w:val="bottom"/>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60" w:type="dxa"/>
            <w:vAlign w:val="bottom"/>
            <w:shd w:val="clear" w:color="auto" w:fill="E6E6E6"/>
          </w:tcPr>
          <w:p>
            <w:pPr>
              <w:spacing w:after="0"/>
              <w:rPr>
                <w:sz w:val="24"/>
                <w:szCs w:val="24"/>
                <w:color w:val="auto"/>
              </w:rPr>
            </w:pPr>
          </w:p>
        </w:tc>
        <w:tc>
          <w:tcPr>
            <w:tcW w:w="8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800" w:type="dxa"/>
            <w:vAlign w:val="bottom"/>
          </w:tcPr>
          <w:p>
            <w:pPr>
              <w:ind w:left="280"/>
              <w:spacing w:after="0"/>
              <w:rPr>
                <w:sz w:val="20"/>
                <w:szCs w:val="20"/>
                <w:color w:val="auto"/>
              </w:rPr>
            </w:pPr>
            <w:r>
              <w:rPr>
                <w:rFonts w:ascii="Arial" w:cs="Arial" w:eastAsia="Arial" w:hAnsi="Arial"/>
                <w:sz w:val="20"/>
                <w:szCs w:val="20"/>
                <w:color w:val="auto"/>
              </w:rPr>
              <w:t>Additional paid-in capital</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601,063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529,187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Ordinary shares held in treasury</w:t>
            </w:r>
          </w:p>
        </w:tc>
        <w:tc>
          <w:tcPr>
            <w:tcW w:w="240" w:type="dxa"/>
            <w:vAlign w:val="bottom"/>
            <w:tcBorders>
              <w:bottom w:val="single" w:sz="8" w:color="E6E6E6"/>
            </w:tcBorders>
            <w:shd w:val="clear" w:color="auto" w:fill="E6E6E6"/>
          </w:tcPr>
          <w:p>
            <w:pPr>
              <w:spacing w:after="0"/>
              <w:rPr>
                <w:sz w:val="22"/>
                <w:szCs w:val="22"/>
                <w:color w:val="auto"/>
              </w:rPr>
            </w:pPr>
          </w:p>
        </w:tc>
        <w:tc>
          <w:tcPr>
            <w:tcW w:w="9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(1,517)</w:t>
            </w:r>
          </w:p>
        </w:tc>
        <w:tc>
          <w:tcPr>
            <w:tcW w:w="80" w:type="dxa"/>
            <w:vAlign w:val="bottom"/>
            <w:tcBorders>
              <w:bottom w:val="single" w:sz="8" w:color="E6E6E6"/>
            </w:tcBorders>
            <w:shd w:val="clear" w:color="auto" w:fill="E6E6E6"/>
          </w:tcPr>
          <w:p>
            <w:pPr>
              <w:spacing w:after="0"/>
              <w:rPr>
                <w:sz w:val="22"/>
                <w:szCs w:val="22"/>
                <w:color w:val="auto"/>
              </w:rPr>
            </w:pPr>
          </w:p>
        </w:tc>
        <w:tc>
          <w:tcPr>
            <w:tcW w:w="260" w:type="dxa"/>
            <w:vAlign w:val="bottom"/>
            <w:tcBorders>
              <w:bottom w:val="single" w:sz="8" w:color="E6E6E6"/>
            </w:tcBorders>
            <w:shd w:val="clear" w:color="auto" w:fill="E6E6E6"/>
          </w:tcPr>
          <w:p>
            <w:pPr>
              <w:spacing w:after="0"/>
              <w:rPr>
                <w:sz w:val="22"/>
                <w:szCs w:val="22"/>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(1,549)</w:t>
            </w:r>
          </w:p>
        </w:tc>
        <w:tc>
          <w:tcPr>
            <w:tcW w:w="20" w:type="dxa"/>
            <w:vAlign w:val="bottom"/>
            <w:tcBorders>
              <w:bottom w:val="single" w:sz="8" w:color="E6E6E6"/>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800" w:type="dxa"/>
            <w:vAlign w:val="bottom"/>
          </w:tcPr>
          <w:p>
            <w:pPr>
              <w:ind w:left="280"/>
              <w:spacing w:after="0"/>
              <w:rPr>
                <w:sz w:val="20"/>
                <w:szCs w:val="20"/>
                <w:color w:val="auto"/>
              </w:rPr>
            </w:pPr>
            <w:r>
              <w:rPr>
                <w:rFonts w:ascii="Arial" w:cs="Arial" w:eastAsia="Arial" w:hAnsi="Arial"/>
                <w:sz w:val="20"/>
                <w:szCs w:val="20"/>
                <w:color w:val="auto"/>
              </w:rPr>
              <w:t>Accumulated other comprehensive loss</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(4,601)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(4,601)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6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6800" w:type="dxa"/>
            <w:vAlign w:val="bottom"/>
            <w:tcBorders>
              <w:bottom w:val="single" w:sz="8" w:color="E6E6E6"/>
            </w:tcBorders>
            <w:shd w:val="clear" w:color="auto" w:fill="E6E6E6"/>
          </w:tcPr>
          <w:p>
            <w:pPr>
              <w:ind w:left="280"/>
              <w:spacing w:after="0"/>
              <w:rPr>
                <w:sz w:val="20"/>
                <w:szCs w:val="20"/>
                <w:color w:val="auto"/>
              </w:rPr>
            </w:pPr>
            <w:r>
              <w:rPr>
                <w:rFonts w:ascii="Arial" w:cs="Arial" w:eastAsia="Arial" w:hAnsi="Arial"/>
                <w:sz w:val="20"/>
                <w:szCs w:val="20"/>
                <w:color w:val="auto"/>
              </w:rPr>
              <w:t>Accumulated deficit</w:t>
            </w:r>
          </w:p>
        </w:tc>
        <w:tc>
          <w:tcPr>
            <w:tcW w:w="240" w:type="dxa"/>
            <w:vAlign w:val="bottom"/>
            <w:tcBorders>
              <w:bottom w:val="single" w:sz="8" w:color="auto"/>
            </w:tcBorders>
            <w:shd w:val="clear" w:color="auto" w:fill="E6E6E6"/>
          </w:tcPr>
          <w:p>
            <w:pPr>
              <w:spacing w:after="0"/>
              <w:rPr>
                <w:sz w:val="24"/>
                <w:szCs w:val="24"/>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(388,433)</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(333,097)</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00" w:type="dxa"/>
            <w:vAlign w:val="bottom"/>
            <w:tcBorders>
              <w:bottom w:val="single" w:sz="8" w:color="E6E6E6"/>
            </w:tcBorders>
          </w:tcPr>
          <w:p>
            <w:pPr>
              <w:ind w:left="400"/>
              <w:spacing w:after="0"/>
              <w:rPr>
                <w:sz w:val="20"/>
                <w:szCs w:val="20"/>
                <w:color w:val="auto"/>
              </w:rPr>
            </w:pPr>
            <w:r>
              <w:rPr>
                <w:rFonts w:ascii="Arial" w:cs="Arial" w:eastAsia="Arial" w:hAnsi="Arial"/>
                <w:sz w:val="20"/>
                <w:szCs w:val="20"/>
                <w:b w:val="1"/>
                <w:bCs w:val="1"/>
                <w:color w:val="auto"/>
              </w:rPr>
              <w:t>Total shareholders' equity</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249,283</w:t>
            </w:r>
          </w:p>
        </w:tc>
        <w:tc>
          <w:tcPr>
            <w:tcW w:w="80" w:type="dxa"/>
            <w:vAlign w:val="bottom"/>
            <w:tcBorders>
              <w:bottom w:val="single" w:sz="8" w:color="E6E6E6"/>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230,466</w:t>
            </w:r>
          </w:p>
        </w:tc>
        <w:tc>
          <w:tcPr>
            <w:tcW w:w="20" w:type="dxa"/>
            <w:vAlign w:val="bottom"/>
            <w:tcBorders>
              <w:bottom w:val="single" w:sz="8" w:color="E6E6E6"/>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800" w:type="dxa"/>
            <w:vAlign w:val="bottom"/>
            <w:tcBorders>
              <w:bottom w:val="single" w:sz="8" w:color="E6E6E6"/>
            </w:tcBorders>
            <w:shd w:val="clear" w:color="auto" w:fill="E6E6E6"/>
          </w:tcPr>
          <w:p>
            <w:pPr>
              <w:ind w:left="520"/>
              <w:spacing w:after="0"/>
              <w:rPr>
                <w:sz w:val="20"/>
                <w:szCs w:val="20"/>
                <w:color w:val="auto"/>
              </w:rPr>
            </w:pPr>
            <w:r>
              <w:rPr>
                <w:rFonts w:ascii="Arial" w:cs="Arial" w:eastAsia="Arial" w:hAnsi="Arial"/>
                <w:sz w:val="20"/>
                <w:szCs w:val="20"/>
                <w:b w:val="1"/>
                <w:bCs w:val="1"/>
                <w:color w:val="auto"/>
              </w:rPr>
              <w:t>Total liabilities and shareholders' equity</w:t>
            </w:r>
          </w:p>
        </w:tc>
        <w:tc>
          <w:tcPr>
            <w:tcW w:w="24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308,124</w:t>
            </w:r>
          </w:p>
        </w:tc>
        <w:tc>
          <w:tcPr>
            <w:tcW w:w="80" w:type="dxa"/>
            <w:vAlign w:val="bottom"/>
            <w:tcBorders>
              <w:bottom w:val="single" w:sz="8" w:color="E6E6E6"/>
            </w:tcBorders>
            <w:shd w:val="clear" w:color="auto" w:fill="E6E6E6"/>
          </w:tcPr>
          <w:p>
            <w:pPr>
              <w:spacing w:after="0"/>
              <w:rPr>
                <w:sz w:val="24"/>
                <w:szCs w:val="24"/>
                <w:color w:val="auto"/>
              </w:rPr>
            </w:pPr>
          </w:p>
        </w:tc>
        <w:tc>
          <w:tcPr>
            <w:tcW w:w="260" w:type="dxa"/>
            <w:vAlign w:val="bottom"/>
            <w:tcBorders>
              <w:bottom w:val="single" w:sz="8" w:color="auto"/>
            </w:tcBorders>
            <w:shd w:val="clear" w:color="auto" w:fill="E6E6E6"/>
          </w:tcPr>
          <w:p>
            <w:pPr>
              <w:jc w:val="right"/>
              <w:ind w:right="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259,468</w:t>
            </w:r>
          </w:p>
        </w:tc>
        <w:tc>
          <w:tcPr>
            <w:tcW w:w="20" w:type="dxa"/>
            <w:vAlign w:val="bottom"/>
            <w:tcBorders>
              <w:bottom w:val="single" w:sz="8" w:color="E6E6E6"/>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-7376160</wp:posOffset>
            </wp:positionV>
            <wp:extent cx="153225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-6295390</wp:posOffset>
            </wp:positionV>
            <wp:extent cx="153225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-5092065</wp:posOffset>
            </wp:positionV>
            <wp:extent cx="153225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0">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-4911725</wp:posOffset>
            </wp:positionV>
            <wp:extent cx="153225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1">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-4744720</wp:posOffset>
            </wp:positionV>
            <wp:extent cx="153225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extLst>
                    </a:blip>
                    <a:srcRect/>
                    <a:stretch>
                      <a:fillRect/>
                    </a:stretch>
                  </pic:blipFill>
                  <pic:spPr bwMode="auto">
                    <a:xfrm>
                      <a:off x="0" y="0"/>
                      <a:ext cx="1532255" cy="50800"/>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-3348355</wp:posOffset>
            </wp:positionV>
            <wp:extent cx="153225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-2504440</wp:posOffset>
            </wp:positionV>
            <wp:extent cx="153225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-2324735</wp:posOffset>
            </wp:positionV>
            <wp:extent cx="153225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5">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-391160</wp:posOffset>
            </wp:positionV>
            <wp:extent cx="153225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6">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-210820</wp:posOffset>
            </wp:positionV>
            <wp:extent cx="153225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4353560</wp:posOffset>
            </wp:positionH>
            <wp:positionV relativeFrom="paragraph">
              <wp:posOffset>-43815</wp:posOffset>
            </wp:positionV>
            <wp:extent cx="153225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a:extLst>
                        <a:ext uri="{28A0092B-C50C-407E-A947-70E740481C1C}"/>
                      </a:extLst>
                    </a:blip>
                    <a:srcRect/>
                    <a:stretch>
                      <a:fillRect/>
                    </a:stretch>
                  </pic:blipFill>
                  <pic:spPr bwMode="auto">
                    <a:xfrm>
                      <a:off x="0" y="0"/>
                      <a:ext cx="1532255" cy="5080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240"/>
          </w:cols>
          <w:pgMar w:left="1280" w:top="324"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F-4</w:t>
      </w:r>
    </w:p>
    <w:p>
      <w:pPr>
        <w:sectPr>
          <w:pgSz w:w="11880" w:h="15480" w:orient="portrait"/>
          <w:cols w:equalWidth="0" w:num="1">
            <w:col w:w="9240"/>
          </w:cols>
          <w:pgMar w:left="1280" w:top="324" w:right="1360" w:bottom="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260"/>
        <w:spacing w:after="0"/>
        <w:rPr>
          <w:sz w:val="20"/>
          <w:szCs w:val="20"/>
          <w:color w:val="auto"/>
        </w:rPr>
      </w:pPr>
      <w:r>
        <w:rPr>
          <w:rFonts w:ascii="Arial" w:cs="Arial" w:eastAsia="Arial" w:hAnsi="Arial"/>
          <w:sz w:val="16"/>
          <w:szCs w:val="16"/>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940" w:type="dxa"/>
            <w:vAlign w:val="bottom"/>
            <w:tcBorders>
              <w:bottom w:val="single" w:sz="8" w:color="E6E6E6"/>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top w:val="single" w:sz="8" w:color="auto"/>
              <w:bottom w:val="single" w:sz="8" w:color="E6E6E6"/>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2022</w:t>
            </w:r>
          </w:p>
        </w:tc>
      </w:tr>
      <w:tr>
        <w:trPr>
          <w:trHeight w:val="288"/>
        </w:trPr>
        <w:tc>
          <w:tcPr>
            <w:tcW w:w="6980" w:type="dxa"/>
            <w:vAlign w:val="bottom"/>
            <w:gridSpan w:val="2"/>
            <w:shd w:val="clear" w:color="auto" w:fill="E6E6E6"/>
          </w:tcPr>
          <w:p>
            <w:pPr>
              <w:ind w:left="300"/>
              <w:spacing w:after="0"/>
              <w:rPr>
                <w:sz w:val="20"/>
                <w:szCs w:val="20"/>
                <w:color w:val="auto"/>
              </w:rPr>
            </w:pPr>
            <w:r>
              <w:rPr>
                <w:rFonts w:ascii="Arial" w:cs="Arial" w:eastAsia="Arial" w:hAnsi="Arial"/>
                <w:sz w:val="20"/>
                <w:szCs w:val="20"/>
                <w:color w:val="auto"/>
              </w:rPr>
              <w:t>Revenue</w:t>
            </w:r>
          </w:p>
        </w:tc>
        <w:tc>
          <w:tcPr>
            <w:tcW w:w="240" w:type="dxa"/>
            <w:vAlign w:val="bottom"/>
            <w:shd w:val="clear" w:color="auto" w:fill="E6E6E6"/>
          </w:tcPr>
          <w:p>
            <w:pPr>
              <w:jc w:val="right"/>
              <w:ind w:right="21"/>
              <w:spacing w:after="0"/>
              <w:rPr>
                <w:sz w:val="20"/>
                <w:szCs w:val="20"/>
                <w:color w:val="auto"/>
              </w:rPr>
            </w:pPr>
            <w:r>
              <w:rPr>
                <w:rFonts w:ascii="Arial" w:cs="Arial" w:eastAsia="Arial" w:hAnsi="Arial"/>
                <w:sz w:val="20"/>
                <w:szCs w:val="20"/>
                <w:color w:val="auto"/>
                <w:w w:val="89"/>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458</w:t>
            </w:r>
          </w:p>
        </w:tc>
      </w:tr>
      <w:tr>
        <w:trPr>
          <w:trHeight w:val="288"/>
        </w:trPr>
        <w:tc>
          <w:tcPr>
            <w:tcW w:w="6940" w:type="dxa"/>
            <w:vAlign w:val="bottom"/>
            <w:tcBorders>
              <w:bottom w:val="single" w:sz="8" w:color="E6E6E6"/>
            </w:tcBorders>
          </w:tcPr>
          <w:p>
            <w:pPr>
              <w:ind w:left="300"/>
              <w:spacing w:after="0"/>
              <w:rPr>
                <w:sz w:val="20"/>
                <w:szCs w:val="20"/>
                <w:color w:val="auto"/>
              </w:rPr>
            </w:pPr>
            <w:r>
              <w:rPr>
                <w:rFonts w:ascii="Arial" w:cs="Arial" w:eastAsia="Arial" w:hAnsi="Arial"/>
                <w:sz w:val="20"/>
                <w:szCs w:val="20"/>
                <w:color w:val="auto"/>
              </w:rPr>
              <w:t>Cost of sales</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(346)</w:t>
            </w:r>
          </w:p>
        </w:tc>
      </w:tr>
      <w:tr>
        <w:trPr>
          <w:trHeight w:val="297"/>
        </w:trPr>
        <w:tc>
          <w:tcPr>
            <w:tcW w:w="6980" w:type="dxa"/>
            <w:vAlign w:val="bottom"/>
            <w:gridSpan w:val="2"/>
            <w:shd w:val="clear" w:color="auto" w:fill="E6E6E6"/>
          </w:tcPr>
          <w:p>
            <w:pPr>
              <w:ind w:left="60"/>
              <w:spacing w:after="0"/>
              <w:rPr>
                <w:sz w:val="20"/>
                <w:szCs w:val="20"/>
                <w:color w:val="auto"/>
              </w:rPr>
            </w:pPr>
            <w:r>
              <w:rPr>
                <w:rFonts w:ascii="Arial" w:cs="Arial" w:eastAsia="Arial" w:hAnsi="Arial"/>
                <w:sz w:val="20"/>
                <w:szCs w:val="20"/>
                <w:b w:val="1"/>
                <w:bCs w:val="1"/>
                <w:color w:val="auto"/>
              </w:rPr>
              <w:t>Gross profit</w:t>
            </w:r>
          </w:p>
        </w:tc>
        <w:tc>
          <w:tcPr>
            <w:tcW w:w="240" w:type="dxa"/>
            <w:vAlign w:val="bottom"/>
            <w:shd w:val="clear" w:color="auto" w:fill="E6E6E6"/>
          </w:tcPr>
          <w:p>
            <w:pPr>
              <w:spacing w:after="0"/>
              <w:rPr>
                <w:sz w:val="24"/>
                <w:szCs w:val="24"/>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112</w:t>
            </w:r>
          </w:p>
        </w:tc>
      </w:tr>
      <w:tr>
        <w:trPr>
          <w:trHeight w:val="235"/>
        </w:trPr>
        <w:tc>
          <w:tcPr>
            <w:tcW w:w="6940" w:type="dxa"/>
            <w:vAlign w:val="bottom"/>
            <w:tcBorders>
              <w:top w:val="single" w:sz="8" w:color="E6E6E6"/>
            </w:tcBorders>
          </w:tcPr>
          <w:p>
            <w:pPr>
              <w:ind w:left="60"/>
              <w:spacing w:after="0"/>
              <w:rPr>
                <w:sz w:val="20"/>
                <w:szCs w:val="20"/>
                <w:color w:val="auto"/>
              </w:rPr>
            </w:pPr>
            <w:r>
              <w:rPr>
                <w:rFonts w:ascii="Arial" w:cs="Arial" w:eastAsia="Arial" w:hAnsi="Arial"/>
                <w:sz w:val="20"/>
                <w:szCs w:val="20"/>
                <w:b w:val="1"/>
                <w:bCs w:val="1"/>
                <w:color w:val="auto"/>
              </w:rPr>
              <w:t>Operating expenses:</w:t>
            </w: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 w:type="dxa"/>
            <w:vAlign w:val="bottom"/>
            <w:tcBorders>
              <w:top w:val="single" w:sz="8" w:color="E6E6E6"/>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4"/>
        </w:trPr>
        <w:tc>
          <w:tcPr>
            <w:tcW w:w="6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8"/>
        </w:trPr>
        <w:tc>
          <w:tcPr>
            <w:tcW w:w="6980" w:type="dxa"/>
            <w:vAlign w:val="bottom"/>
            <w:tcBorders>
              <w:bottom w:val="single" w:sz="8" w:color="E6E6E6"/>
            </w:tcBorders>
            <w:gridSpan w:val="2"/>
            <w:shd w:val="clear" w:color="auto" w:fill="E6E6E6"/>
          </w:tcPr>
          <w:p>
            <w:pPr>
              <w:ind w:left="300"/>
              <w:spacing w:after="0"/>
              <w:rPr>
                <w:sz w:val="20"/>
                <w:szCs w:val="20"/>
                <w:color w:val="auto"/>
              </w:rPr>
            </w:pPr>
            <w:r>
              <w:rPr>
                <w:rFonts w:ascii="Arial" w:cs="Arial" w:eastAsia="Arial" w:hAnsi="Arial"/>
                <w:sz w:val="20"/>
                <w:szCs w:val="20"/>
                <w:color w:val="auto"/>
              </w:rPr>
              <w:t>Research and development (Note 11)</w:t>
            </w:r>
          </w:p>
        </w:tc>
        <w:tc>
          <w:tcPr>
            <w:tcW w:w="24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17,216</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49,283</w:t>
            </w:r>
          </w:p>
        </w:tc>
      </w:tr>
      <w:tr>
        <w:trPr>
          <w:trHeight w:val="268"/>
        </w:trPr>
        <w:tc>
          <w:tcPr>
            <w:tcW w:w="6980" w:type="dxa"/>
            <w:vAlign w:val="bottom"/>
            <w:gridSpan w:val="2"/>
          </w:tcPr>
          <w:p>
            <w:pPr>
              <w:ind w:left="300"/>
              <w:spacing w:after="0"/>
              <w:rPr>
                <w:sz w:val="20"/>
                <w:szCs w:val="20"/>
                <w:color w:val="auto"/>
              </w:rPr>
            </w:pPr>
            <w:r>
              <w:rPr>
                <w:rFonts w:ascii="Arial" w:cs="Arial" w:eastAsia="Arial" w:hAnsi="Arial"/>
                <w:sz w:val="20"/>
                <w:szCs w:val="20"/>
                <w:color w:val="auto"/>
              </w:rPr>
              <w:t>Selling, general and administrative</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50,353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26,579</w:t>
            </w:r>
          </w:p>
        </w:tc>
      </w:tr>
      <w:tr>
        <w:trPr>
          <w:trHeight w:val="21"/>
        </w:trPr>
        <w:tc>
          <w:tcPr>
            <w:tcW w:w="6940" w:type="dxa"/>
            <w:vAlign w:val="bottom"/>
            <w:tcBorders>
              <w:bottom w:val="single" w:sz="8" w:color="E6E6E6"/>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9"/>
        </w:trPr>
        <w:tc>
          <w:tcPr>
            <w:tcW w:w="6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b w:val="1"/>
                <w:bCs w:val="1"/>
                <w:color w:val="auto"/>
              </w:rPr>
              <w:t>Total operating expenses</w:t>
            </w:r>
          </w:p>
        </w:tc>
        <w:tc>
          <w:tcPr>
            <w:tcW w:w="40" w:type="dxa"/>
            <w:vAlign w:val="bottom"/>
            <w:tcBorders>
              <w:bottom w:val="single" w:sz="8" w:color="auto"/>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67,569</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75,862</w:t>
            </w:r>
          </w:p>
        </w:tc>
      </w:tr>
      <w:tr>
        <w:trPr>
          <w:trHeight w:val="249"/>
        </w:trPr>
        <w:tc>
          <w:tcPr>
            <w:tcW w:w="6940" w:type="dxa"/>
            <w:vAlign w:val="bottom"/>
          </w:tcPr>
          <w:p>
            <w:pPr>
              <w:ind w:left="60"/>
              <w:spacing w:after="0"/>
              <w:rPr>
                <w:sz w:val="20"/>
                <w:szCs w:val="20"/>
                <w:color w:val="auto"/>
              </w:rPr>
            </w:pPr>
            <w:r>
              <w:rPr>
                <w:rFonts w:ascii="Arial" w:cs="Arial" w:eastAsia="Arial" w:hAnsi="Arial"/>
                <w:sz w:val="20"/>
                <w:szCs w:val="20"/>
                <w:b w:val="1"/>
                <w:bCs w:val="1"/>
                <w:color w:val="auto"/>
              </w:rPr>
              <w:t>Operating loss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(67,569)</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(75,750)</w:t>
            </w:r>
          </w:p>
        </w:tc>
      </w:tr>
      <w:tr>
        <w:trPr>
          <w:trHeight w:val="28"/>
        </w:trPr>
        <w:tc>
          <w:tcPr>
            <w:tcW w:w="6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8"/>
        </w:trPr>
        <w:tc>
          <w:tcPr>
            <w:tcW w:w="698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20"/>
                <w:szCs w:val="20"/>
                <w:b w:val="1"/>
                <w:bCs w:val="1"/>
                <w:color w:val="auto"/>
              </w:rPr>
              <w:t>Other income/(expense):</w:t>
            </w:r>
          </w:p>
        </w:tc>
        <w:tc>
          <w:tcPr>
            <w:tcW w:w="24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860" w:type="dxa"/>
            <w:vAlign w:val="bottom"/>
            <w:tcBorders>
              <w:bottom w:val="single" w:sz="8" w:color="E6E6E6"/>
            </w:tcBorders>
            <w:shd w:val="clear" w:color="auto" w:fill="E6E6E6"/>
          </w:tcPr>
          <w:p>
            <w:pPr>
              <w:spacing w:after="0"/>
              <w:rPr>
                <w:sz w:val="24"/>
                <w:szCs w:val="24"/>
                <w:color w:val="auto"/>
              </w:rPr>
            </w:pPr>
          </w:p>
        </w:tc>
      </w:tr>
      <w:tr>
        <w:trPr>
          <w:trHeight w:val="268"/>
        </w:trPr>
        <w:tc>
          <w:tcPr>
            <w:tcW w:w="6980" w:type="dxa"/>
            <w:vAlign w:val="bottom"/>
            <w:gridSpan w:val="2"/>
          </w:tcPr>
          <w:p>
            <w:pPr>
              <w:ind w:left="300"/>
              <w:spacing w:after="0"/>
              <w:rPr>
                <w:sz w:val="20"/>
                <w:szCs w:val="20"/>
                <w:color w:val="auto"/>
              </w:rPr>
            </w:pPr>
            <w:r>
              <w:rPr>
                <w:rFonts w:ascii="Arial" w:cs="Arial" w:eastAsia="Arial" w:hAnsi="Arial"/>
                <w:sz w:val="20"/>
                <w:szCs w:val="20"/>
                <w:color w:val="auto"/>
              </w:rPr>
              <w:t>Research and development tax credit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1,104</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9,634</w:t>
            </w:r>
          </w:p>
        </w:tc>
      </w:tr>
      <w:tr>
        <w:trPr>
          <w:trHeight w:val="31"/>
        </w:trPr>
        <w:tc>
          <w:tcPr>
            <w:tcW w:w="6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9"/>
        </w:trPr>
        <w:tc>
          <w:tcPr>
            <w:tcW w:w="6980" w:type="dxa"/>
            <w:vAlign w:val="bottom"/>
            <w:tcBorders>
              <w:bottom w:val="single" w:sz="8" w:color="E6E6E6"/>
            </w:tcBorders>
            <w:gridSpan w:val="2"/>
            <w:shd w:val="clear" w:color="auto" w:fill="E6E6E6"/>
          </w:tcPr>
          <w:p>
            <w:pPr>
              <w:ind w:left="300"/>
              <w:spacing w:after="0"/>
              <w:rPr>
                <w:sz w:val="20"/>
                <w:szCs w:val="20"/>
                <w:color w:val="auto"/>
              </w:rPr>
            </w:pPr>
            <w:r>
              <w:rPr>
                <w:rFonts w:ascii="Arial" w:cs="Arial" w:eastAsia="Arial" w:hAnsi="Arial"/>
                <w:sz w:val="20"/>
                <w:szCs w:val="20"/>
                <w:color w:val="auto"/>
              </w:rPr>
              <w:t>Loss on extinguishment of debt</w:t>
            </w:r>
          </w:p>
        </w:tc>
        <w:tc>
          <w:tcPr>
            <w:tcW w:w="24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(815)</w:t>
            </w:r>
          </w:p>
        </w:tc>
      </w:tr>
      <w:tr>
        <w:trPr>
          <w:trHeight w:val="268"/>
        </w:trPr>
        <w:tc>
          <w:tcPr>
            <w:tcW w:w="6980" w:type="dxa"/>
            <w:vAlign w:val="bottom"/>
            <w:gridSpan w:val="2"/>
          </w:tcPr>
          <w:p>
            <w:pPr>
              <w:ind w:left="300"/>
              <w:spacing w:after="0"/>
              <w:rPr>
                <w:sz w:val="20"/>
                <w:szCs w:val="20"/>
                <w:color w:val="auto"/>
              </w:rPr>
            </w:pPr>
            <w:r>
              <w:rPr>
                <w:rFonts w:ascii="Arial" w:cs="Arial" w:eastAsia="Arial" w:hAnsi="Arial"/>
                <w:sz w:val="20"/>
                <w:szCs w:val="20"/>
                <w:color w:val="auto"/>
              </w:rPr>
              <w:t>Interest income</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12,761</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2,821</w:t>
            </w:r>
          </w:p>
        </w:tc>
      </w:tr>
      <w:tr>
        <w:trPr>
          <w:trHeight w:val="31"/>
        </w:trPr>
        <w:tc>
          <w:tcPr>
            <w:tcW w:w="6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9"/>
        </w:trPr>
        <w:tc>
          <w:tcPr>
            <w:tcW w:w="6980" w:type="dxa"/>
            <w:vAlign w:val="bottom"/>
            <w:tcBorders>
              <w:bottom w:val="single" w:sz="8" w:color="E6E6E6"/>
            </w:tcBorders>
            <w:gridSpan w:val="2"/>
            <w:shd w:val="clear" w:color="auto" w:fill="E6E6E6"/>
          </w:tcPr>
          <w:p>
            <w:pPr>
              <w:ind w:left="300"/>
              <w:spacing w:after="0"/>
              <w:rPr>
                <w:sz w:val="20"/>
                <w:szCs w:val="20"/>
                <w:color w:val="auto"/>
              </w:rPr>
            </w:pPr>
            <w:r>
              <w:rPr>
                <w:rFonts w:ascii="Arial" w:cs="Arial" w:eastAsia="Arial" w:hAnsi="Arial"/>
                <w:sz w:val="20"/>
                <w:szCs w:val="20"/>
                <w:color w:val="auto"/>
              </w:rPr>
              <w:t>Interest expense</w:t>
            </w:r>
          </w:p>
        </w:tc>
        <w:tc>
          <w:tcPr>
            <w:tcW w:w="24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(2,057)</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(521)</w:t>
            </w:r>
          </w:p>
        </w:tc>
      </w:tr>
      <w:tr>
        <w:trPr>
          <w:trHeight w:val="268"/>
        </w:trPr>
        <w:tc>
          <w:tcPr>
            <w:tcW w:w="6980" w:type="dxa"/>
            <w:vAlign w:val="bottom"/>
            <w:gridSpan w:val="2"/>
          </w:tcPr>
          <w:p>
            <w:pPr>
              <w:ind w:left="300"/>
              <w:spacing w:after="0"/>
              <w:rPr>
                <w:sz w:val="20"/>
                <w:szCs w:val="20"/>
                <w:color w:val="auto"/>
              </w:rPr>
            </w:pPr>
            <w:r>
              <w:rPr>
                <w:rFonts w:ascii="Arial" w:cs="Arial" w:eastAsia="Arial" w:hAnsi="Arial"/>
                <w:sz w:val="20"/>
                <w:szCs w:val="20"/>
                <w:color w:val="auto"/>
              </w:rPr>
              <w:t>Foreign exchange gain/(loss)</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1,866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(3,817)</w:t>
            </w:r>
          </w:p>
        </w:tc>
      </w:tr>
      <w:tr>
        <w:trPr>
          <w:trHeight w:val="21"/>
        </w:trPr>
        <w:tc>
          <w:tcPr>
            <w:tcW w:w="6940" w:type="dxa"/>
            <w:vAlign w:val="bottom"/>
            <w:tcBorders>
              <w:bottom w:val="single" w:sz="8" w:color="E6E6E6"/>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9"/>
        </w:trPr>
        <w:tc>
          <w:tcPr>
            <w:tcW w:w="6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b w:val="1"/>
                <w:bCs w:val="1"/>
                <w:color w:val="auto"/>
              </w:rPr>
              <w:t>Total other income, net</w:t>
            </w:r>
          </w:p>
        </w:tc>
        <w:tc>
          <w:tcPr>
            <w:tcW w:w="40" w:type="dxa"/>
            <w:vAlign w:val="bottom"/>
            <w:tcBorders>
              <w:bottom w:val="single" w:sz="8" w:color="auto"/>
            </w:tcBorders>
            <w:shd w:val="clear" w:color="auto" w:fill="E6E6E6"/>
          </w:tcPr>
          <w:p>
            <w:pPr>
              <w:spacing w:after="0"/>
              <w:rPr>
                <w:sz w:val="24"/>
                <w:szCs w:val="24"/>
                <w:color w:val="auto"/>
              </w:rPr>
            </w:pPr>
          </w:p>
        </w:tc>
        <w:tc>
          <w:tcPr>
            <w:tcW w:w="240" w:type="dxa"/>
            <w:vAlign w:val="bottom"/>
            <w:tcBorders>
              <w:bottom w:val="single" w:sz="8" w:color="auto"/>
            </w:tcBorders>
            <w:shd w:val="clear" w:color="auto" w:fill="E6E6E6"/>
          </w:tcPr>
          <w:p>
            <w:pPr>
              <w:spacing w:after="0"/>
              <w:rPr>
                <w:sz w:val="24"/>
                <w:szCs w:val="24"/>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13,674</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7,302</w:t>
            </w:r>
          </w:p>
        </w:tc>
      </w:tr>
      <w:tr>
        <w:trPr>
          <w:trHeight w:val="249"/>
        </w:trPr>
        <w:tc>
          <w:tcPr>
            <w:tcW w:w="6940" w:type="dxa"/>
            <w:vAlign w:val="bottom"/>
          </w:tcPr>
          <w:p>
            <w:pPr>
              <w:ind w:left="60"/>
              <w:spacing w:after="0"/>
              <w:rPr>
                <w:sz w:val="20"/>
                <w:szCs w:val="20"/>
                <w:color w:val="auto"/>
              </w:rPr>
            </w:pPr>
            <w:r>
              <w:rPr>
                <w:rFonts w:ascii="Arial" w:cs="Arial" w:eastAsia="Arial" w:hAnsi="Arial"/>
                <w:sz w:val="20"/>
                <w:szCs w:val="20"/>
                <w:b w:val="1"/>
                <w:bCs w:val="1"/>
                <w:color w:val="auto"/>
              </w:rPr>
              <w:t>Loss before income taxes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(53,895)</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(68,448)</w:t>
            </w:r>
          </w:p>
        </w:tc>
      </w:tr>
      <w:tr>
        <w:trPr>
          <w:trHeight w:val="28"/>
        </w:trPr>
        <w:tc>
          <w:tcPr>
            <w:tcW w:w="6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13"/>
        </w:trPr>
        <w:tc>
          <w:tcPr>
            <w:tcW w:w="6980" w:type="dxa"/>
            <w:vAlign w:val="bottom"/>
            <w:tcBorders>
              <w:bottom w:val="single" w:sz="8" w:color="E6E6E6"/>
            </w:tcBorders>
            <w:gridSpan w:val="2"/>
            <w:shd w:val="clear" w:color="auto" w:fill="E6E6E6"/>
          </w:tcPr>
          <w:p>
            <w:pPr>
              <w:ind w:left="300"/>
              <w:spacing w:after="0"/>
              <w:rPr>
                <w:sz w:val="20"/>
                <w:szCs w:val="20"/>
                <w:color w:val="auto"/>
              </w:rPr>
            </w:pPr>
            <w:r>
              <w:rPr>
                <w:rFonts w:ascii="Arial" w:cs="Arial" w:eastAsia="Arial" w:hAnsi="Arial"/>
                <w:sz w:val="20"/>
                <w:szCs w:val="20"/>
                <w:color w:val="auto"/>
              </w:rPr>
              <w:t>Income tax expense</w:t>
            </w:r>
          </w:p>
        </w:tc>
        <w:tc>
          <w:tcPr>
            <w:tcW w:w="240" w:type="dxa"/>
            <w:vAlign w:val="bottom"/>
            <w:tcBorders>
              <w:bottom w:val="single" w:sz="8" w:color="E6E6E6"/>
            </w:tcBorders>
            <w:shd w:val="clear" w:color="auto" w:fill="E6E6E6"/>
          </w:tcPr>
          <w:p>
            <w:pPr>
              <w:spacing w:after="0"/>
              <w:rPr>
                <w:sz w:val="24"/>
                <w:szCs w:val="24"/>
                <w:color w:val="auto"/>
              </w:rPr>
            </w:pPr>
          </w:p>
        </w:tc>
        <w:tc>
          <w:tcPr>
            <w:tcW w:w="88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(474)</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(253)</w:t>
            </w:r>
          </w:p>
        </w:tc>
      </w:tr>
      <w:tr>
        <w:trPr>
          <w:trHeight w:val="278"/>
        </w:trPr>
        <w:tc>
          <w:tcPr>
            <w:tcW w:w="6940" w:type="dxa"/>
            <w:vAlign w:val="bottom"/>
            <w:tcBorders>
              <w:top w:val="single" w:sz="8" w:color="E6E6E6"/>
              <w:bottom w:val="single" w:sz="8" w:color="E6E6E6"/>
            </w:tcBorders>
          </w:tcPr>
          <w:p>
            <w:pPr>
              <w:ind w:left="60"/>
              <w:spacing w:after="0"/>
              <w:rPr>
                <w:sz w:val="20"/>
                <w:szCs w:val="20"/>
                <w:color w:val="auto"/>
              </w:rPr>
            </w:pPr>
            <w:r>
              <w:rPr>
                <w:rFonts w:ascii="Arial" w:cs="Arial" w:eastAsia="Arial" w:hAnsi="Arial"/>
                <w:sz w:val="20"/>
                <w:szCs w:val="20"/>
                <w:b w:val="1"/>
                <w:bCs w:val="1"/>
                <w:color w:val="auto"/>
              </w:rPr>
              <w:t>Net loss</w:t>
            </w:r>
          </w:p>
        </w:tc>
        <w:tc>
          <w:tcPr>
            <w:tcW w:w="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(54,369)</w:t>
            </w:r>
          </w:p>
        </w:tc>
        <w:tc>
          <w:tcPr>
            <w:tcW w:w="60" w:type="dxa"/>
            <w:vAlign w:val="bottom"/>
            <w:tcBorders>
              <w:top w:val="single" w:sz="8" w:color="E6E6E6"/>
              <w:bottom w:val="single" w:sz="8" w:color="E6E6E6"/>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(68,701)</w:t>
            </w:r>
          </w:p>
        </w:tc>
      </w:tr>
      <w:tr>
        <w:trPr>
          <w:trHeight w:val="264"/>
        </w:trPr>
        <w:tc>
          <w:tcPr>
            <w:tcW w:w="6940" w:type="dxa"/>
            <w:vAlign w:val="bottom"/>
            <w:tcBorders>
              <w:bottom w:val="single" w:sz="8" w:color="E6E6E6"/>
            </w:tcBorders>
            <w:shd w:val="clear" w:color="auto" w:fill="E6E6E6"/>
          </w:tcPr>
          <w:p>
            <w:pPr>
              <w:ind w:left="300"/>
              <w:spacing w:after="0" w:line="224" w:lineRule="exact"/>
              <w:rPr>
                <w:sz w:val="20"/>
                <w:szCs w:val="20"/>
                <w:color w:val="auto"/>
              </w:rPr>
            </w:pPr>
            <w:r>
              <w:rPr>
                <w:rFonts w:ascii="Arial" w:cs="Arial" w:eastAsia="Arial" w:hAnsi="Arial"/>
                <w:sz w:val="20"/>
                <w:szCs w:val="20"/>
                <w:color w:val="auto"/>
              </w:rPr>
              <w:t>Loss per ordinary share — basic and diluted</w:t>
            </w:r>
          </w:p>
        </w:tc>
        <w:tc>
          <w:tcPr>
            <w:tcW w:w="40" w:type="dxa"/>
            <w:vAlign w:val="bottom"/>
            <w:tcBorders>
              <w:bottom w:val="single" w:sz="8" w:color="auto"/>
            </w:tcBorders>
            <w:shd w:val="clear" w:color="auto" w:fill="E6E6E6"/>
          </w:tcPr>
          <w:p>
            <w:pPr>
              <w:spacing w:after="0"/>
              <w:rPr>
                <w:sz w:val="22"/>
                <w:szCs w:val="22"/>
                <w:color w:val="auto"/>
              </w:rPr>
            </w:pPr>
          </w:p>
        </w:tc>
        <w:tc>
          <w:tcPr>
            <w:tcW w:w="240" w:type="dxa"/>
            <w:vAlign w:val="bottom"/>
            <w:tcBorders>
              <w:bottom w:val="single" w:sz="8" w:color="auto"/>
            </w:tcBorders>
            <w:shd w:val="clear" w:color="auto" w:fill="E6E6E6"/>
          </w:tcPr>
          <w:p>
            <w:pPr>
              <w:jc w:val="right"/>
              <w:ind w:right="21"/>
              <w:spacing w:after="0" w:line="224" w:lineRule="exact"/>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shd w:val="clear" w:color="auto" w:fill="E6E6E6"/>
          </w:tcPr>
          <w:p>
            <w:pPr>
              <w:jc w:val="right"/>
              <w:spacing w:after="0" w:line="224" w:lineRule="exact"/>
              <w:rPr>
                <w:sz w:val="20"/>
                <w:szCs w:val="20"/>
                <w:color w:val="auto"/>
              </w:rPr>
            </w:pPr>
            <w:r>
              <w:rPr>
                <w:rFonts w:ascii="Arial" w:cs="Arial" w:eastAsia="Arial" w:hAnsi="Arial"/>
                <w:sz w:val="20"/>
                <w:szCs w:val="20"/>
                <w:color w:val="auto"/>
              </w:rPr>
              <w:t>(0.09)</w:t>
            </w:r>
          </w:p>
        </w:tc>
        <w:tc>
          <w:tcPr>
            <w:tcW w:w="6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auto"/>
            </w:tcBorders>
            <w:shd w:val="clear" w:color="auto" w:fill="E6E6E6"/>
          </w:tcPr>
          <w:p>
            <w:pPr>
              <w:jc w:val="right"/>
              <w:ind w:right="41"/>
              <w:spacing w:after="0" w:line="224" w:lineRule="exact"/>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E6E6E6"/>
          </w:tcPr>
          <w:p>
            <w:pPr>
              <w:jc w:val="right"/>
              <w:spacing w:after="0" w:line="224" w:lineRule="exact"/>
              <w:rPr>
                <w:sz w:val="20"/>
                <w:szCs w:val="20"/>
                <w:color w:val="auto"/>
              </w:rPr>
            </w:pPr>
            <w:r>
              <w:rPr>
                <w:rFonts w:ascii="Arial" w:cs="Arial" w:eastAsia="Arial" w:hAnsi="Arial"/>
                <w:sz w:val="20"/>
                <w:szCs w:val="20"/>
                <w:color w:val="auto"/>
              </w:rPr>
              <w:t>(0.13)</w:t>
            </w:r>
          </w:p>
        </w:tc>
      </w:tr>
      <w:tr>
        <w:trPr>
          <w:trHeight w:val="254"/>
        </w:trPr>
        <w:tc>
          <w:tcPr>
            <w:tcW w:w="6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4"/>
        </w:trPr>
        <w:tc>
          <w:tcPr>
            <w:tcW w:w="6980" w:type="dxa"/>
            <w:vAlign w:val="bottom"/>
            <w:tcBorders>
              <w:bottom w:val="single" w:sz="8" w:color="E6E6E6"/>
            </w:tcBorders>
            <w:gridSpan w:val="2"/>
            <w:shd w:val="clear" w:color="auto" w:fill="E6E6E6"/>
          </w:tcPr>
          <w:p>
            <w:pPr>
              <w:ind w:left="60"/>
              <w:spacing w:after="0"/>
              <w:rPr>
                <w:sz w:val="20"/>
                <w:szCs w:val="20"/>
                <w:color w:val="auto"/>
              </w:rPr>
            </w:pPr>
            <w:r>
              <w:rPr>
                <w:rFonts w:ascii="Arial" w:cs="Arial" w:eastAsia="Arial" w:hAnsi="Arial"/>
                <w:sz w:val="20"/>
                <w:szCs w:val="20"/>
                <w:color w:val="auto"/>
              </w:rPr>
              <w:t>Weighted-average shares outstanding - basic and diluted</w:t>
            </w:r>
          </w:p>
        </w:tc>
        <w:tc>
          <w:tcPr>
            <w:tcW w:w="1120" w:type="dxa"/>
            <w:vAlign w:val="bottom"/>
            <w:tcBorders>
              <w:bottom w:val="single" w:sz="8" w:color="E6E6E6"/>
            </w:tcBorders>
            <w:gridSpan w:val="2"/>
            <w:shd w:val="clear" w:color="auto" w:fill="E6E6E6"/>
          </w:tcPr>
          <w:p>
            <w:pPr>
              <w:jc w:val="right"/>
              <w:spacing w:after="0"/>
              <w:rPr>
                <w:sz w:val="20"/>
                <w:szCs w:val="20"/>
                <w:color w:val="auto"/>
              </w:rPr>
            </w:pPr>
            <w:r>
              <w:rPr>
                <w:rFonts w:ascii="Arial" w:cs="Arial" w:eastAsia="Arial" w:hAnsi="Arial"/>
                <w:sz w:val="20"/>
                <w:szCs w:val="20"/>
                <w:color w:val="auto"/>
                <w:w w:val="91"/>
              </w:rPr>
              <w:t>634,142,660</w:t>
            </w:r>
          </w:p>
        </w:tc>
        <w:tc>
          <w:tcPr>
            <w:tcW w:w="1220" w:type="dxa"/>
            <w:vAlign w:val="bottom"/>
            <w:tcBorders>
              <w:bottom w:val="single" w:sz="8" w:color="E6E6E6"/>
            </w:tcBorders>
            <w:gridSpan w:val="3"/>
            <w:shd w:val="clear" w:color="auto" w:fill="E6E6E6"/>
          </w:tcPr>
          <w:p>
            <w:pPr>
              <w:jc w:val="right"/>
              <w:spacing w:after="0"/>
              <w:rPr>
                <w:sz w:val="20"/>
                <w:szCs w:val="20"/>
                <w:color w:val="auto"/>
              </w:rPr>
            </w:pPr>
            <w:r>
              <w:rPr>
                <w:rFonts w:ascii="Arial" w:cs="Arial" w:eastAsia="Arial" w:hAnsi="Arial"/>
                <w:sz w:val="20"/>
                <w:szCs w:val="20"/>
                <w:color w:val="auto"/>
              </w:rPr>
              <w:t>529,071,526</w:t>
            </w:r>
          </w:p>
        </w:tc>
      </w:tr>
      <w:tr>
        <w:trPr>
          <w:trHeight w:val="417"/>
        </w:trPr>
        <w:tc>
          <w:tcPr>
            <w:tcW w:w="6980" w:type="dxa"/>
            <w:vAlign w:val="bottom"/>
            <w:gridSpan w:val="2"/>
          </w:tcPr>
          <w:p>
            <w:pPr>
              <w:spacing w:after="0"/>
              <w:rPr>
                <w:sz w:val="20"/>
                <w:szCs w:val="20"/>
                <w:color w:val="auto"/>
              </w:rPr>
            </w:pPr>
            <w:r>
              <w:rPr>
                <w:rFonts w:ascii="Arial" w:cs="Arial" w:eastAsia="Arial" w:hAnsi="Arial"/>
                <w:sz w:val="20"/>
                <w:szCs w:val="20"/>
                <w:color w:val="auto"/>
                <w:w w:val="89"/>
              </w:rPr>
              <w:t>The accompanying notes are an integral part of these consolidated financial statements.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-4229100</wp:posOffset>
            </wp:positionV>
            <wp:extent cx="153225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-3850005</wp:posOffset>
            </wp:positionV>
            <wp:extent cx="153225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-3660140</wp:posOffset>
            </wp:positionV>
            <wp:extent cx="153225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-3091815</wp:posOffset>
            </wp:positionV>
            <wp:extent cx="153225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-2901950</wp:posOffset>
            </wp:positionV>
            <wp:extent cx="153225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-1575435</wp:posOffset>
            </wp:positionV>
            <wp:extent cx="153225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-1385570</wp:posOffset>
            </wp:positionV>
            <wp:extent cx="153225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-1006475</wp:posOffset>
            </wp:positionV>
            <wp:extent cx="153225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-829310</wp:posOffset>
            </wp:positionV>
            <wp:extent cx="1532255"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extLst>
                    </a:blip>
                    <a:srcRect/>
                    <a:stretch>
                      <a:fillRect/>
                    </a:stretch>
                  </pic:blipFill>
                  <pic:spPr bwMode="auto">
                    <a:xfrm>
                      <a:off x="0" y="0"/>
                      <a:ext cx="1532255" cy="508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-649605</wp:posOffset>
            </wp:positionV>
            <wp:extent cx="1532255"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extLst>
                    </a:blip>
                    <a:srcRect/>
                    <a:stretch>
                      <a:fillRect/>
                    </a:stretch>
                  </pic:blipFill>
                  <pic:spPr bwMode="auto">
                    <a:xfrm>
                      <a:off x="0" y="0"/>
                      <a:ext cx="1532255" cy="50800"/>
                    </a:xfrm>
                    <a:prstGeom prst="rect">
                      <a:avLst/>
                    </a:prstGeom>
                    <a:noFill/>
                  </pic:spPr>
                </pic:pic>
              </a:graphicData>
            </a:graphic>
          </wp:anchor>
        </w:drawing>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F-5</w:t>
      </w:r>
    </w:p>
    <w:p>
      <w:pPr>
        <w:sectPr>
          <w:pgSz w:w="11880" w:h="15480" w:orient="portrait"/>
          <w:cols w:equalWidth="0" w:num="1">
            <w:col w:w="9320"/>
          </w:cols>
          <w:pgMar w:left="1280" w:top="324" w:right="1280" w:bottom="0" w:gutter="0" w:footer="0" w:header="0"/>
          <w:type w:val="continuous"/>
        </w:sectPr>
      </w:pPr>
    </w:p>
    <w:bookmarkStart w:id="113" w:name="page114"/>
    <w:bookmarkEnd w:id="113"/>
    <w:p>
      <w:pPr>
        <w:jc w:val="center"/>
        <w:ind w:right="-39"/>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 thousands except share data)</w:t>
      </w:r>
    </w:p>
    <w:p>
      <w:pPr>
        <w:sectPr>
          <w:pgSz w:w="11880" w:h="15480" w:orient="portrait"/>
          <w:cols w:equalWidth="0" w:num="1">
            <w:col w:w="9280"/>
          </w:cols>
          <w:pgMar w:left="1280" w:top="324"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0" w:right="60"/>
        <w:spacing w:after="0" w:line="243" w:lineRule="auto"/>
        <w:rPr>
          <w:sz w:val="20"/>
          <w:szCs w:val="20"/>
          <w:color w:val="auto"/>
        </w:rPr>
      </w:pPr>
      <w:r>
        <w:rPr>
          <w:rFonts w:ascii="Arial" w:cs="Arial" w:eastAsia="Arial" w:hAnsi="Arial"/>
          <w:sz w:val="20"/>
          <w:szCs w:val="20"/>
          <w:b w:val="1"/>
          <w:bCs w:val="1"/>
          <w:color w:val="auto"/>
        </w:rPr>
        <w:t>Balance at January 1, 2022</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20"/>
          <w:szCs w:val="20"/>
          <w:color w:val="auto"/>
        </w:rPr>
        <w:t>Net loss</w:t>
      </w:r>
    </w:p>
    <w:p>
      <w:pPr>
        <w:spacing w:after="0" w:line="49" w:lineRule="exact"/>
        <w:rPr>
          <w:sz w:val="20"/>
          <w:szCs w:val="20"/>
          <w:color w:val="auto"/>
        </w:rPr>
      </w:pPr>
    </w:p>
    <w:p>
      <w:pPr>
        <w:ind w:left="320" w:right="60"/>
        <w:spacing w:after="0" w:line="261" w:lineRule="auto"/>
        <w:rPr>
          <w:sz w:val="20"/>
          <w:szCs w:val="20"/>
          <w:color w:val="auto"/>
        </w:rPr>
      </w:pPr>
      <w:r>
        <w:rPr>
          <w:rFonts w:ascii="Arial" w:cs="Arial" w:eastAsia="Arial" w:hAnsi="Arial"/>
          <w:sz w:val="18"/>
          <w:szCs w:val="18"/>
          <w:color w:val="auto"/>
        </w:rPr>
        <w:t>Issuance of ordinary shares, net of issuance costs</w:t>
      </w:r>
    </w:p>
    <w:p>
      <w:pPr>
        <w:spacing w:after="0" w:line="1" w:lineRule="exact"/>
        <w:rPr>
          <w:sz w:val="20"/>
          <w:szCs w:val="20"/>
          <w:color w:val="auto"/>
        </w:rPr>
      </w:pPr>
    </w:p>
    <w:p>
      <w:pPr>
        <w:ind w:left="320" w:right="20"/>
        <w:spacing w:after="0" w:line="251" w:lineRule="auto"/>
        <w:rPr>
          <w:sz w:val="20"/>
          <w:szCs w:val="20"/>
          <w:color w:val="auto"/>
        </w:rPr>
      </w:pPr>
      <w:r>
        <w:rPr>
          <w:rFonts w:ascii="Arial" w:cs="Arial" w:eastAsia="Arial" w:hAnsi="Arial"/>
          <w:sz w:val="18"/>
          <w:szCs w:val="18"/>
          <w:color w:val="auto"/>
        </w:rPr>
        <w:t>Issuance of common shares under at-the-market sales agreement</w:t>
      </w:r>
    </w:p>
    <w:p>
      <w:pPr>
        <w:spacing w:after="0" w:line="5" w:lineRule="exact"/>
        <w:rPr>
          <w:sz w:val="20"/>
          <w:szCs w:val="20"/>
          <w:color w:val="auto"/>
        </w:rPr>
      </w:pPr>
    </w:p>
    <w:p>
      <w:pPr>
        <w:ind w:left="320" w:right="60"/>
        <w:spacing w:after="0" w:line="284" w:lineRule="auto"/>
        <w:rPr>
          <w:sz w:val="20"/>
          <w:szCs w:val="20"/>
          <w:color w:val="auto"/>
        </w:rPr>
      </w:pPr>
      <w:r>
        <w:rPr>
          <w:rFonts w:ascii="Arial" w:cs="Arial" w:eastAsia="Arial" w:hAnsi="Arial"/>
          <w:sz w:val="17"/>
          <w:szCs w:val="17"/>
          <w:color w:val="auto"/>
        </w:rPr>
        <w:t>Issuance of ordinary shares to treasury</w:t>
      </w:r>
    </w:p>
    <w:p>
      <w:pPr>
        <w:ind w:left="320" w:right="400"/>
        <w:spacing w:after="0" w:line="284" w:lineRule="auto"/>
        <w:rPr>
          <w:sz w:val="20"/>
          <w:szCs w:val="20"/>
          <w:color w:val="auto"/>
        </w:rPr>
      </w:pPr>
      <w:r>
        <w:rPr>
          <w:rFonts w:ascii="Arial" w:cs="Arial" w:eastAsia="Arial" w:hAnsi="Arial"/>
          <w:sz w:val="17"/>
          <w:szCs w:val="17"/>
          <w:color w:val="auto"/>
        </w:rPr>
        <w:t>Restricted share units vested</w:t>
      </w:r>
    </w:p>
    <w:p>
      <w:pPr>
        <w:ind w:left="320" w:right="580"/>
        <w:spacing w:after="0" w:line="284" w:lineRule="auto"/>
        <w:rPr>
          <w:sz w:val="20"/>
          <w:szCs w:val="20"/>
          <w:color w:val="auto"/>
        </w:rPr>
      </w:pPr>
      <w:r>
        <w:rPr>
          <w:rFonts w:ascii="Arial" w:cs="Arial" w:eastAsia="Arial" w:hAnsi="Arial"/>
          <w:sz w:val="17"/>
          <w:szCs w:val="17"/>
          <w:color w:val="auto"/>
        </w:rPr>
        <w:t>Share options exercised</w:t>
      </w:r>
    </w:p>
    <w:p>
      <w:pPr>
        <w:ind w:left="320" w:right="580"/>
        <w:spacing w:after="0" w:line="324" w:lineRule="auto"/>
        <w:rPr>
          <w:sz w:val="20"/>
          <w:szCs w:val="20"/>
          <w:color w:val="auto"/>
        </w:rPr>
      </w:pPr>
      <w:r>
        <w:rPr>
          <w:rFonts w:ascii="Arial" w:cs="Arial" w:eastAsia="Arial" w:hAnsi="Arial"/>
          <w:sz w:val="17"/>
          <w:szCs w:val="17"/>
          <w:color w:val="auto"/>
        </w:rPr>
        <w:t>Share-based compensation</w:t>
      </w:r>
    </w:p>
    <w:p>
      <w:pPr>
        <w:spacing w:after="0" w:line="44" w:lineRule="exact"/>
        <w:rPr>
          <w:sz w:val="20"/>
          <w:szCs w:val="20"/>
          <w:color w:val="auto"/>
        </w:rPr>
      </w:pPr>
    </w:p>
    <w:p>
      <w:pPr>
        <w:ind w:left="320"/>
        <w:spacing w:after="0" w:line="261" w:lineRule="auto"/>
        <w:rPr>
          <w:sz w:val="20"/>
          <w:szCs w:val="20"/>
          <w:color w:val="auto"/>
        </w:rPr>
      </w:pPr>
      <w:r>
        <w:rPr>
          <w:rFonts w:ascii="Arial" w:cs="Arial" w:eastAsia="Arial" w:hAnsi="Arial"/>
          <w:sz w:val="18"/>
          <w:szCs w:val="18"/>
          <w:color w:val="auto"/>
        </w:rPr>
        <w:t>Common shares withheld for taxes on vested stock awards</w:t>
      </w:r>
    </w:p>
    <w:p>
      <w:pPr>
        <w:spacing w:after="0" w:line="106" w:lineRule="exact"/>
        <w:rPr>
          <w:sz w:val="20"/>
          <w:szCs w:val="20"/>
          <w:color w:val="auto"/>
        </w:rPr>
      </w:pPr>
    </w:p>
    <w:p>
      <w:pPr>
        <w:jc w:val="both"/>
        <w:ind w:left="320" w:right="40"/>
        <w:spacing w:after="0" w:line="265" w:lineRule="auto"/>
        <w:rPr>
          <w:sz w:val="20"/>
          <w:szCs w:val="20"/>
          <w:color w:val="auto"/>
        </w:rPr>
      </w:pPr>
      <w:r>
        <w:rPr>
          <w:rFonts w:ascii="Arial" w:cs="Arial" w:eastAsia="Arial" w:hAnsi="Arial"/>
          <w:sz w:val="17"/>
          <w:szCs w:val="17"/>
          <w:color w:val="auto"/>
        </w:rPr>
        <w:t>Equity settled share-based compensation reclassified as cash-settled</w:t>
      </w:r>
    </w:p>
    <w:p>
      <w:pPr>
        <w:spacing w:after="0" w:line="2" w:lineRule="exact"/>
        <w:rPr>
          <w:sz w:val="20"/>
          <w:szCs w:val="20"/>
          <w:color w:val="auto"/>
        </w:rPr>
      </w:pPr>
    </w:p>
    <w:p>
      <w:pPr>
        <w:ind w:left="80" w:right="120"/>
        <w:spacing w:after="0" w:line="262" w:lineRule="auto"/>
        <w:rPr>
          <w:sz w:val="20"/>
          <w:szCs w:val="20"/>
          <w:color w:val="auto"/>
        </w:rPr>
      </w:pPr>
      <w:r>
        <w:rPr>
          <w:rFonts w:ascii="Arial" w:cs="Arial" w:eastAsia="Arial" w:hAnsi="Arial"/>
          <w:sz w:val="19"/>
          <w:szCs w:val="19"/>
          <w:b w:val="1"/>
          <w:bCs w:val="1"/>
          <w:color w:val="auto"/>
        </w:rPr>
        <w:t>Balance at December 31, 2022</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20"/>
          <w:szCs w:val="20"/>
          <w:color w:val="auto"/>
        </w:rPr>
        <w:t>Net loss</w:t>
      </w:r>
    </w:p>
    <w:p>
      <w:pPr>
        <w:spacing w:after="0" w:line="54" w:lineRule="exact"/>
        <w:rPr>
          <w:sz w:val="20"/>
          <w:szCs w:val="20"/>
          <w:color w:val="auto"/>
        </w:rPr>
      </w:pPr>
    </w:p>
    <w:p>
      <w:pPr>
        <w:ind w:left="320" w:right="20"/>
        <w:spacing w:after="0" w:line="251" w:lineRule="auto"/>
        <w:rPr>
          <w:sz w:val="20"/>
          <w:szCs w:val="20"/>
          <w:color w:val="auto"/>
        </w:rPr>
      </w:pPr>
      <w:r>
        <w:rPr>
          <w:rFonts w:ascii="Arial" w:cs="Arial" w:eastAsia="Arial" w:hAnsi="Arial"/>
          <w:sz w:val="18"/>
          <w:szCs w:val="18"/>
          <w:color w:val="auto"/>
        </w:rPr>
        <w:t>Issuance of common shares under at-the-market sales agreement</w:t>
      </w:r>
    </w:p>
    <w:p>
      <w:pPr>
        <w:spacing w:after="0" w:line="5" w:lineRule="exact"/>
        <w:rPr>
          <w:sz w:val="20"/>
          <w:szCs w:val="20"/>
          <w:color w:val="auto"/>
        </w:rPr>
      </w:pPr>
    </w:p>
    <w:p>
      <w:pPr>
        <w:ind w:left="320" w:right="60"/>
        <w:spacing w:after="0" w:line="284" w:lineRule="auto"/>
        <w:rPr>
          <w:sz w:val="20"/>
          <w:szCs w:val="20"/>
          <w:color w:val="auto"/>
        </w:rPr>
      </w:pPr>
      <w:r>
        <w:rPr>
          <w:rFonts w:ascii="Arial" w:cs="Arial" w:eastAsia="Arial" w:hAnsi="Arial"/>
          <w:sz w:val="17"/>
          <w:szCs w:val="17"/>
          <w:color w:val="auto"/>
        </w:rPr>
        <w:t>Issuance of ordinary shares to treasury</w:t>
      </w:r>
    </w:p>
    <w:p>
      <w:pPr>
        <w:ind w:left="320" w:right="400"/>
        <w:spacing w:after="0" w:line="284" w:lineRule="auto"/>
        <w:rPr>
          <w:sz w:val="20"/>
          <w:szCs w:val="20"/>
          <w:color w:val="auto"/>
        </w:rPr>
      </w:pPr>
      <w:r>
        <w:rPr>
          <w:rFonts w:ascii="Arial" w:cs="Arial" w:eastAsia="Arial" w:hAnsi="Arial"/>
          <w:sz w:val="17"/>
          <w:szCs w:val="17"/>
          <w:color w:val="auto"/>
        </w:rPr>
        <w:t>Restricted share units vested</w:t>
      </w:r>
    </w:p>
    <w:p>
      <w:pPr>
        <w:ind w:left="320" w:right="580"/>
        <w:spacing w:after="0" w:line="284" w:lineRule="auto"/>
        <w:rPr>
          <w:sz w:val="20"/>
          <w:szCs w:val="20"/>
          <w:color w:val="auto"/>
        </w:rPr>
      </w:pPr>
      <w:r>
        <w:rPr>
          <w:rFonts w:ascii="Arial" w:cs="Arial" w:eastAsia="Arial" w:hAnsi="Arial"/>
          <w:sz w:val="17"/>
          <w:szCs w:val="17"/>
          <w:color w:val="auto"/>
        </w:rPr>
        <w:t>Share options exercised</w:t>
      </w:r>
    </w:p>
    <w:p>
      <w:pPr>
        <w:ind w:left="320" w:right="580"/>
        <w:spacing w:after="0" w:line="287" w:lineRule="auto"/>
        <w:rPr>
          <w:sz w:val="20"/>
          <w:szCs w:val="20"/>
          <w:color w:val="auto"/>
        </w:rPr>
      </w:pPr>
      <w:r>
        <w:rPr>
          <w:rFonts w:ascii="Arial" w:cs="Arial" w:eastAsia="Arial" w:hAnsi="Arial"/>
          <w:sz w:val="17"/>
          <w:szCs w:val="17"/>
          <w:color w:val="auto"/>
        </w:rPr>
        <w:t>Share-based compensation</w:t>
      </w:r>
    </w:p>
    <w:p>
      <w:pPr>
        <w:ind w:left="320"/>
        <w:spacing w:after="0" w:line="261" w:lineRule="auto"/>
        <w:rPr>
          <w:sz w:val="20"/>
          <w:szCs w:val="20"/>
          <w:color w:val="auto"/>
        </w:rPr>
      </w:pPr>
      <w:r>
        <w:rPr>
          <w:rFonts w:ascii="Arial" w:cs="Arial" w:eastAsia="Arial" w:hAnsi="Arial"/>
          <w:sz w:val="18"/>
          <w:szCs w:val="18"/>
          <w:color w:val="auto"/>
        </w:rPr>
        <w:t>Common shares withheld for taxes on vested stock awards</w:t>
      </w:r>
    </w:p>
    <w:p>
      <w:pPr>
        <w:spacing w:after="0" w:line="1" w:lineRule="exact"/>
        <w:rPr>
          <w:sz w:val="20"/>
          <w:szCs w:val="20"/>
          <w:color w:val="auto"/>
        </w:rPr>
      </w:pPr>
    </w:p>
    <w:p>
      <w:pPr>
        <w:jc w:val="both"/>
        <w:ind w:left="320" w:right="40"/>
        <w:spacing w:after="0" w:line="265" w:lineRule="auto"/>
        <w:rPr>
          <w:sz w:val="20"/>
          <w:szCs w:val="20"/>
          <w:color w:val="auto"/>
        </w:rPr>
      </w:pPr>
      <w:r>
        <w:rPr>
          <w:rFonts w:ascii="Arial" w:cs="Arial" w:eastAsia="Arial" w:hAnsi="Arial"/>
          <w:sz w:val="17"/>
          <w:szCs w:val="17"/>
          <w:color w:val="auto"/>
        </w:rPr>
        <w:t>Equity settled share-based compensation reclassified as cash-settled</w:t>
      </w:r>
    </w:p>
    <w:p>
      <w:pPr>
        <w:spacing w:after="0" w:line="2" w:lineRule="exact"/>
        <w:rPr>
          <w:sz w:val="20"/>
          <w:szCs w:val="20"/>
          <w:color w:val="auto"/>
        </w:rPr>
      </w:pPr>
    </w:p>
    <w:p>
      <w:pPr>
        <w:ind w:left="80" w:right="120"/>
        <w:spacing w:after="0" w:line="268" w:lineRule="auto"/>
        <w:rPr>
          <w:sz w:val="20"/>
          <w:szCs w:val="20"/>
          <w:color w:val="auto"/>
        </w:rPr>
      </w:pPr>
      <w:r>
        <w:rPr>
          <w:rFonts w:ascii="Arial" w:cs="Arial" w:eastAsia="Arial" w:hAnsi="Arial"/>
          <w:sz w:val="19"/>
          <w:szCs w:val="19"/>
          <w:b w:val="1"/>
          <w:bCs w:val="1"/>
          <w:color w:val="auto"/>
        </w:rPr>
        <w:t>Balance at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Accumulated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880" w:type="dxa"/>
            <w:vAlign w:val="bottom"/>
            <w:gridSpan w:val="4"/>
          </w:tcPr>
          <w:p>
            <w:pPr>
              <w:jc w:val="right"/>
              <w:ind w:right="282"/>
              <w:spacing w:after="0"/>
              <w:rPr>
                <w:sz w:val="20"/>
                <w:szCs w:val="20"/>
                <w:color w:val="auto"/>
              </w:rPr>
            </w:pPr>
            <w:r>
              <w:rPr>
                <w:rFonts w:ascii="Arial" w:cs="Arial" w:eastAsia="Arial" w:hAnsi="Arial"/>
                <w:sz w:val="16"/>
                <w:szCs w:val="16"/>
                <w:b w:val="1"/>
                <w:bCs w:val="1"/>
                <w:color w:val="auto"/>
              </w:rPr>
              <w:t>Ordinary shares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1"/>
              </w:rPr>
              <w:t>Additional</w:t>
            </w:r>
          </w:p>
        </w:tc>
        <w:tc>
          <w:tcPr>
            <w:tcW w:w="60" w:type="dxa"/>
            <w:vAlign w:val="bottom"/>
          </w:tcPr>
          <w:p>
            <w:pPr>
              <w:spacing w:after="0"/>
              <w:rPr>
                <w:sz w:val="17"/>
                <w:szCs w:val="17"/>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Ordinary</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center"/>
              <w:ind w:right="182"/>
              <w:spacing w:after="0"/>
              <w:rPr>
                <w:sz w:val="20"/>
                <w:szCs w:val="20"/>
                <w:color w:val="auto"/>
              </w:rPr>
            </w:pPr>
            <w:r>
              <w:rPr>
                <w:rFonts w:ascii="Arial" w:cs="Arial" w:eastAsia="Arial" w:hAnsi="Arial"/>
                <w:sz w:val="16"/>
                <w:szCs w:val="16"/>
                <w:b w:val="1"/>
                <w:bCs w:val="1"/>
                <w:color w:val="auto"/>
                <w:w w:val="89"/>
              </w:rPr>
              <w:t>other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20" w:type="dxa"/>
            <w:vAlign w:val="bottom"/>
            <w:vMerge w:val="restart"/>
          </w:tcPr>
          <w:p>
            <w:pPr>
              <w:jc w:val="center"/>
              <w:spacing w:after="0" w:line="180" w:lineRule="exact"/>
              <w:rPr>
                <w:sz w:val="20"/>
                <w:szCs w:val="20"/>
                <w:color w:val="auto"/>
              </w:rPr>
            </w:pPr>
            <w:r>
              <w:rPr>
                <w:rFonts w:ascii="Arial" w:cs="Arial" w:eastAsia="Arial" w:hAnsi="Arial"/>
                <w:sz w:val="16"/>
                <w:szCs w:val="16"/>
                <w:b w:val="1"/>
                <w:bCs w:val="1"/>
                <w:color w:val="auto"/>
                <w:w w:val="91"/>
              </w:rPr>
              <w:t>paid-in</w:t>
            </w:r>
          </w:p>
        </w:tc>
        <w:tc>
          <w:tcPr>
            <w:tcW w:w="60" w:type="dxa"/>
            <w:vAlign w:val="bottom"/>
            <w:vMerge w:val="restart"/>
          </w:tcPr>
          <w:p>
            <w:pPr>
              <w:spacing w:after="0"/>
              <w:rPr>
                <w:sz w:val="4"/>
                <w:szCs w:val="4"/>
                <w:color w:val="auto"/>
              </w:rPr>
            </w:pPr>
          </w:p>
        </w:tc>
        <w:tc>
          <w:tcPr>
            <w:tcW w:w="900" w:type="dxa"/>
            <w:vAlign w:val="bottom"/>
            <w:gridSpan w:val="2"/>
            <w:vMerge w:val="restart"/>
          </w:tcPr>
          <w:p>
            <w:pPr>
              <w:ind w:left="80"/>
              <w:spacing w:after="0" w:line="180" w:lineRule="exact"/>
              <w:rPr>
                <w:sz w:val="20"/>
                <w:szCs w:val="20"/>
                <w:color w:val="auto"/>
              </w:rPr>
            </w:pPr>
            <w:r>
              <w:rPr>
                <w:rFonts w:ascii="Arial" w:cs="Arial" w:eastAsia="Arial" w:hAnsi="Arial"/>
                <w:sz w:val="16"/>
                <w:szCs w:val="16"/>
                <w:b w:val="1"/>
                <w:bCs w:val="1"/>
                <w:color w:val="auto"/>
                <w:w w:val="89"/>
              </w:rPr>
              <w:t>shares held</w:t>
            </w: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140" w:type="dxa"/>
            <w:vAlign w:val="bottom"/>
            <w:gridSpan w:val="2"/>
            <w:vMerge w:val="restart"/>
          </w:tcPr>
          <w:p>
            <w:pPr>
              <w:ind w:left="60"/>
              <w:spacing w:after="0" w:line="180" w:lineRule="exact"/>
              <w:rPr>
                <w:sz w:val="20"/>
                <w:szCs w:val="20"/>
                <w:color w:val="auto"/>
              </w:rPr>
            </w:pPr>
            <w:r>
              <w:rPr>
                <w:rFonts w:ascii="Arial" w:cs="Arial" w:eastAsia="Arial" w:hAnsi="Arial"/>
                <w:sz w:val="16"/>
                <w:szCs w:val="16"/>
                <w:b w:val="1"/>
                <w:bCs w:val="1"/>
                <w:color w:val="auto"/>
                <w:w w:val="90"/>
              </w:rPr>
              <w:t>comprehensive</w:t>
            </w: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020" w:type="dxa"/>
            <w:vAlign w:val="bottom"/>
            <w:vMerge w:val="restart"/>
          </w:tcPr>
          <w:p>
            <w:pPr>
              <w:jc w:val="right"/>
              <w:spacing w:after="0" w:line="180" w:lineRule="exact"/>
              <w:rPr>
                <w:sz w:val="20"/>
                <w:szCs w:val="20"/>
                <w:color w:val="auto"/>
              </w:rPr>
            </w:pPr>
            <w:r>
              <w:rPr>
                <w:rFonts w:ascii="Arial" w:cs="Arial" w:eastAsia="Arial" w:hAnsi="Arial"/>
                <w:sz w:val="16"/>
                <w:szCs w:val="16"/>
                <w:b w:val="1"/>
                <w:bCs w:val="1"/>
                <w:color w:val="auto"/>
                <w:w w:val="93"/>
              </w:rPr>
              <w:t>Accumulated</w:t>
            </w:r>
          </w:p>
        </w:tc>
        <w:tc>
          <w:tcPr>
            <w:tcW w:w="60" w:type="dxa"/>
            <w:vAlign w:val="bottom"/>
            <w:vMerge w:val="restart"/>
          </w:tcPr>
          <w:p>
            <w:pPr>
              <w:spacing w:after="0"/>
              <w:rPr>
                <w:sz w:val="4"/>
                <w:szCs w:val="4"/>
                <w:color w:val="auto"/>
              </w:rPr>
            </w:pPr>
          </w:p>
        </w:tc>
        <w:tc>
          <w:tcPr>
            <w:tcW w:w="1020" w:type="dxa"/>
            <w:vAlign w:val="bottom"/>
            <w:gridSpan w:val="2"/>
            <w:vMerge w:val="restart"/>
          </w:tcPr>
          <w:p>
            <w:pPr>
              <w:ind w:left="60"/>
              <w:spacing w:after="0" w:line="180" w:lineRule="exact"/>
              <w:rPr>
                <w:sz w:val="20"/>
                <w:szCs w:val="20"/>
                <w:color w:val="auto"/>
              </w:rPr>
            </w:pPr>
            <w:r>
              <w:rPr>
                <w:rFonts w:ascii="Arial" w:cs="Arial" w:eastAsia="Arial" w:hAnsi="Arial"/>
                <w:sz w:val="16"/>
                <w:szCs w:val="16"/>
                <w:b w:val="1"/>
                <w:bCs w:val="1"/>
                <w:color w:val="auto"/>
                <w:w w:val="90"/>
              </w:rPr>
              <w:t>shareholders'</w:t>
            </w:r>
          </w:p>
        </w:tc>
        <w:tc>
          <w:tcPr>
            <w:tcW w:w="0" w:type="dxa"/>
            <w:vAlign w:val="bottom"/>
          </w:tcPr>
          <w:p>
            <w:pPr>
              <w:spacing w:after="0"/>
              <w:rPr>
                <w:sz w:val="1"/>
                <w:szCs w:val="1"/>
                <w:color w:val="auto"/>
              </w:rPr>
            </w:pPr>
          </w:p>
        </w:tc>
      </w:tr>
      <w:tr>
        <w:trPr>
          <w:trHeight w:val="106"/>
        </w:trPr>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10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Number</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capital</w:t>
            </w:r>
          </w:p>
        </w:tc>
        <w:tc>
          <w:tcPr>
            <w:tcW w:w="60" w:type="dxa"/>
            <w:vAlign w:val="bottom"/>
          </w:tcPr>
          <w:p>
            <w:pPr>
              <w:spacing w:after="0"/>
              <w:rPr>
                <w:sz w:val="18"/>
                <w:szCs w:val="18"/>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7"/>
              </w:rPr>
              <w:t>in treasury</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82"/>
              <w:spacing w:after="0"/>
              <w:rPr>
                <w:sz w:val="20"/>
                <w:szCs w:val="20"/>
                <w:color w:val="auto"/>
              </w:rPr>
            </w:pPr>
            <w:r>
              <w:rPr>
                <w:rFonts w:ascii="Arial" w:cs="Arial" w:eastAsia="Arial" w:hAnsi="Arial"/>
                <w:sz w:val="16"/>
                <w:szCs w:val="16"/>
                <w:b w:val="1"/>
                <w:bCs w:val="1"/>
                <w:color w:val="auto"/>
                <w:w w:val="74"/>
              </w:rPr>
              <w:t>loss</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b w:val="1"/>
                <w:bCs w:val="1"/>
                <w:color w:val="auto"/>
              </w:rPr>
              <w:t>deficit</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40"/>
        </w:trPr>
        <w:tc>
          <w:tcPr>
            <w:tcW w:w="1080" w:type="dxa"/>
            <w:vAlign w:val="bottom"/>
          </w:tcPr>
          <w:p>
            <w:pPr>
              <w:jc w:val="right"/>
              <w:spacing w:after="0"/>
              <w:rPr>
                <w:sz w:val="20"/>
                <w:szCs w:val="20"/>
                <w:color w:val="auto"/>
              </w:rPr>
            </w:pPr>
            <w:r>
              <w:rPr>
                <w:rFonts w:ascii="Arial" w:cs="Arial" w:eastAsia="Arial" w:hAnsi="Arial"/>
                <w:sz w:val="20"/>
                <w:szCs w:val="20"/>
                <w:color w:val="auto"/>
                <w:w w:val="91"/>
              </w:rPr>
              <w:t>489,177,550</w:t>
            </w:r>
          </w:p>
        </w:tc>
        <w:tc>
          <w:tcPr>
            <w:tcW w:w="800" w:type="dxa"/>
            <w:vAlign w:val="bottom"/>
            <w:gridSpan w:val="3"/>
          </w:tcPr>
          <w:p>
            <w:pPr>
              <w:jc w:val="right"/>
              <w:spacing w:after="0"/>
              <w:rPr>
                <w:sz w:val="20"/>
                <w:szCs w:val="20"/>
                <w:color w:val="auto"/>
              </w:rPr>
            </w:pPr>
            <w:r>
              <w:rPr>
                <w:rFonts w:ascii="Arial" w:cs="Arial" w:eastAsia="Arial" w:hAnsi="Arial"/>
                <w:sz w:val="20"/>
                <w:szCs w:val="20"/>
                <w:color w:val="auto"/>
              </w:rPr>
              <w:t>$31,855</w:t>
            </w:r>
          </w:p>
        </w:tc>
        <w:tc>
          <w:tcPr>
            <w:tcW w:w="900" w:type="dxa"/>
            <w:vAlign w:val="bottom"/>
            <w:gridSpan w:val="3"/>
          </w:tcPr>
          <w:p>
            <w:pPr>
              <w:jc w:val="center"/>
              <w:spacing w:after="0"/>
              <w:rPr>
                <w:sz w:val="20"/>
                <w:szCs w:val="20"/>
                <w:color w:val="auto"/>
              </w:rPr>
            </w:pPr>
            <w:r>
              <w:rPr>
                <w:rFonts w:ascii="Arial" w:cs="Arial" w:eastAsia="Arial" w:hAnsi="Arial"/>
                <w:sz w:val="20"/>
                <w:szCs w:val="20"/>
                <w:color w:val="auto"/>
                <w:w w:val="88"/>
              </w:rPr>
              <w:t>$385,070</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(603)</w:t>
            </w:r>
          </w:p>
        </w:tc>
        <w:tc>
          <w:tcPr>
            <w:tcW w:w="340" w:type="dxa"/>
            <w:vAlign w:val="bottom"/>
            <w:gridSpan w:val="3"/>
          </w:tcPr>
          <w:p>
            <w:pPr>
              <w:ind w:left="1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(4,601)</w:t>
            </w:r>
          </w:p>
        </w:tc>
        <w:tc>
          <w:tcPr>
            <w:tcW w:w="1100" w:type="dxa"/>
            <w:vAlign w:val="bottom"/>
            <w:gridSpan w:val="3"/>
          </w:tcPr>
          <w:p>
            <w:pPr>
              <w:jc w:val="right"/>
              <w:spacing w:after="0"/>
              <w:rPr>
                <w:sz w:val="20"/>
                <w:szCs w:val="20"/>
                <w:color w:val="auto"/>
              </w:rPr>
            </w:pPr>
            <w:r>
              <w:rPr>
                <w:rFonts w:ascii="Arial" w:cs="Arial" w:eastAsia="Arial" w:hAnsi="Arial"/>
                <w:sz w:val="20"/>
                <w:szCs w:val="20"/>
                <w:color w:val="auto"/>
              </w:rPr>
              <w:t>$ (263,716)</w:t>
            </w: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6"/>
              </w:rPr>
              <w:t>148,005</w:t>
            </w:r>
          </w:p>
        </w:tc>
        <w:tc>
          <w:tcPr>
            <w:tcW w:w="0" w:type="dxa"/>
            <w:vAlign w:val="bottom"/>
          </w:tcPr>
          <w:p>
            <w:pPr>
              <w:spacing w:after="0"/>
              <w:rPr>
                <w:sz w:val="1"/>
                <w:szCs w:val="1"/>
                <w:color w:val="auto"/>
              </w:rPr>
            </w:pPr>
          </w:p>
        </w:tc>
      </w:tr>
      <w:tr>
        <w:trPr>
          <w:trHeight w:val="83"/>
        </w:trPr>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gridSpan w:val="2"/>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vMerge w:val="continue"/>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(68,701)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(68,701)</w:t>
            </w:r>
          </w:p>
        </w:tc>
        <w:tc>
          <w:tcPr>
            <w:tcW w:w="0" w:type="dxa"/>
            <w:vAlign w:val="bottom"/>
          </w:tcPr>
          <w:p>
            <w:pPr>
              <w:spacing w:after="0"/>
              <w:rPr>
                <w:sz w:val="1"/>
                <w:szCs w:val="1"/>
                <w:color w:val="auto"/>
              </w:rPr>
            </w:pPr>
          </w:p>
        </w:tc>
      </w:tr>
      <w:tr>
        <w:trPr>
          <w:trHeight w:val="448"/>
        </w:trPr>
        <w:tc>
          <w:tcPr>
            <w:tcW w:w="1080" w:type="dxa"/>
            <w:vAlign w:val="bottom"/>
          </w:tcPr>
          <w:p>
            <w:pPr>
              <w:jc w:val="right"/>
              <w:spacing w:after="0"/>
              <w:rPr>
                <w:sz w:val="20"/>
                <w:szCs w:val="20"/>
                <w:color w:val="auto"/>
              </w:rPr>
            </w:pPr>
            <w:r>
              <w:rPr>
                <w:rFonts w:ascii="Arial" w:cs="Arial" w:eastAsia="Arial" w:hAnsi="Arial"/>
                <w:sz w:val="20"/>
                <w:szCs w:val="20"/>
                <w:color w:val="auto"/>
                <w:w w:val="91"/>
              </w:rPr>
              <w:t>114,080,000</w:t>
            </w:r>
          </w:p>
        </w:tc>
        <w:tc>
          <w:tcPr>
            <w:tcW w:w="800" w:type="dxa"/>
            <w:vAlign w:val="bottom"/>
            <w:gridSpan w:val="3"/>
          </w:tcPr>
          <w:p>
            <w:pPr>
              <w:jc w:val="right"/>
              <w:spacing w:after="0"/>
              <w:rPr>
                <w:sz w:val="20"/>
                <w:szCs w:val="20"/>
                <w:color w:val="auto"/>
              </w:rPr>
            </w:pPr>
            <w:r>
              <w:rPr>
                <w:rFonts w:ascii="Arial" w:cs="Arial" w:eastAsia="Arial" w:hAnsi="Arial"/>
                <w:sz w:val="20"/>
                <w:szCs w:val="20"/>
                <w:color w:val="auto"/>
              </w:rPr>
              <w:t>6,918</w:t>
            </w: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133,279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w w:val="96"/>
              </w:rPr>
              <w:t>140,197</w:t>
            </w:r>
          </w:p>
        </w:tc>
        <w:tc>
          <w:tcPr>
            <w:tcW w:w="0" w:type="dxa"/>
            <w:vAlign w:val="bottom"/>
          </w:tcPr>
          <w:p>
            <w:pPr>
              <w:spacing w:after="0"/>
              <w:rPr>
                <w:sz w:val="1"/>
                <w:szCs w:val="1"/>
                <w:color w:val="auto"/>
              </w:rPr>
            </w:pPr>
          </w:p>
        </w:tc>
      </w:tr>
      <w:tr>
        <w:trPr>
          <w:trHeight w:val="776"/>
        </w:trPr>
        <w:tc>
          <w:tcPr>
            <w:tcW w:w="1080" w:type="dxa"/>
            <w:vAlign w:val="bottom"/>
          </w:tcPr>
          <w:p>
            <w:pPr>
              <w:jc w:val="right"/>
              <w:spacing w:after="0"/>
              <w:rPr>
                <w:sz w:val="20"/>
                <w:szCs w:val="20"/>
                <w:color w:val="auto"/>
              </w:rPr>
            </w:pPr>
            <w:r>
              <w:rPr>
                <w:rFonts w:ascii="Arial" w:cs="Arial" w:eastAsia="Arial" w:hAnsi="Arial"/>
                <w:sz w:val="20"/>
                <w:szCs w:val="20"/>
                <w:color w:val="auto"/>
              </w:rPr>
              <w:t>80,696</w:t>
            </w:r>
          </w:p>
        </w:tc>
        <w:tc>
          <w:tcPr>
            <w:tcW w:w="800" w:type="dxa"/>
            <w:vAlign w:val="bottom"/>
            <w:gridSpan w:val="3"/>
          </w:tcPr>
          <w:p>
            <w:pPr>
              <w:jc w:val="right"/>
              <w:spacing w:after="0"/>
              <w:rPr>
                <w:sz w:val="20"/>
                <w:szCs w:val="20"/>
                <w:color w:val="auto"/>
              </w:rPr>
            </w:pPr>
            <w:r>
              <w:rPr>
                <w:rFonts w:ascii="Arial" w:cs="Arial" w:eastAsia="Arial" w:hAnsi="Arial"/>
                <w:sz w:val="20"/>
                <w:szCs w:val="20"/>
                <w:color w:val="auto"/>
              </w:rPr>
              <w:t>5</w:t>
            </w: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62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672"/>
        </w:trPr>
        <w:tc>
          <w:tcPr>
            <w:tcW w:w="1080" w:type="dxa"/>
            <w:vAlign w:val="bottom"/>
          </w:tcPr>
          <w:p>
            <w:pPr>
              <w:jc w:val="right"/>
              <w:spacing w:after="0"/>
              <w:rPr>
                <w:sz w:val="20"/>
                <w:szCs w:val="20"/>
                <w:color w:val="auto"/>
              </w:rPr>
            </w:pPr>
            <w:r>
              <w:rPr>
                <w:rFonts w:ascii="Arial" w:cs="Arial" w:eastAsia="Arial" w:hAnsi="Arial"/>
                <w:sz w:val="20"/>
                <w:szCs w:val="20"/>
                <w:color w:val="auto"/>
                <w:w w:val="97"/>
              </w:rPr>
              <w:t>28,000,000</w:t>
            </w:r>
          </w:p>
        </w:tc>
        <w:tc>
          <w:tcPr>
            <w:tcW w:w="800" w:type="dxa"/>
            <w:vAlign w:val="bottom"/>
            <w:gridSpan w:val="3"/>
          </w:tcPr>
          <w:p>
            <w:pPr>
              <w:jc w:val="right"/>
              <w:spacing w:after="0"/>
              <w:rPr>
                <w:sz w:val="20"/>
                <w:szCs w:val="20"/>
                <w:color w:val="auto"/>
              </w:rPr>
            </w:pPr>
            <w:r>
              <w:rPr>
                <w:rFonts w:ascii="Arial" w:cs="Arial" w:eastAsia="Arial" w:hAnsi="Arial"/>
                <w:sz w:val="20"/>
                <w:szCs w:val="20"/>
                <w:color w:val="auto"/>
              </w:rPr>
              <w:t>1,748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7"/>
              </w:rPr>
              <w:t>(1,748)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63"/>
        </w:trPr>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680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3"/>
          </w:tcPr>
          <w:p>
            <w:pPr>
              <w:jc w:val="right"/>
              <w:spacing w:after="0"/>
              <w:rPr>
                <w:sz w:val="20"/>
                <w:szCs w:val="20"/>
                <w:color w:val="auto"/>
              </w:rPr>
            </w:pPr>
            <w:r>
              <w:rPr>
                <w:rFonts w:ascii="Arial" w:cs="Arial" w:eastAsia="Arial" w:hAnsi="Arial"/>
                <w:sz w:val="20"/>
                <w:szCs w:val="20"/>
                <w:color w:val="auto"/>
              </w:rPr>
              <w:t>(680)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63"/>
        </w:trPr>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1,250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122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1,372</w:t>
            </w:r>
          </w:p>
        </w:tc>
        <w:tc>
          <w:tcPr>
            <w:tcW w:w="0" w:type="dxa"/>
            <w:vAlign w:val="bottom"/>
          </w:tcPr>
          <w:p>
            <w:pPr>
              <w:spacing w:after="0"/>
              <w:rPr>
                <w:sz w:val="1"/>
                <w:szCs w:val="1"/>
                <w:color w:val="auto"/>
              </w:rPr>
            </w:pPr>
          </w:p>
        </w:tc>
      </w:tr>
      <w:tr>
        <w:trPr>
          <w:trHeight w:val="463"/>
        </w:trPr>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14,121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14,121</w:t>
            </w:r>
          </w:p>
        </w:tc>
        <w:tc>
          <w:tcPr>
            <w:tcW w:w="0" w:type="dxa"/>
            <w:vAlign w:val="bottom"/>
          </w:tcPr>
          <w:p>
            <w:pPr>
              <w:spacing w:after="0"/>
              <w:rPr>
                <w:sz w:val="1"/>
                <w:szCs w:val="1"/>
                <w:color w:val="auto"/>
              </w:rPr>
            </w:pPr>
          </w:p>
        </w:tc>
      </w:tr>
      <w:tr>
        <w:trPr>
          <w:trHeight w:val="672"/>
        </w:trPr>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(4,723)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(4,723)</w:t>
            </w:r>
          </w:p>
        </w:tc>
        <w:tc>
          <w:tcPr>
            <w:tcW w:w="0" w:type="dxa"/>
            <w:vAlign w:val="bottom"/>
          </w:tcPr>
          <w:p>
            <w:pPr>
              <w:spacing w:after="0"/>
              <w:rPr>
                <w:sz w:val="1"/>
                <w:szCs w:val="1"/>
                <w:color w:val="auto"/>
              </w:rPr>
            </w:pPr>
          </w:p>
        </w:tc>
      </w:tr>
      <w:tr>
        <w:trPr>
          <w:trHeight w:val="881"/>
        </w:trPr>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128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128</w:t>
            </w:r>
          </w:p>
        </w:tc>
        <w:tc>
          <w:tcPr>
            <w:tcW w:w="0" w:type="dxa"/>
            <w:vAlign w:val="bottom"/>
          </w:tcPr>
          <w:p>
            <w:pPr>
              <w:spacing w:after="0"/>
              <w:rPr>
                <w:sz w:val="1"/>
                <w:szCs w:val="1"/>
                <w:color w:val="auto"/>
              </w:rPr>
            </w:pPr>
          </w:p>
        </w:tc>
      </w:tr>
      <w:tr>
        <w:trPr>
          <w:trHeight w:val="311"/>
        </w:trPr>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gridSpan w:val="2"/>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80" w:type="dxa"/>
            <w:vAlign w:val="bottom"/>
          </w:tcPr>
          <w:p>
            <w:pPr>
              <w:jc w:val="right"/>
              <w:spacing w:after="0"/>
              <w:rPr>
                <w:sz w:val="20"/>
                <w:szCs w:val="20"/>
                <w:color w:val="auto"/>
              </w:rPr>
            </w:pPr>
            <w:r>
              <w:rPr>
                <w:rFonts w:ascii="Arial" w:cs="Arial" w:eastAsia="Arial" w:hAnsi="Arial"/>
                <w:sz w:val="20"/>
                <w:szCs w:val="20"/>
                <w:color w:val="auto"/>
                <w:w w:val="91"/>
              </w:rPr>
              <w:t>631,338,246</w:t>
            </w:r>
          </w:p>
        </w:tc>
        <w:tc>
          <w:tcPr>
            <w:tcW w:w="800" w:type="dxa"/>
            <w:vAlign w:val="bottom"/>
            <w:gridSpan w:val="3"/>
          </w:tcPr>
          <w:p>
            <w:pPr>
              <w:jc w:val="right"/>
              <w:spacing w:after="0"/>
              <w:rPr>
                <w:sz w:val="20"/>
                <w:szCs w:val="20"/>
                <w:color w:val="auto"/>
              </w:rPr>
            </w:pPr>
            <w:r>
              <w:rPr>
                <w:rFonts w:ascii="Arial" w:cs="Arial" w:eastAsia="Arial" w:hAnsi="Arial"/>
                <w:sz w:val="20"/>
                <w:szCs w:val="20"/>
                <w:color w:val="auto"/>
              </w:rPr>
              <w:t>$40,526</w:t>
            </w:r>
          </w:p>
        </w:tc>
        <w:tc>
          <w:tcPr>
            <w:tcW w:w="900" w:type="dxa"/>
            <w:vAlign w:val="bottom"/>
            <w:gridSpan w:val="3"/>
          </w:tcPr>
          <w:p>
            <w:pPr>
              <w:jc w:val="center"/>
              <w:spacing w:after="0"/>
              <w:rPr>
                <w:sz w:val="20"/>
                <w:szCs w:val="20"/>
                <w:color w:val="auto"/>
              </w:rPr>
            </w:pPr>
            <w:r>
              <w:rPr>
                <w:rFonts w:ascii="Arial" w:cs="Arial" w:eastAsia="Arial" w:hAnsi="Arial"/>
                <w:sz w:val="20"/>
                <w:szCs w:val="20"/>
                <w:color w:val="auto"/>
                <w:w w:val="88"/>
              </w:rPr>
              <w:t>$529,187</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w w:val="97"/>
              </w:rPr>
              <w:t>(1,549)</w:t>
            </w:r>
          </w:p>
        </w:tc>
        <w:tc>
          <w:tcPr>
            <w:tcW w:w="340" w:type="dxa"/>
            <w:vAlign w:val="bottom"/>
            <w:gridSpan w:val="3"/>
          </w:tcPr>
          <w:p>
            <w:pPr>
              <w:ind w:left="1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(4,601)</w:t>
            </w:r>
          </w:p>
        </w:tc>
        <w:tc>
          <w:tcPr>
            <w:tcW w:w="1100" w:type="dxa"/>
            <w:vAlign w:val="bottom"/>
            <w:gridSpan w:val="3"/>
          </w:tcPr>
          <w:p>
            <w:pPr>
              <w:jc w:val="right"/>
              <w:spacing w:after="0"/>
              <w:rPr>
                <w:sz w:val="20"/>
                <w:szCs w:val="20"/>
                <w:color w:val="auto"/>
              </w:rPr>
            </w:pPr>
            <w:r>
              <w:rPr>
                <w:rFonts w:ascii="Arial" w:cs="Arial" w:eastAsia="Arial" w:hAnsi="Arial"/>
                <w:sz w:val="20"/>
                <w:szCs w:val="20"/>
                <w:color w:val="auto"/>
              </w:rPr>
              <w:t>$ (333,097)</w:t>
            </w: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6"/>
              </w:rPr>
              <w:t>230,466</w:t>
            </w:r>
          </w:p>
        </w:tc>
        <w:tc>
          <w:tcPr>
            <w:tcW w:w="0" w:type="dxa"/>
            <w:vAlign w:val="bottom"/>
          </w:tcPr>
          <w:p>
            <w:pPr>
              <w:spacing w:after="0"/>
              <w:rPr>
                <w:sz w:val="1"/>
                <w:szCs w:val="1"/>
                <w:color w:val="auto"/>
              </w:rPr>
            </w:pPr>
          </w:p>
        </w:tc>
      </w:tr>
      <w:tr>
        <w:trPr>
          <w:trHeight w:val="83"/>
        </w:trPr>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gridSpan w:val="2"/>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 w:type="dxa"/>
            <w:vAlign w:val="bottom"/>
            <w:vMerge w:val="continue"/>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vMerge w:val="continue"/>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(54,369)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(54,369)</w:t>
            </w:r>
          </w:p>
        </w:tc>
        <w:tc>
          <w:tcPr>
            <w:tcW w:w="0" w:type="dxa"/>
            <w:vAlign w:val="bottom"/>
          </w:tcPr>
          <w:p>
            <w:pPr>
              <w:spacing w:after="0"/>
              <w:rPr>
                <w:sz w:val="1"/>
                <w:szCs w:val="1"/>
                <w:color w:val="auto"/>
              </w:rPr>
            </w:pPr>
          </w:p>
        </w:tc>
      </w:tr>
      <w:tr>
        <w:trPr>
          <w:trHeight w:val="552"/>
        </w:trPr>
        <w:tc>
          <w:tcPr>
            <w:tcW w:w="1080" w:type="dxa"/>
            <w:vAlign w:val="bottom"/>
          </w:tcPr>
          <w:p>
            <w:pPr>
              <w:jc w:val="right"/>
              <w:spacing w:after="0"/>
              <w:rPr>
                <w:sz w:val="20"/>
                <w:szCs w:val="20"/>
                <w:color w:val="auto"/>
              </w:rPr>
            </w:pPr>
            <w:r>
              <w:rPr>
                <w:rFonts w:ascii="Arial" w:cs="Arial" w:eastAsia="Arial" w:hAnsi="Arial"/>
                <w:sz w:val="20"/>
                <w:szCs w:val="20"/>
                <w:color w:val="auto"/>
                <w:w w:val="97"/>
              </w:rPr>
              <w:t>20,321,384</w:t>
            </w:r>
          </w:p>
        </w:tc>
        <w:tc>
          <w:tcPr>
            <w:tcW w:w="800" w:type="dxa"/>
            <w:vAlign w:val="bottom"/>
            <w:gridSpan w:val="3"/>
          </w:tcPr>
          <w:p>
            <w:pPr>
              <w:jc w:val="right"/>
              <w:spacing w:after="0"/>
              <w:rPr>
                <w:sz w:val="20"/>
                <w:szCs w:val="20"/>
                <w:color w:val="auto"/>
              </w:rPr>
            </w:pPr>
            <w:r>
              <w:rPr>
                <w:rFonts w:ascii="Arial" w:cs="Arial" w:eastAsia="Arial" w:hAnsi="Arial"/>
                <w:sz w:val="20"/>
                <w:szCs w:val="20"/>
                <w:color w:val="auto"/>
              </w:rPr>
              <w:t>1,227</w:t>
            </w: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55,682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56,909</w:t>
            </w:r>
          </w:p>
        </w:tc>
        <w:tc>
          <w:tcPr>
            <w:tcW w:w="0" w:type="dxa"/>
            <w:vAlign w:val="bottom"/>
          </w:tcPr>
          <w:p>
            <w:pPr>
              <w:spacing w:after="0"/>
              <w:rPr>
                <w:sz w:val="1"/>
                <w:szCs w:val="1"/>
                <w:color w:val="auto"/>
              </w:rPr>
            </w:pPr>
          </w:p>
        </w:tc>
      </w:tr>
      <w:tr>
        <w:trPr>
          <w:trHeight w:val="672"/>
        </w:trPr>
        <w:tc>
          <w:tcPr>
            <w:tcW w:w="1080" w:type="dxa"/>
            <w:vAlign w:val="bottom"/>
          </w:tcPr>
          <w:p>
            <w:pPr>
              <w:jc w:val="right"/>
              <w:spacing w:after="0"/>
              <w:rPr>
                <w:sz w:val="20"/>
                <w:szCs w:val="20"/>
                <w:color w:val="auto"/>
              </w:rPr>
            </w:pPr>
            <w:r>
              <w:rPr>
                <w:rFonts w:ascii="Arial" w:cs="Arial" w:eastAsia="Arial" w:hAnsi="Arial"/>
                <w:sz w:val="20"/>
                <w:szCs w:val="20"/>
                <w:color w:val="auto"/>
                <w:w w:val="97"/>
              </w:rPr>
              <w:t>16,000,000</w:t>
            </w:r>
          </w:p>
        </w:tc>
        <w:tc>
          <w:tcPr>
            <w:tcW w:w="800" w:type="dxa"/>
            <w:vAlign w:val="bottom"/>
            <w:gridSpan w:val="3"/>
          </w:tcPr>
          <w:p>
            <w:pPr>
              <w:jc w:val="right"/>
              <w:spacing w:after="0"/>
              <w:rPr>
                <w:sz w:val="20"/>
                <w:szCs w:val="20"/>
                <w:color w:val="auto"/>
              </w:rPr>
            </w:pPr>
            <w:r>
              <w:rPr>
                <w:rFonts w:ascii="Arial" w:cs="Arial" w:eastAsia="Arial" w:hAnsi="Arial"/>
                <w:sz w:val="20"/>
                <w:szCs w:val="20"/>
                <w:color w:val="auto"/>
              </w:rPr>
              <w:t>1,018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97"/>
              </w:rPr>
              <w:t>(1,018)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63"/>
        </w:trPr>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967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gridSpan w:val="3"/>
          </w:tcPr>
          <w:p>
            <w:pPr>
              <w:jc w:val="right"/>
              <w:spacing w:after="0"/>
              <w:rPr>
                <w:sz w:val="20"/>
                <w:szCs w:val="20"/>
                <w:color w:val="auto"/>
              </w:rPr>
            </w:pPr>
            <w:r>
              <w:rPr>
                <w:rFonts w:ascii="Arial" w:cs="Arial" w:eastAsia="Arial" w:hAnsi="Arial"/>
                <w:sz w:val="20"/>
                <w:szCs w:val="20"/>
                <w:color w:val="auto"/>
              </w:rPr>
              <w:t>(967)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63"/>
        </w:trPr>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1,866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83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1,949</w:t>
            </w:r>
          </w:p>
        </w:tc>
        <w:tc>
          <w:tcPr>
            <w:tcW w:w="0" w:type="dxa"/>
            <w:vAlign w:val="bottom"/>
          </w:tcPr>
          <w:p>
            <w:pPr>
              <w:spacing w:after="0"/>
              <w:rPr>
                <w:sz w:val="1"/>
                <w:szCs w:val="1"/>
                <w:color w:val="auto"/>
              </w:rPr>
            </w:pPr>
          </w:p>
        </w:tc>
      </w:tr>
      <w:tr>
        <w:trPr>
          <w:trHeight w:val="463"/>
        </w:trPr>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19,012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19,012</w:t>
            </w:r>
          </w:p>
        </w:tc>
        <w:tc>
          <w:tcPr>
            <w:tcW w:w="0" w:type="dxa"/>
            <w:vAlign w:val="bottom"/>
          </w:tcPr>
          <w:p>
            <w:pPr>
              <w:spacing w:after="0"/>
              <w:rPr>
                <w:sz w:val="1"/>
                <w:szCs w:val="1"/>
                <w:color w:val="auto"/>
              </w:rPr>
            </w:pPr>
          </w:p>
        </w:tc>
      </w:tr>
      <w:tr>
        <w:trPr>
          <w:trHeight w:val="567"/>
        </w:trPr>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(4,389)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(4,389)</w:t>
            </w:r>
          </w:p>
        </w:tc>
        <w:tc>
          <w:tcPr>
            <w:tcW w:w="0" w:type="dxa"/>
            <w:vAlign w:val="bottom"/>
          </w:tcPr>
          <w:p>
            <w:pPr>
              <w:spacing w:after="0"/>
              <w:rPr>
                <w:sz w:val="1"/>
                <w:szCs w:val="1"/>
                <w:color w:val="auto"/>
              </w:rPr>
            </w:pPr>
          </w:p>
        </w:tc>
      </w:tr>
      <w:tr>
        <w:trPr>
          <w:trHeight w:val="776"/>
        </w:trPr>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3"/>
          </w:tcPr>
          <w:p>
            <w:pPr>
              <w:jc w:val="right"/>
              <w:spacing w:after="0"/>
              <w:rPr>
                <w:sz w:val="20"/>
                <w:szCs w:val="20"/>
                <w:color w:val="auto"/>
              </w:rPr>
            </w:pPr>
            <w:r>
              <w:rPr>
                <w:rFonts w:ascii="Arial" w:cs="Arial" w:eastAsia="Arial" w:hAnsi="Arial"/>
                <w:sz w:val="20"/>
                <w:szCs w:val="20"/>
                <w:color w:val="auto"/>
              </w:rPr>
              <w:t>(295)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(295)</w:t>
            </w:r>
          </w:p>
        </w:tc>
        <w:tc>
          <w:tcPr>
            <w:tcW w:w="0" w:type="dxa"/>
            <w:vAlign w:val="bottom"/>
          </w:tcPr>
          <w:p>
            <w:pPr>
              <w:spacing w:after="0"/>
              <w:rPr>
                <w:sz w:val="1"/>
                <w:szCs w:val="1"/>
                <w:color w:val="auto"/>
              </w:rPr>
            </w:pPr>
          </w:p>
        </w:tc>
      </w:tr>
      <w:tr>
        <w:trPr>
          <w:trHeight w:val="311"/>
        </w:trPr>
        <w:tc>
          <w:tcPr>
            <w:tcW w:w="1080" w:type="dxa"/>
            <w:vAlign w:val="bottom"/>
            <w:tcBorders>
              <w:bottom w:val="single" w:sz="8" w:color="auto"/>
            </w:tcBorders>
          </w:tcPr>
          <w:p>
            <w:pPr>
              <w:spacing w:after="0"/>
              <w:rPr>
                <w:sz w:val="24"/>
                <w:szCs w:val="24"/>
                <w:color w:val="auto"/>
              </w:rPr>
            </w:pPr>
          </w:p>
        </w:tc>
        <w:tc>
          <w:tcPr>
            <w:tcW w:w="80" w:type="dxa"/>
            <w:vAlign w:val="bottom"/>
            <w:gridSpan w:val="2"/>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gridSpan w:val="2"/>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gridSpan w:val="2"/>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80" w:type="dxa"/>
            <w:vAlign w:val="bottom"/>
          </w:tcPr>
          <w:p>
            <w:pPr>
              <w:jc w:val="right"/>
              <w:spacing w:after="0"/>
              <w:rPr>
                <w:sz w:val="20"/>
                <w:szCs w:val="20"/>
                <w:color w:val="auto"/>
              </w:rPr>
            </w:pPr>
            <w:r>
              <w:rPr>
                <w:rFonts w:ascii="Arial" w:cs="Arial" w:eastAsia="Arial" w:hAnsi="Arial"/>
                <w:sz w:val="20"/>
                <w:szCs w:val="20"/>
                <w:color w:val="auto"/>
                <w:w w:val="91"/>
              </w:rPr>
              <w:t>667,659,630</w:t>
            </w:r>
          </w:p>
        </w:tc>
        <w:tc>
          <w:tcPr>
            <w:tcW w:w="800" w:type="dxa"/>
            <w:vAlign w:val="bottom"/>
            <w:gridSpan w:val="3"/>
          </w:tcPr>
          <w:p>
            <w:pPr>
              <w:jc w:val="right"/>
              <w:spacing w:after="0"/>
              <w:rPr>
                <w:sz w:val="20"/>
                <w:szCs w:val="20"/>
                <w:color w:val="auto"/>
              </w:rPr>
            </w:pPr>
            <w:r>
              <w:rPr>
                <w:rFonts w:ascii="Arial" w:cs="Arial" w:eastAsia="Arial" w:hAnsi="Arial"/>
                <w:sz w:val="20"/>
                <w:szCs w:val="20"/>
                <w:color w:val="auto"/>
              </w:rPr>
              <w:t>$42,771</w:t>
            </w:r>
          </w:p>
        </w:tc>
        <w:tc>
          <w:tcPr>
            <w:tcW w:w="900" w:type="dxa"/>
            <w:vAlign w:val="bottom"/>
            <w:gridSpan w:val="3"/>
          </w:tcPr>
          <w:p>
            <w:pPr>
              <w:jc w:val="center"/>
              <w:spacing w:after="0"/>
              <w:rPr>
                <w:sz w:val="20"/>
                <w:szCs w:val="20"/>
                <w:color w:val="auto"/>
              </w:rPr>
            </w:pPr>
            <w:r>
              <w:rPr>
                <w:rFonts w:ascii="Arial" w:cs="Arial" w:eastAsia="Arial" w:hAnsi="Arial"/>
                <w:sz w:val="20"/>
                <w:szCs w:val="20"/>
                <w:color w:val="auto"/>
                <w:w w:val="88"/>
              </w:rPr>
              <w:t>$601,063</w:t>
            </w:r>
          </w:p>
        </w:tc>
        <w:tc>
          <w:tcPr>
            <w:tcW w:w="300" w:type="dxa"/>
            <w:vAlign w:val="bottom"/>
            <w:gridSpan w:val="2"/>
          </w:tcPr>
          <w:p>
            <w:pPr>
              <w:ind w:left="12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w w:val="97"/>
              </w:rPr>
              <w:t>(1,517)</w:t>
            </w:r>
          </w:p>
        </w:tc>
        <w:tc>
          <w:tcPr>
            <w:tcW w:w="340" w:type="dxa"/>
            <w:vAlign w:val="bottom"/>
            <w:gridSpan w:val="3"/>
          </w:tcPr>
          <w:p>
            <w:pPr>
              <w:ind w:left="12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(4,601)</w:t>
            </w:r>
          </w:p>
        </w:tc>
        <w:tc>
          <w:tcPr>
            <w:tcW w:w="1100" w:type="dxa"/>
            <w:vAlign w:val="bottom"/>
            <w:gridSpan w:val="3"/>
          </w:tcPr>
          <w:p>
            <w:pPr>
              <w:jc w:val="right"/>
              <w:spacing w:after="0"/>
              <w:rPr>
                <w:sz w:val="20"/>
                <w:szCs w:val="20"/>
                <w:color w:val="auto"/>
              </w:rPr>
            </w:pPr>
            <w:r>
              <w:rPr>
                <w:rFonts w:ascii="Arial" w:cs="Arial" w:eastAsia="Arial" w:hAnsi="Arial"/>
                <w:sz w:val="20"/>
                <w:szCs w:val="20"/>
                <w:color w:val="auto"/>
              </w:rPr>
              <w:t>$ (388,433)</w:t>
            </w:r>
          </w:p>
        </w:tc>
        <w:tc>
          <w:tcPr>
            <w:tcW w:w="2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w w:val="96"/>
              </w:rPr>
              <w:t>249,283</w:t>
            </w:r>
          </w:p>
        </w:tc>
        <w:tc>
          <w:tcPr>
            <w:tcW w:w="0" w:type="dxa"/>
            <w:vAlign w:val="bottom"/>
          </w:tcPr>
          <w:p>
            <w:pPr>
              <w:spacing w:after="0"/>
              <w:rPr>
                <w:sz w:val="1"/>
                <w:szCs w:val="1"/>
                <w:color w:val="auto"/>
              </w:rPr>
            </w:pPr>
          </w:p>
        </w:tc>
      </w:tr>
      <w:tr>
        <w:trPr>
          <w:trHeight w:val="83"/>
        </w:trPr>
        <w:tc>
          <w:tcPr>
            <w:tcW w:w="10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-1337310</wp:posOffset>
                </wp:positionH>
                <wp:positionV relativeFrom="paragraph">
                  <wp:posOffset>-6784975</wp:posOffset>
                </wp:positionV>
                <wp:extent cx="5875655" cy="42608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5655" cy="426085"/>
                        </a:xfrm>
                        <a:prstGeom prst="rect">
                          <a:avLst/>
                        </a:prstGeom>
                        <a:solidFill>
                          <a:srgbClr val="E6E6E6"/>
                        </a:solidFill>
                      </wps:spPr>
                      <wps:bodyPr/>
                    </wps:wsp>
                  </a:graphicData>
                </a:graphic>
              </wp:anchor>
            </w:drawing>
          </mc:Choice>
          <mc:Fallback>
            <w:pict>
              <v:rect id="Shape 53" o:spid="_x0000_s1078" style="position:absolute;margin-left:-105.2999pt;margin-top:-534.2499pt;width:462.65pt;height:33.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-1337310</wp:posOffset>
                </wp:positionH>
                <wp:positionV relativeFrom="paragraph">
                  <wp:posOffset>-5799455</wp:posOffset>
                </wp:positionV>
                <wp:extent cx="5875655" cy="29400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5655" cy="294005"/>
                        </a:xfrm>
                        <a:prstGeom prst="rect">
                          <a:avLst/>
                        </a:prstGeom>
                        <a:solidFill>
                          <a:srgbClr val="E6E6E6"/>
                        </a:solidFill>
                      </wps:spPr>
                      <wps:bodyPr/>
                    </wps:wsp>
                  </a:graphicData>
                </a:graphic>
              </wp:anchor>
            </w:drawing>
          </mc:Choice>
          <mc:Fallback>
            <w:pict>
              <v:rect id="Shape 54" o:spid="_x0000_s1079" style="position:absolute;margin-left:-105.2999pt;margin-top:-456.6499pt;width:462.65pt;height:23.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-1337310</wp:posOffset>
                </wp:positionH>
                <wp:positionV relativeFrom="paragraph">
                  <wp:posOffset>-5212080</wp:posOffset>
                </wp:positionV>
                <wp:extent cx="5875655" cy="29400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5655" cy="294005"/>
                        </a:xfrm>
                        <a:prstGeom prst="rect">
                          <a:avLst/>
                        </a:prstGeom>
                        <a:solidFill>
                          <a:srgbClr val="E6E6E6"/>
                        </a:solidFill>
                      </wps:spPr>
                      <wps:bodyPr/>
                    </wps:wsp>
                  </a:graphicData>
                </a:graphic>
              </wp:anchor>
            </w:drawing>
          </mc:Choice>
          <mc:Fallback>
            <w:pict>
              <v:rect id="Shape 55" o:spid="_x0000_s1080" style="position:absolute;margin-left:-105.2999pt;margin-top:-410.3999pt;width:462.65pt;height:23.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-1337310</wp:posOffset>
                </wp:positionH>
                <wp:positionV relativeFrom="paragraph">
                  <wp:posOffset>-4624070</wp:posOffset>
                </wp:positionV>
                <wp:extent cx="5875655" cy="55880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5655" cy="558800"/>
                        </a:xfrm>
                        <a:prstGeom prst="rect">
                          <a:avLst/>
                        </a:prstGeom>
                        <a:solidFill>
                          <a:srgbClr val="E6E6E6"/>
                        </a:solidFill>
                      </wps:spPr>
                      <wps:bodyPr/>
                    </wps:wsp>
                  </a:graphicData>
                </a:graphic>
              </wp:anchor>
            </w:drawing>
          </mc:Choice>
          <mc:Fallback>
            <w:pict>
              <v:rect id="Shape 56" o:spid="_x0000_s1081" style="position:absolute;margin-left:-105.2999pt;margin-top:-364.0999pt;width:462.65pt;height:4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-1337310</wp:posOffset>
                </wp:positionH>
                <wp:positionV relativeFrom="paragraph">
                  <wp:posOffset>-3032125</wp:posOffset>
                </wp:positionV>
                <wp:extent cx="5875655" cy="55943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5655" cy="559435"/>
                        </a:xfrm>
                        <a:prstGeom prst="rect">
                          <a:avLst/>
                        </a:prstGeom>
                        <a:solidFill>
                          <a:srgbClr val="E6E6E6"/>
                        </a:solidFill>
                      </wps:spPr>
                      <wps:bodyPr/>
                    </wps:wsp>
                  </a:graphicData>
                </a:graphic>
              </wp:anchor>
            </w:drawing>
          </mc:Choice>
          <mc:Fallback>
            <w:pict>
              <v:rect id="Shape 57" o:spid="_x0000_s1082" style="position:absolute;margin-left:-105.2999pt;margin-top:-238.7499pt;width:462.65pt;height:4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-1337310</wp:posOffset>
                </wp:positionH>
                <wp:positionV relativeFrom="paragraph">
                  <wp:posOffset>-2179320</wp:posOffset>
                </wp:positionV>
                <wp:extent cx="5875655" cy="29400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5655" cy="294005"/>
                        </a:xfrm>
                        <a:prstGeom prst="rect">
                          <a:avLst/>
                        </a:prstGeom>
                        <a:solidFill>
                          <a:srgbClr val="E6E6E6"/>
                        </a:solidFill>
                      </wps:spPr>
                      <wps:bodyPr/>
                    </wps:wsp>
                  </a:graphicData>
                </a:graphic>
              </wp:anchor>
            </w:drawing>
          </mc:Choice>
          <mc:Fallback>
            <w:pict>
              <v:rect id="Shape 58" o:spid="_x0000_s1083" style="position:absolute;margin-left:-105.2999pt;margin-top:-171.5999pt;width:462.65pt;height:23.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-1337310</wp:posOffset>
                </wp:positionH>
                <wp:positionV relativeFrom="paragraph">
                  <wp:posOffset>-1591310</wp:posOffset>
                </wp:positionV>
                <wp:extent cx="5875655" cy="29337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75655" cy="293370"/>
                        </a:xfrm>
                        <a:prstGeom prst="rect">
                          <a:avLst/>
                        </a:prstGeom>
                        <a:solidFill>
                          <a:srgbClr val="E6E6E6"/>
                        </a:solidFill>
                      </wps:spPr>
                      <wps:bodyPr/>
                    </wps:wsp>
                  </a:graphicData>
                </a:graphic>
              </wp:anchor>
            </w:drawing>
          </mc:Choice>
          <mc:Fallback>
            <w:pict>
              <v:rect id="Shape 59" o:spid="_x0000_s1084" style="position:absolute;margin-left:-105.2999pt;margin-top:-125.2999pt;width:462.65pt;height:2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drawing>
          <wp:anchor simplePos="0" relativeHeight="251657728" behindDoc="1" locked="0" layoutInCell="0" allowOverlap="1">
            <wp:simplePos x="0" y="0"/>
            <wp:positionH relativeFrom="column">
              <wp:posOffset>-1337310</wp:posOffset>
            </wp:positionH>
            <wp:positionV relativeFrom="paragraph">
              <wp:posOffset>-7272020</wp:posOffset>
            </wp:positionV>
            <wp:extent cx="5888355" cy="3321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9">
                      <a:extLst>
                        <a:ext uri="{28A0092B-C50C-407E-A947-70E740481C1C}"/>
                      </a:extLst>
                    </a:blip>
                    <a:srcRect/>
                    <a:stretch>
                      <a:fillRect/>
                    </a:stretch>
                  </pic:blipFill>
                  <pic:spPr bwMode="auto">
                    <a:xfrm>
                      <a:off x="0" y="0"/>
                      <a:ext cx="5888355" cy="332105"/>
                    </a:xfrm>
                    <a:prstGeom prst="rect">
                      <a:avLst/>
                    </a:prstGeom>
                    <a:noFill/>
                  </pic:spPr>
                </pic:pic>
              </a:graphicData>
            </a:graphic>
          </wp:anchor>
        </w:drawing>
        <w:drawing>
          <wp:anchor simplePos="0" relativeHeight="251657728" behindDoc="1" locked="0" layoutInCell="0" allowOverlap="1">
            <wp:simplePos x="0" y="0"/>
            <wp:positionH relativeFrom="column">
              <wp:posOffset>-1337310</wp:posOffset>
            </wp:positionH>
            <wp:positionV relativeFrom="paragraph">
              <wp:posOffset>-3518535</wp:posOffset>
            </wp:positionV>
            <wp:extent cx="5888355" cy="3321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0">
                      <a:extLst>
                        <a:ext uri="{28A0092B-C50C-407E-A947-70E740481C1C}"/>
                      </a:extLst>
                    </a:blip>
                    <a:srcRect/>
                    <a:stretch>
                      <a:fillRect/>
                    </a:stretch>
                  </pic:blipFill>
                  <pic:spPr bwMode="auto">
                    <a:xfrm>
                      <a:off x="0" y="0"/>
                      <a:ext cx="5888355" cy="332105"/>
                    </a:xfrm>
                    <a:prstGeom prst="rect">
                      <a:avLst/>
                    </a:prstGeom>
                    <a:noFill/>
                  </pic:spPr>
                </pic:pic>
              </a:graphicData>
            </a:graphic>
          </wp:anchor>
        </w:drawing>
        <w:drawing>
          <wp:anchor simplePos="0" relativeHeight="251657728" behindDoc="1" locked="0" layoutInCell="0" allowOverlap="1">
            <wp:simplePos x="0" y="0"/>
            <wp:positionH relativeFrom="column">
              <wp:posOffset>-1337310</wp:posOffset>
            </wp:positionH>
            <wp:positionV relativeFrom="paragraph">
              <wp:posOffset>-871220</wp:posOffset>
            </wp:positionV>
            <wp:extent cx="5888355" cy="5721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1">
                      <a:extLst>
                        <a:ext uri="{28A0092B-C50C-407E-A947-70E740481C1C}"/>
                      </a:extLst>
                    </a:blip>
                    <a:srcRect/>
                    <a:stretch>
                      <a:fillRect/>
                    </a:stretch>
                  </pic:blipFill>
                  <pic:spPr bwMode="auto">
                    <a:xfrm>
                      <a:off x="0" y="0"/>
                      <a:ext cx="5888355" cy="572135"/>
                    </a:xfrm>
                    <a:prstGeom prst="rect">
                      <a:avLst/>
                    </a:prstGeom>
                    <a:noFill/>
                  </pic:spPr>
                </pic:pic>
              </a:graphicData>
            </a:graphic>
          </wp:anchor>
        </w:drawing>
      </w:r>
    </w:p>
    <w:p>
      <w:pPr>
        <w:spacing w:after="0" w:line="127" w:lineRule="exact"/>
        <w:rPr>
          <w:sz w:val="20"/>
          <w:szCs w:val="20"/>
          <w:color w:val="auto"/>
        </w:rPr>
      </w:pPr>
    </w:p>
    <w:p>
      <w:pPr>
        <w:sectPr>
          <w:pgSz w:w="11880" w:h="15480" w:orient="portrait"/>
          <w:cols w:equalWidth="0" w:num="2">
            <w:col w:w="2000" w:space="140"/>
            <w:col w:w="7140"/>
          </w:cols>
          <w:pgMar w:left="1280" w:top="324" w:right="1320" w:bottom="0" w:gutter="0" w:footer="0" w:header="0"/>
          <w:type w:val="continuous"/>
        </w:sect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880" w:h="15480" w:orient="portrait"/>
          <w:cols w:equalWidth="0" w:num="1">
            <w:col w:w="9280"/>
          </w:cols>
          <w:pgMar w:left="1280" w:top="324" w:right="13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F-6</w:t>
      </w:r>
    </w:p>
    <w:p>
      <w:pPr>
        <w:sectPr>
          <w:pgSz w:w="11880" w:h="15480" w:orient="portrait"/>
          <w:cols w:equalWidth="0" w:num="1">
            <w:col w:w="9280"/>
          </w:cols>
          <w:pgMar w:left="1280" w:top="324" w:right="1320" w:bottom="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330" w:lineRule="exact"/>
        <w:rPr>
          <w:sz w:val="20"/>
          <w:szCs w:val="20"/>
          <w:color w:val="auto"/>
        </w:rPr>
      </w:pPr>
    </w:p>
    <w:p>
      <w:pPr>
        <w:jc w:val="center"/>
        <w:ind w:left="69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4408805</wp:posOffset>
                </wp:positionH>
                <wp:positionV relativeFrom="paragraph">
                  <wp:posOffset>31750</wp:posOffset>
                </wp:positionV>
                <wp:extent cx="150685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068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15pt,2.5pt" to="465.8pt,2.5pt" o:allowincell="f" strokecolor="#000000" strokeweight="1pt"/>
            </w:pict>
          </mc:Fallback>
        </mc:AlternateContent>
      </w:r>
    </w:p>
    <w:p>
      <w:pPr>
        <w:spacing w:after="0" w:line="35" w:lineRule="exact"/>
        <w:rPr>
          <w:sz w:val="20"/>
          <w:szCs w:val="20"/>
          <w:color w:val="auto"/>
        </w:rPr>
      </w:pPr>
    </w:p>
    <w:p>
      <w:pPr>
        <w:ind w:left="7360"/>
        <w:spacing w:after="0"/>
        <w:tabs>
          <w:tab w:leader="none" w:pos="856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5926455" cy="1930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2">
                      <a:extLst>
                        <a:ext uri="{28A0092B-C50C-407E-A947-70E740481C1C}"/>
                      </a:extLst>
                    </a:blip>
                    <a:srcRect/>
                    <a:stretch>
                      <a:fillRect/>
                    </a:stretch>
                  </pic:blipFill>
                  <pic:spPr bwMode="auto">
                    <a:xfrm>
                      <a:off x="0" y="0"/>
                      <a:ext cx="5926455" cy="193040"/>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Operating activities: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940" w:type="dxa"/>
            <w:vAlign w:val="bottom"/>
          </w:tcPr>
          <w:p>
            <w:pPr>
              <w:ind w:left="300"/>
              <w:spacing w:after="0"/>
              <w:rPr>
                <w:sz w:val="20"/>
                <w:szCs w:val="20"/>
                <w:color w:val="auto"/>
              </w:rPr>
            </w:pPr>
            <w:r>
              <w:rPr>
                <w:rFonts w:ascii="Arial" w:cs="Arial" w:eastAsia="Arial" w:hAnsi="Arial"/>
                <w:sz w:val="20"/>
                <w:szCs w:val="20"/>
                <w:color w:val="auto"/>
              </w:rPr>
              <w:t>Net loss:</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(54,369)</w:t>
            </w:r>
          </w:p>
        </w:tc>
        <w:tc>
          <w:tcPr>
            <w:tcW w:w="36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(68,701)</w:t>
            </w:r>
          </w:p>
        </w:tc>
      </w:tr>
      <w:tr>
        <w:trPr>
          <w:trHeight w:val="3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4"/>
        </w:trPr>
        <w:tc>
          <w:tcPr>
            <w:tcW w:w="6940" w:type="dxa"/>
            <w:vAlign w:val="bottom"/>
            <w:shd w:val="clear" w:color="auto" w:fill="E6E6E6"/>
          </w:tcPr>
          <w:p>
            <w:pPr>
              <w:ind w:left="300"/>
              <w:spacing w:after="0"/>
              <w:rPr>
                <w:sz w:val="20"/>
                <w:szCs w:val="20"/>
                <w:color w:val="auto"/>
              </w:rPr>
            </w:pPr>
            <w:r>
              <w:rPr>
                <w:rFonts w:ascii="Arial" w:cs="Arial" w:eastAsia="Arial" w:hAnsi="Arial"/>
                <w:sz w:val="20"/>
                <w:szCs w:val="20"/>
                <w:b w:val="1"/>
                <w:bCs w:val="1"/>
                <w:i w:val="1"/>
                <w:iCs w:val="1"/>
                <w:color w:val="auto"/>
                <w:w w:val="90"/>
              </w:rPr>
              <w:t>Adjustments to reconcile net income to net cash used in operating activities:</w:t>
            </w:r>
          </w:p>
        </w:tc>
        <w:tc>
          <w:tcPr>
            <w:tcW w:w="300" w:type="dxa"/>
            <w:vAlign w:val="bottom"/>
            <w:shd w:val="clear" w:color="auto" w:fill="E6E6E6"/>
          </w:tcPr>
          <w:p>
            <w:pPr>
              <w:spacing w:after="0"/>
              <w:rPr>
                <w:sz w:val="24"/>
                <w:szCs w:val="24"/>
                <w:color w:val="auto"/>
              </w:rPr>
            </w:pPr>
          </w:p>
        </w:tc>
        <w:tc>
          <w:tcPr>
            <w:tcW w:w="8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860" w:type="dxa"/>
            <w:vAlign w:val="bottom"/>
            <w:shd w:val="clear" w:color="auto" w:fill="E6E6E6"/>
          </w:tcPr>
          <w:p>
            <w:pPr>
              <w:spacing w:after="0"/>
              <w:rPr>
                <w:sz w:val="24"/>
                <w:szCs w:val="24"/>
                <w:color w:val="auto"/>
              </w:rPr>
            </w:pPr>
          </w:p>
        </w:tc>
      </w:tr>
      <w:tr>
        <w:trPr>
          <w:trHeight w:val="260"/>
        </w:trPr>
        <w:tc>
          <w:tcPr>
            <w:tcW w:w="6940" w:type="dxa"/>
            <w:vAlign w:val="bottom"/>
          </w:tcPr>
          <w:p>
            <w:pPr>
              <w:ind w:left="300"/>
              <w:spacing w:after="0"/>
              <w:rPr>
                <w:sz w:val="20"/>
                <w:szCs w:val="20"/>
                <w:color w:val="auto"/>
              </w:rPr>
            </w:pPr>
            <w:r>
              <w:rPr>
                <w:rFonts w:ascii="Arial" w:cs="Arial" w:eastAsia="Arial" w:hAnsi="Arial"/>
                <w:sz w:val="20"/>
                <w:szCs w:val="20"/>
                <w:color w:val="auto"/>
              </w:rPr>
              <w:t>Foreign exchange (gain)/loss</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(1,866)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3,817</w:t>
            </w:r>
          </w:p>
        </w:tc>
      </w:tr>
      <w:tr>
        <w:trPr>
          <w:trHeight w:val="2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694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20"/>
                <w:szCs w:val="20"/>
                <w:color w:val="auto"/>
              </w:rPr>
              <w:t>Amortization of debt issuance costs</w:t>
            </w:r>
          </w:p>
        </w:tc>
        <w:tc>
          <w:tcPr>
            <w:tcW w:w="300" w:type="dxa"/>
            <w:vAlign w:val="bottom"/>
            <w:tcBorders>
              <w:bottom w:val="single" w:sz="8" w:color="E6E6E6"/>
            </w:tcBorders>
            <w:shd w:val="clear" w:color="auto" w:fill="E6E6E6"/>
          </w:tcPr>
          <w:p>
            <w:pPr>
              <w:spacing w:after="0"/>
              <w:rPr>
                <w:sz w:val="22"/>
                <w:szCs w:val="22"/>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116</w:t>
            </w:r>
          </w:p>
        </w:tc>
        <w:tc>
          <w:tcPr>
            <w:tcW w:w="6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E6E6E6"/>
            </w:tcBorders>
            <w:shd w:val="clear" w:color="auto" w:fill="E6E6E6"/>
          </w:tcPr>
          <w:p>
            <w:pPr>
              <w:spacing w:after="0"/>
              <w:rPr>
                <w:sz w:val="22"/>
                <w:szCs w:val="22"/>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80</w:t>
            </w:r>
          </w:p>
        </w:tc>
      </w:tr>
      <w:tr>
        <w:trPr>
          <w:trHeight w:val="260"/>
        </w:trPr>
        <w:tc>
          <w:tcPr>
            <w:tcW w:w="6940" w:type="dxa"/>
            <w:vAlign w:val="bottom"/>
          </w:tcPr>
          <w:p>
            <w:pPr>
              <w:ind w:left="300"/>
              <w:spacing w:after="0"/>
              <w:rPr>
                <w:sz w:val="20"/>
                <w:szCs w:val="20"/>
                <w:color w:val="auto"/>
              </w:rPr>
            </w:pPr>
            <w:r>
              <w:rPr>
                <w:rFonts w:ascii="Arial" w:cs="Arial" w:eastAsia="Arial" w:hAnsi="Arial"/>
                <w:sz w:val="20"/>
                <w:szCs w:val="20"/>
                <w:color w:val="auto"/>
              </w:rPr>
              <w:t>Accretion of redemption premium on debt</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2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694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20"/>
                <w:szCs w:val="20"/>
                <w:color w:val="auto"/>
              </w:rPr>
              <w:t>Loss on extinguishment of debt</w:t>
            </w:r>
          </w:p>
        </w:tc>
        <w:tc>
          <w:tcPr>
            <w:tcW w:w="300" w:type="dxa"/>
            <w:vAlign w:val="bottom"/>
            <w:tcBorders>
              <w:bottom w:val="single" w:sz="8" w:color="E6E6E6"/>
            </w:tcBorders>
            <w:shd w:val="clear" w:color="auto" w:fill="E6E6E6"/>
          </w:tcPr>
          <w:p>
            <w:pPr>
              <w:spacing w:after="0"/>
              <w:rPr>
                <w:sz w:val="22"/>
                <w:szCs w:val="22"/>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E6E6E6"/>
            </w:tcBorders>
            <w:shd w:val="clear" w:color="auto" w:fill="E6E6E6"/>
          </w:tcPr>
          <w:p>
            <w:pPr>
              <w:spacing w:after="0"/>
              <w:rPr>
                <w:sz w:val="22"/>
                <w:szCs w:val="22"/>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815</w:t>
            </w:r>
          </w:p>
        </w:tc>
      </w:tr>
      <w:tr>
        <w:trPr>
          <w:trHeight w:val="260"/>
        </w:trPr>
        <w:tc>
          <w:tcPr>
            <w:tcW w:w="6940" w:type="dxa"/>
            <w:vAlign w:val="bottom"/>
          </w:tcPr>
          <w:p>
            <w:pPr>
              <w:ind w:left="300"/>
              <w:spacing w:after="0"/>
              <w:rPr>
                <w:sz w:val="20"/>
                <w:szCs w:val="20"/>
                <w:color w:val="auto"/>
              </w:rPr>
            </w:pPr>
            <w:r>
              <w:rPr>
                <w:rFonts w:ascii="Arial" w:cs="Arial" w:eastAsia="Arial" w:hAnsi="Arial"/>
                <w:sz w:val="20"/>
                <w:szCs w:val="20"/>
                <w:color w:val="auto"/>
              </w:rPr>
              <w:t>Share-based compensation</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19,012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14,121</w:t>
            </w:r>
          </w:p>
        </w:tc>
      </w:tr>
      <w:tr>
        <w:trPr>
          <w:trHeight w:val="2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694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20"/>
                <w:szCs w:val="20"/>
                <w:color w:val="auto"/>
              </w:rPr>
              <w:t>Depreciation and amortization</w:t>
            </w:r>
          </w:p>
        </w:tc>
        <w:tc>
          <w:tcPr>
            <w:tcW w:w="300" w:type="dxa"/>
            <w:vAlign w:val="bottom"/>
            <w:tcBorders>
              <w:bottom w:val="single" w:sz="8" w:color="E6E6E6"/>
            </w:tcBorders>
            <w:shd w:val="clear" w:color="auto" w:fill="E6E6E6"/>
          </w:tcPr>
          <w:p>
            <w:pPr>
              <w:spacing w:after="0"/>
              <w:rPr>
                <w:sz w:val="22"/>
                <w:szCs w:val="22"/>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677</w:t>
            </w:r>
          </w:p>
        </w:tc>
        <w:tc>
          <w:tcPr>
            <w:tcW w:w="6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E6E6E6"/>
            </w:tcBorders>
            <w:shd w:val="clear" w:color="auto" w:fill="E6E6E6"/>
          </w:tcPr>
          <w:p>
            <w:pPr>
              <w:spacing w:after="0"/>
              <w:rPr>
                <w:sz w:val="22"/>
                <w:szCs w:val="22"/>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636</w:t>
            </w:r>
          </w:p>
        </w:tc>
      </w:tr>
      <w:tr>
        <w:trPr>
          <w:trHeight w:val="274"/>
        </w:trPr>
        <w:tc>
          <w:tcPr>
            <w:tcW w:w="6940" w:type="dxa"/>
            <w:vAlign w:val="bottom"/>
          </w:tcPr>
          <w:p>
            <w:pPr>
              <w:ind w:left="420"/>
              <w:spacing w:after="0"/>
              <w:rPr>
                <w:sz w:val="20"/>
                <w:szCs w:val="20"/>
                <w:color w:val="auto"/>
              </w:rPr>
            </w:pPr>
            <w:r>
              <w:rPr>
                <w:rFonts w:ascii="Arial" w:cs="Arial" w:eastAsia="Arial" w:hAnsi="Arial"/>
                <w:sz w:val="20"/>
                <w:szCs w:val="20"/>
                <w:b w:val="1"/>
                <w:bCs w:val="1"/>
                <w:i w:val="1"/>
                <w:iCs w:val="1"/>
                <w:color w:val="auto"/>
              </w:rPr>
              <w:t>Changes in operating assets and liabilities:</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4"/>
        </w:trPr>
        <w:tc>
          <w:tcPr>
            <w:tcW w:w="694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20"/>
                <w:szCs w:val="20"/>
                <w:color w:val="auto"/>
              </w:rPr>
              <w:t>Prepaid expenses</w:t>
            </w:r>
          </w:p>
        </w:tc>
        <w:tc>
          <w:tcPr>
            <w:tcW w:w="300" w:type="dxa"/>
            <w:vAlign w:val="bottom"/>
            <w:tcBorders>
              <w:bottom w:val="single" w:sz="8" w:color="E6E6E6"/>
            </w:tcBorders>
            <w:shd w:val="clear" w:color="auto" w:fill="E6E6E6"/>
          </w:tcPr>
          <w:p>
            <w:pPr>
              <w:spacing w:after="0"/>
              <w:rPr>
                <w:sz w:val="23"/>
                <w:szCs w:val="23"/>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(1,118)</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E6E6E6"/>
            </w:tcBorders>
            <w:shd w:val="clear" w:color="auto" w:fill="E6E6E6"/>
          </w:tcPr>
          <w:p>
            <w:pPr>
              <w:spacing w:after="0"/>
              <w:rPr>
                <w:sz w:val="23"/>
                <w:szCs w:val="23"/>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1,538</w:t>
            </w:r>
          </w:p>
        </w:tc>
      </w:tr>
      <w:tr>
        <w:trPr>
          <w:trHeight w:val="260"/>
        </w:trPr>
        <w:tc>
          <w:tcPr>
            <w:tcW w:w="6940" w:type="dxa"/>
            <w:vAlign w:val="bottom"/>
          </w:tcPr>
          <w:p>
            <w:pPr>
              <w:ind w:left="420"/>
              <w:spacing w:after="0"/>
              <w:rPr>
                <w:sz w:val="20"/>
                <w:szCs w:val="20"/>
                <w:color w:val="auto"/>
              </w:rPr>
            </w:pPr>
            <w:r>
              <w:rPr>
                <w:rFonts w:ascii="Arial" w:cs="Arial" w:eastAsia="Arial" w:hAnsi="Arial"/>
                <w:sz w:val="20"/>
                <w:szCs w:val="20"/>
                <w:color w:val="auto"/>
              </w:rPr>
              <w:t>Tax incentive receivables</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(1,104)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3,964</w:t>
            </w:r>
          </w:p>
        </w:tc>
      </w:tr>
      <w:tr>
        <w:trPr>
          <w:trHeight w:val="2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694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20"/>
                <w:szCs w:val="20"/>
                <w:color w:val="auto"/>
              </w:rPr>
              <w:t>Other current assets</w:t>
            </w:r>
          </w:p>
        </w:tc>
        <w:tc>
          <w:tcPr>
            <w:tcW w:w="300" w:type="dxa"/>
            <w:vAlign w:val="bottom"/>
            <w:tcBorders>
              <w:bottom w:val="single" w:sz="8" w:color="E6E6E6"/>
            </w:tcBorders>
            <w:shd w:val="clear" w:color="auto" w:fill="E6E6E6"/>
          </w:tcPr>
          <w:p>
            <w:pPr>
              <w:spacing w:after="0"/>
              <w:rPr>
                <w:sz w:val="22"/>
                <w:szCs w:val="22"/>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777</w:t>
            </w:r>
          </w:p>
        </w:tc>
        <w:tc>
          <w:tcPr>
            <w:tcW w:w="6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E6E6E6"/>
            </w:tcBorders>
            <w:shd w:val="clear" w:color="auto" w:fill="E6E6E6"/>
          </w:tcPr>
          <w:p>
            <w:pPr>
              <w:spacing w:after="0"/>
              <w:rPr>
                <w:sz w:val="22"/>
                <w:szCs w:val="22"/>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(1,325)</w:t>
            </w:r>
          </w:p>
        </w:tc>
      </w:tr>
      <w:tr>
        <w:trPr>
          <w:trHeight w:val="260"/>
        </w:trPr>
        <w:tc>
          <w:tcPr>
            <w:tcW w:w="6940" w:type="dxa"/>
            <w:vAlign w:val="bottom"/>
          </w:tcPr>
          <w:p>
            <w:pPr>
              <w:ind w:left="420"/>
              <w:spacing w:after="0"/>
              <w:rPr>
                <w:sz w:val="20"/>
                <w:szCs w:val="20"/>
                <w:color w:val="auto"/>
              </w:rPr>
            </w:pPr>
            <w:r>
              <w:rPr>
                <w:rFonts w:ascii="Arial" w:cs="Arial" w:eastAsia="Arial" w:hAnsi="Arial"/>
                <w:sz w:val="20"/>
                <w:szCs w:val="20"/>
                <w:color w:val="auto"/>
              </w:rPr>
              <w:t>Accounts payable</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486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(7,146)</w:t>
            </w:r>
          </w:p>
        </w:tc>
      </w:tr>
      <w:tr>
        <w:trPr>
          <w:trHeight w:val="2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694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20"/>
                <w:szCs w:val="20"/>
                <w:color w:val="auto"/>
              </w:rPr>
              <w:t>Accrued expenses</w:t>
            </w:r>
          </w:p>
        </w:tc>
        <w:tc>
          <w:tcPr>
            <w:tcW w:w="300" w:type="dxa"/>
            <w:vAlign w:val="bottom"/>
            <w:tcBorders>
              <w:bottom w:val="single" w:sz="8" w:color="E6E6E6"/>
            </w:tcBorders>
            <w:shd w:val="clear" w:color="auto" w:fill="E6E6E6"/>
          </w:tcPr>
          <w:p>
            <w:pPr>
              <w:spacing w:after="0"/>
              <w:rPr>
                <w:sz w:val="22"/>
                <w:szCs w:val="22"/>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(10,351)</w:t>
            </w:r>
          </w:p>
        </w:tc>
        <w:tc>
          <w:tcPr>
            <w:tcW w:w="6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E6E6E6"/>
            </w:tcBorders>
            <w:shd w:val="clear" w:color="auto" w:fill="E6E6E6"/>
          </w:tcPr>
          <w:p>
            <w:pPr>
              <w:spacing w:after="0"/>
              <w:rPr>
                <w:sz w:val="22"/>
                <w:szCs w:val="22"/>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(8,504)</w:t>
            </w:r>
          </w:p>
        </w:tc>
      </w:tr>
      <w:tr>
        <w:trPr>
          <w:trHeight w:val="260"/>
        </w:trPr>
        <w:tc>
          <w:tcPr>
            <w:tcW w:w="6940" w:type="dxa"/>
            <w:vAlign w:val="bottom"/>
          </w:tcPr>
          <w:p>
            <w:pPr>
              <w:ind w:left="420"/>
              <w:spacing w:after="0"/>
              <w:rPr>
                <w:sz w:val="20"/>
                <w:szCs w:val="20"/>
                <w:color w:val="auto"/>
              </w:rPr>
            </w:pPr>
            <w:r>
              <w:rPr>
                <w:rFonts w:ascii="Arial" w:cs="Arial" w:eastAsia="Arial" w:hAnsi="Arial"/>
                <w:sz w:val="20"/>
                <w:szCs w:val="20"/>
                <w:color w:val="auto"/>
              </w:rPr>
              <w:t>Operating lease liabilities</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(591)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(597)</w:t>
            </w:r>
          </w:p>
        </w:tc>
      </w:tr>
      <w:tr>
        <w:trPr>
          <w:trHeight w:val="2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4"/>
        </w:trPr>
        <w:tc>
          <w:tcPr>
            <w:tcW w:w="6940" w:type="dxa"/>
            <w:vAlign w:val="bottom"/>
            <w:shd w:val="clear" w:color="auto" w:fill="E6E6E6"/>
          </w:tcPr>
          <w:p>
            <w:pPr>
              <w:ind w:left="420"/>
              <w:spacing w:after="0"/>
              <w:rPr>
                <w:sz w:val="20"/>
                <w:szCs w:val="20"/>
                <w:color w:val="auto"/>
              </w:rPr>
            </w:pPr>
            <w:r>
              <w:rPr>
                <w:rFonts w:ascii="Arial" w:cs="Arial" w:eastAsia="Arial" w:hAnsi="Arial"/>
                <w:sz w:val="20"/>
                <w:szCs w:val="20"/>
                <w:color w:val="auto"/>
              </w:rPr>
              <w:t>Income taxes</w:t>
            </w:r>
          </w:p>
        </w:tc>
        <w:tc>
          <w:tcPr>
            <w:tcW w:w="3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(1,037)</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136</w:t>
            </w:r>
          </w:p>
        </w:tc>
      </w:tr>
      <w:tr>
        <w:trPr>
          <w:trHeight w:val="274"/>
        </w:trPr>
        <w:tc>
          <w:tcPr>
            <w:tcW w:w="6940" w:type="dxa"/>
            <w:vAlign w:val="bottom"/>
            <w:tcBorders>
              <w:bottom w:val="single" w:sz="8" w:color="E6E6E6"/>
            </w:tcBorders>
          </w:tcPr>
          <w:p>
            <w:pPr>
              <w:ind w:left="420"/>
              <w:spacing w:after="0"/>
              <w:rPr>
                <w:sz w:val="20"/>
                <w:szCs w:val="20"/>
                <w:color w:val="auto"/>
              </w:rPr>
            </w:pPr>
            <w:r>
              <w:rPr>
                <w:rFonts w:ascii="Arial" w:cs="Arial" w:eastAsia="Arial" w:hAnsi="Arial"/>
                <w:sz w:val="20"/>
                <w:szCs w:val="20"/>
                <w:color w:val="auto"/>
              </w:rPr>
              <w:t>Other current liabilities</w:t>
            </w: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(960)</w:t>
            </w:r>
          </w:p>
        </w:tc>
        <w:tc>
          <w:tcPr>
            <w:tcW w:w="6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1,196</w:t>
            </w:r>
          </w:p>
        </w:tc>
      </w:tr>
      <w:tr>
        <w:trPr>
          <w:trHeight w:val="274"/>
        </w:trPr>
        <w:tc>
          <w:tcPr>
            <w:tcW w:w="6940" w:type="dxa"/>
            <w:vAlign w:val="bottom"/>
            <w:shd w:val="clear" w:color="auto" w:fill="E6E6E6"/>
          </w:tcPr>
          <w:p>
            <w:pPr>
              <w:ind w:left="540"/>
              <w:spacing w:after="0"/>
              <w:rPr>
                <w:sz w:val="20"/>
                <w:szCs w:val="20"/>
                <w:color w:val="auto"/>
              </w:rPr>
            </w:pPr>
            <w:r>
              <w:rPr>
                <w:rFonts w:ascii="Arial" w:cs="Arial" w:eastAsia="Arial" w:hAnsi="Arial"/>
                <w:sz w:val="20"/>
                <w:szCs w:val="20"/>
                <w:color w:val="auto"/>
              </w:rPr>
              <w:t>Net cash used in operating activities</w:t>
            </w:r>
          </w:p>
        </w:tc>
        <w:tc>
          <w:tcPr>
            <w:tcW w:w="300" w:type="dxa"/>
            <w:vAlign w:val="bottom"/>
            <w:shd w:val="clear" w:color="auto" w:fill="E6E6E6"/>
          </w:tcPr>
          <w:p>
            <w:pPr>
              <w:spacing w:after="0"/>
              <w:rPr>
                <w:sz w:val="23"/>
                <w:szCs w:val="23"/>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(50,222)</w:t>
            </w:r>
          </w:p>
        </w:tc>
        <w:tc>
          <w:tcPr>
            <w:tcW w:w="6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(59,862)</w:t>
            </w:r>
          </w:p>
        </w:tc>
      </w:tr>
      <w:tr>
        <w:trPr>
          <w:trHeight w:val="274"/>
        </w:trPr>
        <w:tc>
          <w:tcPr>
            <w:tcW w:w="6940" w:type="dxa"/>
            <w:vAlign w:val="bottom"/>
          </w:tcPr>
          <w:p>
            <w:pPr>
              <w:ind w:left="60"/>
              <w:spacing w:after="0"/>
              <w:rPr>
                <w:sz w:val="20"/>
                <w:szCs w:val="20"/>
                <w:color w:val="auto"/>
              </w:rPr>
            </w:pPr>
            <w:r>
              <w:rPr>
                <w:rFonts w:ascii="Arial" w:cs="Arial" w:eastAsia="Arial" w:hAnsi="Arial"/>
                <w:sz w:val="20"/>
                <w:szCs w:val="20"/>
                <w:b w:val="1"/>
                <w:bCs w:val="1"/>
                <w:color w:val="auto"/>
              </w:rPr>
              <w:t>Cash flows from investing activities:</w:t>
            </w: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97"/>
        </w:trPr>
        <w:tc>
          <w:tcPr>
            <w:tcW w:w="694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20"/>
                <w:szCs w:val="20"/>
                <w:color w:val="auto"/>
              </w:rPr>
              <w:t>Purchases of furniture and equipment</w:t>
            </w:r>
          </w:p>
        </w:tc>
        <w:tc>
          <w:tcPr>
            <w:tcW w:w="30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(29)</w:t>
            </w:r>
          </w:p>
        </w:tc>
      </w:tr>
      <w:tr>
        <w:trPr>
          <w:trHeight w:val="247"/>
        </w:trPr>
        <w:tc>
          <w:tcPr>
            <w:tcW w:w="6940" w:type="dxa"/>
            <w:vAlign w:val="bottom"/>
          </w:tcPr>
          <w:p>
            <w:pPr>
              <w:ind w:left="420"/>
              <w:spacing w:after="0"/>
              <w:rPr>
                <w:sz w:val="20"/>
                <w:szCs w:val="20"/>
                <w:color w:val="auto"/>
              </w:rPr>
            </w:pPr>
            <w:r>
              <w:rPr>
                <w:rFonts w:ascii="Arial" w:cs="Arial" w:eastAsia="Arial" w:hAnsi="Arial"/>
                <w:sz w:val="20"/>
                <w:szCs w:val="20"/>
                <w:color w:val="auto"/>
              </w:rPr>
              <w:t>Net cash used in investing activities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4"/>
        </w:trPr>
        <w:tc>
          <w:tcPr>
            <w:tcW w:w="694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Cash flows from financing activities:</w:t>
            </w:r>
          </w:p>
        </w:tc>
        <w:tc>
          <w:tcPr>
            <w:tcW w:w="300" w:type="dxa"/>
            <w:vAlign w:val="bottom"/>
            <w:shd w:val="clear" w:color="auto" w:fill="E6E6E6"/>
          </w:tcPr>
          <w:p>
            <w:pPr>
              <w:spacing w:after="0"/>
              <w:rPr>
                <w:sz w:val="24"/>
                <w:szCs w:val="24"/>
                <w:color w:val="auto"/>
              </w:rPr>
            </w:pPr>
          </w:p>
        </w:tc>
        <w:tc>
          <w:tcPr>
            <w:tcW w:w="860" w:type="dxa"/>
            <w:vAlign w:val="bottom"/>
            <w:shd w:val="clear" w:color="auto" w:fill="E6E6E6"/>
          </w:tcPr>
          <w:p>
            <w:pPr>
              <w:spacing w:after="0"/>
              <w:rPr>
                <w:sz w:val="24"/>
                <w:szCs w:val="24"/>
                <w:color w:val="auto"/>
              </w:rPr>
            </w:pP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860" w:type="dxa"/>
            <w:vAlign w:val="bottom"/>
            <w:shd w:val="clear" w:color="auto" w:fill="E6E6E6"/>
          </w:tcPr>
          <w:p>
            <w:pPr>
              <w:spacing w:after="0"/>
              <w:rPr>
                <w:sz w:val="24"/>
                <w:szCs w:val="24"/>
                <w:color w:val="auto"/>
              </w:rPr>
            </w:pPr>
          </w:p>
        </w:tc>
      </w:tr>
      <w:tr>
        <w:trPr>
          <w:trHeight w:val="260"/>
        </w:trPr>
        <w:tc>
          <w:tcPr>
            <w:tcW w:w="6940" w:type="dxa"/>
            <w:vAlign w:val="bottom"/>
          </w:tcPr>
          <w:p>
            <w:pPr>
              <w:ind w:left="300"/>
              <w:spacing w:after="0"/>
              <w:rPr>
                <w:sz w:val="20"/>
                <w:szCs w:val="20"/>
                <w:color w:val="auto"/>
              </w:rPr>
            </w:pPr>
            <w:r>
              <w:rPr>
                <w:rFonts w:ascii="Arial" w:cs="Arial" w:eastAsia="Arial" w:hAnsi="Arial"/>
                <w:sz w:val="20"/>
                <w:szCs w:val="20"/>
                <w:color w:val="auto"/>
              </w:rPr>
              <w:t>Proceeds from issuance of ordinary shares</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56,909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149,797</w:t>
            </w:r>
          </w:p>
        </w:tc>
      </w:tr>
      <w:tr>
        <w:trPr>
          <w:trHeight w:val="2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694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20"/>
                <w:szCs w:val="20"/>
                <w:color w:val="auto"/>
                <w:w w:val="98"/>
              </w:rPr>
              <w:t>Payment of offering costs in connection with the issuance of ordinary shares</w:t>
            </w:r>
          </w:p>
        </w:tc>
        <w:tc>
          <w:tcPr>
            <w:tcW w:w="300" w:type="dxa"/>
            <w:vAlign w:val="bottom"/>
            <w:tcBorders>
              <w:bottom w:val="single" w:sz="8" w:color="E6E6E6"/>
            </w:tcBorders>
            <w:shd w:val="clear" w:color="auto" w:fill="E6E6E6"/>
          </w:tcPr>
          <w:p>
            <w:pPr>
              <w:spacing w:after="0"/>
              <w:rPr>
                <w:sz w:val="22"/>
                <w:szCs w:val="22"/>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E6E6E6"/>
            </w:tcBorders>
            <w:shd w:val="clear" w:color="auto" w:fill="E6E6E6"/>
          </w:tcPr>
          <w:p>
            <w:pPr>
              <w:spacing w:after="0"/>
              <w:rPr>
                <w:sz w:val="22"/>
                <w:szCs w:val="22"/>
                <w:color w:val="auto"/>
              </w:rPr>
            </w:pP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(9,533)</w:t>
            </w:r>
          </w:p>
        </w:tc>
      </w:tr>
      <w:tr>
        <w:trPr>
          <w:trHeight w:val="260"/>
        </w:trPr>
        <w:tc>
          <w:tcPr>
            <w:tcW w:w="6940" w:type="dxa"/>
            <w:vAlign w:val="bottom"/>
          </w:tcPr>
          <w:p>
            <w:pPr>
              <w:ind w:left="300"/>
              <w:spacing w:after="0"/>
              <w:rPr>
                <w:sz w:val="20"/>
                <w:szCs w:val="20"/>
                <w:color w:val="auto"/>
              </w:rPr>
            </w:pPr>
            <w:r>
              <w:rPr>
                <w:rFonts w:ascii="Arial" w:cs="Arial" w:eastAsia="Arial" w:hAnsi="Arial"/>
                <w:sz w:val="20"/>
                <w:szCs w:val="20"/>
                <w:color w:val="auto"/>
              </w:rPr>
              <w:t>Proceeds from Oxford Term Loan</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9,996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10,000</w:t>
            </w:r>
          </w:p>
        </w:tc>
      </w:tr>
      <w:tr>
        <w:trPr>
          <w:trHeight w:val="2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0"/>
        </w:trPr>
        <w:tc>
          <w:tcPr>
            <w:tcW w:w="6940" w:type="dxa"/>
            <w:vAlign w:val="bottom"/>
            <w:shd w:val="clear" w:color="auto" w:fill="E6E6E6"/>
          </w:tcPr>
          <w:p>
            <w:pPr>
              <w:ind w:left="300"/>
              <w:spacing w:after="0" w:line="190" w:lineRule="exact"/>
              <w:rPr>
                <w:sz w:val="20"/>
                <w:szCs w:val="20"/>
                <w:color w:val="auto"/>
              </w:rPr>
            </w:pPr>
            <w:r>
              <w:rPr>
                <w:rFonts w:ascii="Arial" w:cs="Arial" w:eastAsia="Arial" w:hAnsi="Arial"/>
                <w:sz w:val="20"/>
                <w:szCs w:val="20"/>
                <w:color w:val="auto"/>
                <w:w w:val="92"/>
              </w:rPr>
              <w:t>Proceeds from 2023 Term Loan, net of repayment of Oxford Term Loan and debt</w:t>
            </w:r>
          </w:p>
        </w:tc>
        <w:tc>
          <w:tcPr>
            <w:tcW w:w="300" w:type="dxa"/>
            <w:vAlign w:val="bottom"/>
            <w:shd w:val="clear" w:color="auto" w:fill="E6E6E6"/>
          </w:tcPr>
          <w:p>
            <w:pPr>
              <w:spacing w:after="0"/>
              <w:rPr>
                <w:sz w:val="16"/>
                <w:szCs w:val="16"/>
                <w:color w:val="auto"/>
              </w:rPr>
            </w:pPr>
          </w:p>
        </w:tc>
        <w:tc>
          <w:tcPr>
            <w:tcW w:w="860" w:type="dxa"/>
            <w:vAlign w:val="bottom"/>
            <w:shd w:val="clear" w:color="auto" w:fill="E6E6E6"/>
          </w:tcPr>
          <w:p>
            <w:pPr>
              <w:jc w:val="right"/>
              <w:spacing w:after="0" w:line="190" w:lineRule="exact"/>
              <w:rPr>
                <w:sz w:val="20"/>
                <w:szCs w:val="20"/>
                <w:color w:val="auto"/>
              </w:rPr>
            </w:pPr>
            <w:r>
              <w:rPr>
                <w:rFonts w:ascii="Arial" w:cs="Arial" w:eastAsia="Arial" w:hAnsi="Arial"/>
                <w:sz w:val="20"/>
                <w:szCs w:val="20"/>
                <w:color w:val="auto"/>
              </w:rPr>
              <w:t>28,712</w:t>
            </w:r>
          </w:p>
        </w:tc>
        <w:tc>
          <w:tcPr>
            <w:tcW w:w="60" w:type="dxa"/>
            <w:vAlign w:val="bottom"/>
            <w:shd w:val="clear" w:color="auto" w:fill="E6E6E6"/>
          </w:tcPr>
          <w:p>
            <w:pPr>
              <w:spacing w:after="0"/>
              <w:rPr>
                <w:sz w:val="16"/>
                <w:szCs w:val="16"/>
                <w:color w:val="auto"/>
              </w:rPr>
            </w:pPr>
          </w:p>
        </w:tc>
        <w:tc>
          <w:tcPr>
            <w:tcW w:w="300" w:type="dxa"/>
            <w:vAlign w:val="bottom"/>
            <w:shd w:val="clear" w:color="auto" w:fill="E6E6E6"/>
          </w:tcPr>
          <w:p>
            <w:pPr>
              <w:spacing w:after="0"/>
              <w:rPr>
                <w:sz w:val="16"/>
                <w:szCs w:val="16"/>
                <w:color w:val="auto"/>
              </w:rPr>
            </w:pPr>
          </w:p>
        </w:tc>
        <w:tc>
          <w:tcPr>
            <w:tcW w:w="860" w:type="dxa"/>
            <w:vAlign w:val="bottom"/>
            <w:shd w:val="clear" w:color="auto" w:fill="E6E6E6"/>
          </w:tcPr>
          <w:p>
            <w:pPr>
              <w:jc w:val="right"/>
              <w:spacing w:after="0" w:line="190" w:lineRule="exact"/>
              <w:rPr>
                <w:sz w:val="20"/>
                <w:szCs w:val="20"/>
                <w:color w:val="auto"/>
              </w:rPr>
            </w:pPr>
            <w:r>
              <w:rPr>
                <w:rFonts w:ascii="Arial" w:cs="Arial" w:eastAsia="Arial" w:hAnsi="Arial"/>
                <w:sz w:val="20"/>
                <w:szCs w:val="20"/>
                <w:color w:val="auto"/>
              </w:rPr>
              <w:t>—</w:t>
            </w:r>
          </w:p>
        </w:tc>
      </w:tr>
      <w:tr>
        <w:trPr>
          <w:trHeight w:val="282"/>
        </w:trPr>
        <w:tc>
          <w:tcPr>
            <w:tcW w:w="694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20"/>
                <w:szCs w:val="20"/>
                <w:color w:val="auto"/>
              </w:rPr>
              <w:t>issuance costs incurred</w:t>
            </w:r>
          </w:p>
        </w:tc>
        <w:tc>
          <w:tcPr>
            <w:tcW w:w="300" w:type="dxa"/>
            <w:vAlign w:val="bottom"/>
            <w:tcBorders>
              <w:bottom w:val="single" w:sz="8" w:color="E6E6E6"/>
            </w:tcBorders>
            <w:shd w:val="clear" w:color="auto" w:fill="E6E6E6"/>
          </w:tcPr>
          <w:p>
            <w:pPr>
              <w:spacing w:after="0"/>
              <w:rPr>
                <w:sz w:val="24"/>
                <w:szCs w:val="24"/>
                <w:color w:val="auto"/>
              </w:rPr>
            </w:pPr>
          </w:p>
        </w:tc>
        <w:tc>
          <w:tcPr>
            <w:tcW w:w="860" w:type="dxa"/>
            <w:vAlign w:val="bottom"/>
            <w:tcBorders>
              <w:bottom w:val="single" w:sz="8" w:color="E6E6E6"/>
            </w:tcBorders>
            <w:shd w:val="clear" w:color="auto" w:fill="E6E6E6"/>
          </w:tcPr>
          <w:p>
            <w:pPr>
              <w:spacing w:after="0"/>
              <w:rPr>
                <w:sz w:val="24"/>
                <w:szCs w:val="24"/>
                <w:color w:val="auto"/>
              </w:rPr>
            </w:pP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E6E6E6"/>
            </w:tcBorders>
            <w:shd w:val="clear" w:color="auto" w:fill="E6E6E6"/>
          </w:tcPr>
          <w:p>
            <w:pPr>
              <w:spacing w:after="0"/>
              <w:rPr>
                <w:sz w:val="24"/>
                <w:szCs w:val="24"/>
                <w:color w:val="auto"/>
              </w:rPr>
            </w:pPr>
          </w:p>
        </w:tc>
        <w:tc>
          <w:tcPr>
            <w:tcW w:w="860" w:type="dxa"/>
            <w:vAlign w:val="bottom"/>
            <w:tcBorders>
              <w:bottom w:val="single" w:sz="8" w:color="E6E6E6"/>
            </w:tcBorders>
            <w:shd w:val="clear" w:color="auto" w:fill="E6E6E6"/>
          </w:tcPr>
          <w:p>
            <w:pPr>
              <w:spacing w:after="0"/>
              <w:rPr>
                <w:sz w:val="24"/>
                <w:szCs w:val="24"/>
                <w:color w:val="auto"/>
              </w:rPr>
            </w:pPr>
          </w:p>
        </w:tc>
      </w:tr>
      <w:tr>
        <w:trPr>
          <w:trHeight w:val="260"/>
        </w:trPr>
        <w:tc>
          <w:tcPr>
            <w:tcW w:w="6940" w:type="dxa"/>
            <w:vAlign w:val="bottom"/>
          </w:tcPr>
          <w:p>
            <w:pPr>
              <w:ind w:left="300"/>
              <w:spacing w:after="0"/>
              <w:rPr>
                <w:sz w:val="20"/>
                <w:szCs w:val="20"/>
                <w:color w:val="auto"/>
              </w:rPr>
            </w:pPr>
            <w:r>
              <w:rPr>
                <w:rFonts w:ascii="Arial" w:cs="Arial" w:eastAsia="Arial" w:hAnsi="Arial"/>
                <w:sz w:val="20"/>
                <w:szCs w:val="20"/>
                <w:color w:val="auto"/>
              </w:rPr>
              <w:t>Payment of debt issuance costs</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(245)</w:t>
            </w:r>
          </w:p>
        </w:tc>
      </w:tr>
      <w:tr>
        <w:trPr>
          <w:trHeight w:val="2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4"/>
        </w:trPr>
        <w:tc>
          <w:tcPr>
            <w:tcW w:w="6940" w:type="dxa"/>
            <w:vAlign w:val="bottom"/>
            <w:shd w:val="clear" w:color="auto" w:fill="E6E6E6"/>
          </w:tcPr>
          <w:p>
            <w:pPr>
              <w:ind w:left="300"/>
              <w:spacing w:after="0"/>
              <w:rPr>
                <w:sz w:val="20"/>
                <w:szCs w:val="20"/>
                <w:color w:val="auto"/>
              </w:rPr>
            </w:pPr>
            <w:r>
              <w:rPr>
                <w:rFonts w:ascii="Arial" w:cs="Arial" w:eastAsia="Arial" w:hAnsi="Arial"/>
                <w:sz w:val="20"/>
                <w:szCs w:val="20"/>
                <w:color w:val="auto"/>
              </w:rPr>
              <w:t>Repayment of SVB Term Loan</w:t>
            </w:r>
          </w:p>
        </w:tc>
        <w:tc>
          <w:tcPr>
            <w:tcW w:w="3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(5,000)</w:t>
            </w:r>
          </w:p>
        </w:tc>
      </w:tr>
      <w:tr>
        <w:trPr>
          <w:trHeight w:val="277"/>
        </w:trPr>
        <w:tc>
          <w:tcPr>
            <w:tcW w:w="6940" w:type="dxa"/>
            <w:vAlign w:val="bottom"/>
          </w:tcPr>
          <w:p>
            <w:pPr>
              <w:ind w:left="300"/>
              <w:spacing w:after="0"/>
              <w:rPr>
                <w:sz w:val="20"/>
                <w:szCs w:val="20"/>
                <w:color w:val="auto"/>
              </w:rPr>
            </w:pPr>
            <w:r>
              <w:rPr>
                <w:rFonts w:ascii="Arial" w:cs="Arial" w:eastAsia="Arial" w:hAnsi="Arial"/>
                <w:sz w:val="20"/>
                <w:szCs w:val="20"/>
                <w:color w:val="auto"/>
              </w:rPr>
              <w:t>SVB Term Loan repayment costs</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(850)</w:t>
            </w:r>
          </w:p>
        </w:tc>
      </w:tr>
      <w:tr>
        <w:trPr>
          <w:trHeight w:val="290"/>
        </w:trPr>
        <w:tc>
          <w:tcPr>
            <w:tcW w:w="6940" w:type="dxa"/>
            <w:vAlign w:val="bottom"/>
            <w:shd w:val="clear" w:color="auto" w:fill="E6E6E6"/>
          </w:tcPr>
          <w:p>
            <w:pPr>
              <w:ind w:left="300"/>
              <w:spacing w:after="0"/>
              <w:rPr>
                <w:sz w:val="20"/>
                <w:szCs w:val="20"/>
                <w:color w:val="auto"/>
              </w:rPr>
            </w:pPr>
            <w:r>
              <w:rPr>
                <w:rFonts w:ascii="Arial" w:cs="Arial" w:eastAsia="Arial" w:hAnsi="Arial"/>
                <w:sz w:val="20"/>
                <w:szCs w:val="20"/>
                <w:color w:val="auto"/>
              </w:rPr>
              <w:t>Payments of withholding taxes from share-based awards</w:t>
            </w:r>
          </w:p>
        </w:tc>
        <w:tc>
          <w:tcPr>
            <w:tcW w:w="3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(4,685)</w:t>
            </w:r>
          </w:p>
        </w:tc>
        <w:tc>
          <w:tcPr>
            <w:tcW w:w="60" w:type="dxa"/>
            <w:vAlign w:val="bottom"/>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(4,723)</w:t>
            </w:r>
          </w:p>
        </w:tc>
      </w:tr>
      <w:tr>
        <w:trPr>
          <w:trHeight w:val="274"/>
        </w:trPr>
        <w:tc>
          <w:tcPr>
            <w:tcW w:w="6940" w:type="dxa"/>
            <w:vAlign w:val="bottom"/>
            <w:tcBorders>
              <w:bottom w:val="single" w:sz="8" w:color="E6E6E6"/>
            </w:tcBorders>
          </w:tcPr>
          <w:p>
            <w:pPr>
              <w:ind w:left="300"/>
              <w:spacing w:after="0"/>
              <w:rPr>
                <w:sz w:val="20"/>
                <w:szCs w:val="20"/>
                <w:color w:val="auto"/>
              </w:rPr>
            </w:pPr>
            <w:r>
              <w:rPr>
                <w:rFonts w:ascii="Arial" w:cs="Arial" w:eastAsia="Arial" w:hAnsi="Arial"/>
                <w:sz w:val="20"/>
                <w:szCs w:val="20"/>
                <w:color w:val="auto"/>
              </w:rPr>
              <w:t>Proceeds from exercise of share options</w:t>
            </w: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1,949</w:t>
            </w:r>
          </w:p>
        </w:tc>
        <w:tc>
          <w:tcPr>
            <w:tcW w:w="6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1,372</w:t>
            </w:r>
          </w:p>
        </w:tc>
      </w:tr>
      <w:tr>
        <w:trPr>
          <w:trHeight w:val="282"/>
        </w:trPr>
        <w:tc>
          <w:tcPr>
            <w:tcW w:w="694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20"/>
                <w:szCs w:val="20"/>
                <w:color w:val="auto"/>
              </w:rPr>
              <w:t>Net cash provided by financing activities</w:t>
            </w:r>
          </w:p>
        </w:tc>
        <w:tc>
          <w:tcPr>
            <w:tcW w:w="30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92,869</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spacing w:after="0"/>
              <w:rPr>
                <w:sz w:val="24"/>
                <w:szCs w:val="24"/>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140,818</w:t>
            </w:r>
          </w:p>
        </w:tc>
      </w:tr>
      <w:tr>
        <w:trPr>
          <w:trHeight w:val="245"/>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20"/>
                <w:szCs w:val="20"/>
                <w:b w:val="1"/>
                <w:bCs w:val="1"/>
                <w:color w:val="auto"/>
              </w:rPr>
              <w:t>Effect of exchange rate changes on cash and cash equivalents</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1,298</w:t>
            </w:r>
          </w:p>
        </w:tc>
        <w:tc>
          <w:tcPr>
            <w:tcW w:w="60" w:type="dxa"/>
            <w:vAlign w:val="bottom"/>
            <w:tcBorders>
              <w:bottom w:val="single" w:sz="8" w:color="E6E6E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(1,480)</w:t>
            </w:r>
          </w:p>
        </w:tc>
      </w:tr>
      <w:tr>
        <w:trPr>
          <w:trHeight w:val="274"/>
        </w:trPr>
        <w:tc>
          <w:tcPr>
            <w:tcW w:w="6940" w:type="dxa"/>
            <w:vAlign w:val="bottom"/>
            <w:shd w:val="clear" w:color="auto" w:fill="E6E6E6"/>
          </w:tcPr>
          <w:p>
            <w:pPr>
              <w:ind w:left="420"/>
              <w:spacing w:after="0"/>
              <w:rPr>
                <w:sz w:val="20"/>
                <w:szCs w:val="20"/>
                <w:color w:val="auto"/>
              </w:rPr>
            </w:pPr>
            <w:r>
              <w:rPr>
                <w:rFonts w:ascii="Arial" w:cs="Arial" w:eastAsia="Arial" w:hAnsi="Arial"/>
                <w:sz w:val="20"/>
                <w:szCs w:val="20"/>
                <w:color w:val="auto"/>
              </w:rPr>
              <w:t>Net change in cash and cash equivalents</w:t>
            </w:r>
          </w:p>
        </w:tc>
        <w:tc>
          <w:tcPr>
            <w:tcW w:w="300" w:type="dxa"/>
            <w:vAlign w:val="bottom"/>
            <w:shd w:val="clear" w:color="auto" w:fill="E6E6E6"/>
          </w:tcPr>
          <w:p>
            <w:pPr>
              <w:spacing w:after="0"/>
              <w:rPr>
                <w:sz w:val="23"/>
                <w:szCs w:val="23"/>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43,945</w:t>
            </w:r>
          </w:p>
        </w:tc>
        <w:tc>
          <w:tcPr>
            <w:tcW w:w="6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79,447</w:t>
            </w:r>
          </w:p>
        </w:tc>
      </w:tr>
      <w:tr>
        <w:trPr>
          <w:trHeight w:val="274"/>
        </w:trPr>
        <w:tc>
          <w:tcPr>
            <w:tcW w:w="6940" w:type="dxa"/>
            <w:vAlign w:val="bottom"/>
            <w:tcBorders>
              <w:bottom w:val="single" w:sz="8" w:color="E6E6E6"/>
            </w:tcBorders>
          </w:tcPr>
          <w:p>
            <w:pPr>
              <w:ind w:left="300"/>
              <w:spacing w:after="0"/>
              <w:rPr>
                <w:sz w:val="20"/>
                <w:szCs w:val="20"/>
                <w:color w:val="auto"/>
              </w:rPr>
            </w:pPr>
            <w:r>
              <w:rPr>
                <w:rFonts w:ascii="Arial" w:cs="Arial" w:eastAsia="Arial" w:hAnsi="Arial"/>
                <w:sz w:val="20"/>
                <w:szCs w:val="20"/>
                <w:b w:val="1"/>
                <w:bCs w:val="1"/>
                <w:color w:val="auto"/>
              </w:rPr>
              <w:t>Cash and cash equivalents at beginning of the year</w:t>
            </w: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227,827</w:t>
            </w:r>
          </w:p>
        </w:tc>
        <w:tc>
          <w:tcPr>
            <w:tcW w:w="6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148,380</w:t>
            </w:r>
          </w:p>
        </w:tc>
      </w:tr>
      <w:tr>
        <w:trPr>
          <w:trHeight w:val="283"/>
        </w:trPr>
        <w:tc>
          <w:tcPr>
            <w:tcW w:w="694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20"/>
                <w:szCs w:val="20"/>
                <w:b w:val="1"/>
                <w:bCs w:val="1"/>
                <w:color w:val="auto"/>
              </w:rPr>
              <w:t>Cash and cash equivalents at end of the year</w:t>
            </w:r>
          </w:p>
        </w:tc>
        <w:tc>
          <w:tcPr>
            <w:tcW w:w="300" w:type="dxa"/>
            <w:vAlign w:val="bottom"/>
            <w:tcBorders>
              <w:bottom w:val="single" w:sz="8" w:color="auto"/>
            </w:tcBorders>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271,772</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227,827</w:t>
            </w:r>
          </w:p>
        </w:tc>
      </w:tr>
      <w:tr>
        <w:trPr>
          <w:trHeight w:val="244"/>
        </w:trPr>
        <w:tc>
          <w:tcPr>
            <w:tcW w:w="6940" w:type="dxa"/>
            <w:vAlign w:val="bottom"/>
          </w:tcPr>
          <w:p>
            <w:pPr>
              <w:ind w:left="60"/>
              <w:spacing w:after="0"/>
              <w:rPr>
                <w:sz w:val="20"/>
                <w:szCs w:val="20"/>
                <w:color w:val="auto"/>
              </w:rPr>
            </w:pPr>
            <w:r>
              <w:rPr>
                <w:rFonts w:ascii="Arial" w:cs="Arial" w:eastAsia="Arial" w:hAnsi="Arial"/>
                <w:sz w:val="20"/>
                <w:szCs w:val="20"/>
                <w:b w:val="1"/>
                <w:bCs w:val="1"/>
                <w:color w:val="auto"/>
              </w:rPr>
              <w:t>Supplemental disclosure of cash flow information:</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3"/>
        </w:trPr>
        <w:tc>
          <w:tcPr>
            <w:tcW w:w="6940" w:type="dxa"/>
            <w:vAlign w:val="bottom"/>
            <w:tcBorders>
              <w:bottom w:val="single" w:sz="8" w:color="E6E6E6"/>
            </w:tcBorders>
            <w:shd w:val="clear" w:color="auto" w:fill="E6E6E6"/>
          </w:tcPr>
          <w:p>
            <w:pPr>
              <w:ind w:left="300"/>
              <w:spacing w:after="0"/>
              <w:rPr>
                <w:sz w:val="20"/>
                <w:szCs w:val="20"/>
                <w:color w:val="auto"/>
              </w:rPr>
            </w:pPr>
            <w:r>
              <w:rPr>
                <w:rFonts w:ascii="Arial" w:cs="Arial" w:eastAsia="Arial" w:hAnsi="Arial"/>
                <w:sz w:val="20"/>
                <w:szCs w:val="20"/>
                <w:color w:val="auto"/>
              </w:rPr>
              <w:t>Income taxes paid</w:t>
            </w:r>
          </w:p>
        </w:tc>
        <w:tc>
          <w:tcPr>
            <w:tcW w:w="300" w:type="dxa"/>
            <w:vAlign w:val="bottom"/>
            <w:tcBorders>
              <w:bottom w:val="single" w:sz="8" w:color="E6E6E6"/>
            </w:tcBorders>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1,245</w:t>
            </w:r>
          </w:p>
        </w:tc>
        <w:tc>
          <w:tcPr>
            <w:tcW w:w="360" w:type="dxa"/>
            <w:vAlign w:val="bottom"/>
            <w:tcBorders>
              <w:bottom w:val="single" w:sz="8" w:color="E6E6E6"/>
            </w:tcBorders>
            <w:gridSpan w:val="2"/>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20"/>
                <w:szCs w:val="20"/>
                <w:color w:val="auto"/>
              </w:rPr>
              <w:t>120</w:t>
            </w:r>
          </w:p>
        </w:tc>
      </w:tr>
      <w:tr>
        <w:trPr>
          <w:trHeight w:val="254"/>
        </w:trPr>
        <w:tc>
          <w:tcPr>
            <w:tcW w:w="6940" w:type="dxa"/>
            <w:vAlign w:val="bottom"/>
          </w:tcPr>
          <w:p>
            <w:pPr>
              <w:ind w:left="300"/>
              <w:spacing w:after="0"/>
              <w:rPr>
                <w:sz w:val="20"/>
                <w:szCs w:val="20"/>
                <w:color w:val="auto"/>
              </w:rPr>
            </w:pPr>
            <w:r>
              <w:rPr>
                <w:rFonts w:ascii="Arial" w:cs="Arial" w:eastAsia="Arial" w:hAnsi="Arial"/>
                <w:sz w:val="20"/>
                <w:szCs w:val="20"/>
                <w:color w:val="auto"/>
              </w:rPr>
              <w:t>Interest paid</w:t>
            </w:r>
          </w:p>
        </w:tc>
        <w:tc>
          <w:tcPr>
            <w:tcW w:w="3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2,006</w:t>
            </w:r>
          </w:p>
        </w:tc>
        <w:tc>
          <w:tcPr>
            <w:tcW w:w="36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348</w:t>
            </w:r>
          </w:p>
        </w:tc>
      </w:tr>
      <w:tr>
        <w:trPr>
          <w:trHeight w:val="20"/>
        </w:trPr>
        <w:tc>
          <w:tcPr>
            <w:tcW w:w="6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-4134485</wp:posOffset>
            </wp:positionV>
            <wp:extent cx="153225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3">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-3594735</wp:posOffset>
            </wp:positionV>
            <wp:extent cx="153225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4">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-1471930</wp:posOffset>
            </wp:positionV>
            <wp:extent cx="153225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5">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-1291590</wp:posOffset>
            </wp:positionV>
            <wp:extent cx="153225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6">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-1111250</wp:posOffset>
            </wp:positionV>
            <wp:extent cx="153225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7">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-751205</wp:posOffset>
            </wp:positionV>
            <wp:extent cx="153225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8">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-584200</wp:posOffset>
            </wp:positionV>
            <wp:extent cx="1532255"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9">
                      <a:extLst>
                        <a:ext uri="{28A0092B-C50C-407E-A947-70E740481C1C}"/>
                      </a:extLst>
                    </a:blip>
                    <a:srcRect/>
                    <a:stretch>
                      <a:fillRect/>
                    </a:stretch>
                  </pic:blipFill>
                  <pic:spPr bwMode="auto">
                    <a:xfrm>
                      <a:off x="0" y="0"/>
                      <a:ext cx="1532255" cy="5080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F-7</w:t>
      </w:r>
    </w:p>
    <w:p>
      <w:pPr>
        <w:sectPr>
          <w:pgSz w:w="11880" w:h="15480" w:orient="portrait"/>
          <w:cols w:equalWidth="0" w:num="1">
            <w:col w:w="9320"/>
          </w:cols>
          <w:pgMar w:left="1280" w:top="324" w:right="1280" w:bottom="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Organization and description of business operations</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Verona Pharma plc is incorporated and domiciled in the United Kingdom. Verona Pharma plc has one wholly-owned subsidiary, Verona Pharma, Inc., a Delaware corporation (together with Verona Pharma plc the “Company”). The address of the registered office is 1 Central Square, Cardiff, CF10 1FS, United Kingdom.</w:t>
      </w:r>
    </w:p>
    <w:p>
      <w:pPr>
        <w:spacing w:after="0" w:line="58"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Company is a clinical-stage biopharmaceutical group focused on developing and commercializing innovative therapeutics for the treatment of respiratory diseases with significant unmet medical needs. The Company’s American Depositary Shares (“ADSs”) are listed on the Nasdaq Global Market (“Nasdaq”) and trade under the symbol “VRNA”.</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August 2023, the U.S. Food and Drug Administration (“FDA”) accepted for review the Company’s New Drug Application (“NDA”) seeking approval of ensifentrine for the maintenance treatment of chronic obstructive pulmonary disease (“COPD”) and assigned a Prescription Drug User Fee Act (“PDUFA”) target action date of June 26, 2024. The FDA stated it is not currently planning to hold an advisory committee meeting to discuss the application. The Company is preparing for a potential commercial launch in 2024, subject to approval of the NDA.</w:t>
      </w:r>
    </w:p>
    <w:p>
      <w:pPr>
        <w:spacing w:after="0" w:line="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conjunction with the submission of the NDA in June 2023, the Company paid a $3.2 million PDUFA application fee to the FDA. The Company requested a small business waiver of this application fee which was approved by the FDA and refunded in the three months ended December 31, 2023.</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w:t>
      </w:r>
    </w:p>
    <w:p>
      <w:pPr>
        <w:spacing w:after="0" w:line="11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Company has incurred recurring losses and negative cashflows from operations since inception, and has an accumulated deficit of $388.4 million as of December 31, 2023. The Company expects to incur additional losses and negative cash flows from operations until its products potentially gain regulatory approval and reach commercial profitability, if at all.</w:t>
      </w:r>
    </w:p>
    <w:p>
      <w:pPr>
        <w:spacing w:after="0" w:line="79"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The Company expects that its cash and cash equivalents as of December 31, 2023, will be sufficient to fund its operating expenses and capital expenditure requirements for at least the next 12 months from the date of issuance.</w:t>
      </w:r>
    </w:p>
    <w:p>
      <w:pPr>
        <w:spacing w:after="0" w:line="14"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In August 2022, the Company completed an upsized public offering of 14,260,000 ADSs, each representing eight ordinary shares of the Company, nominal value £0.05 per share, at a price to the public of $10.50 per ADS, which includes the exercise in full by the underwriters of their option to purchase an additional 1,860,000 ADSs. The aggregate net proceeds from the offering were $140.2 million after deducting underwriting discounts and commissions and estimated offering expenses payable.</w:t>
      </w:r>
    </w:p>
    <w:p>
      <w:pPr>
        <w:spacing w:after="0" w:line="71"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During the year ended December 31, 2022, the Company sold 80,696 ordinary shares (equivalent to 10,087 ADSs) under its at the market offering program entered into in March 2021 (the “2021 ATM Program”), at an average price of approximately $0.86 per share (equivalent to $6.86 per ADS), raising aggregate net proceeds of $0.1 million after deducting issuance costs. As of December 31, 2022, there remained $99.2 million of ordinary shares, in the form of ADSs, available for sale under the 2021 ATM Program.</w:t>
      </w:r>
    </w:p>
    <w:p>
      <w:pPr>
        <w:spacing w:after="0" w:line="7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During the year ended December 31, 2023, the Company sold 20,321,384 ordinary shares (equivalent to 2,540,173 ADSs) under the 2021 ATM Program, at an average price of approximately $2.88 per share (equivalent to $23.08 per ADS), raising aggregate net proceeds of $56.9 million after deducting issuance costs.</w:t>
      </w:r>
    </w:p>
    <w:p>
      <w:pPr>
        <w:spacing w:after="0" w:line="4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March 2023, through a registration statement on Form S-3, the Company replaced the 2021 ATM Program, with an open market sale agreement with Jefferies LLC (“Jefferies”) to sell its ordinary shares, in the form of ADSs, with aggregate gross proceeds of up to $200.0 million, from time-to-time, through an “at the market” equity offering program under which Jefferies will act as sales agent (the “2023 ATM Program”). Jefferies is entitled to a commission at a rate of up to 3.0% of the gross proceeds.</w:t>
      </w:r>
    </w:p>
    <w:p>
      <w:pPr>
        <w:spacing w:after="0" w:line="78"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In December 2023, the Company entered into a term loan facility (the “2023 Term Loan”) of up to $400.0 million with Oxford Finance LLC (“Oxford”), as collateral agent, and certain funds managed by Oxford and Hercules Capital, Inc. At closing $50.0 million was funded with up to four additional advances of an aggregate $350.0 million available subject to the Company meeting certain regulatory and commercial milestones. The 2023 Term Loan replaced the Company’s existing $150.0 million facility with Oxford Finance Luxembourg S.A R.L. Refer to Note 5 - Debt for additional details.</w:t>
      </w:r>
    </w:p>
    <w:p>
      <w:pPr>
        <w:spacing w:after="0" w:line="8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Company’s commercial revenue, if any, will be derived from sales of products that are not expected to be commercially available until the second half of 2024, if ever. Additionally, the Company may enter into out-licensing transactions from time to time but there can be no assurance that the Company can secure such transactions in the future. Accordingly, the Company may need to obtain substantial additional funds to achieve its business</w:t>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F-8</w:t>
      </w:r>
    </w:p>
    <w:p>
      <w:pPr>
        <w:sectPr>
          <w:pgSz w:w="11880" w:h="15480" w:orient="portrait"/>
          <w:cols w:equalWidth="0" w:num="1">
            <w:col w:w="9320"/>
          </w:cols>
          <w:pgMar w:left="1280" w:top="324" w:right="1280" w:bottom="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objectives including to further advance clinical and regulatory activities, to fund launch related costs and to create an effective sales and marketing organization to commercialize ensifentrine, if approved. Any such funding will need to be obtained through public or private financings, debt financing, collaboration or licensing arrangements or other arrangements. However, there is no guarantee the Company will be successful in securing additional capital on acceptable terms, or at all.</w:t>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F-9</w:t>
      </w:r>
    </w:p>
    <w:p>
      <w:pPr>
        <w:sectPr>
          <w:pgSz w:w="11880" w:h="15480" w:orient="portrait"/>
          <w:cols w:equalWidth="0" w:num="1">
            <w:col w:w="9320"/>
          </w:cols>
          <w:pgMar w:left="1280" w:top="324" w:right="1280" w:bottom="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680"/>
        <w:spacing w:after="0" w:line="418" w:lineRule="auto"/>
        <w:rPr>
          <w:sz w:val="20"/>
          <w:szCs w:val="20"/>
          <w:color w:val="auto"/>
        </w:rPr>
      </w:pPr>
      <w:r>
        <w:rPr>
          <w:rFonts w:ascii="Arial" w:cs="Arial" w:eastAsia="Arial" w:hAnsi="Arial"/>
          <w:sz w:val="20"/>
          <w:szCs w:val="20"/>
          <w:b w:val="1"/>
          <w:bCs w:val="1"/>
          <w:color w:val="auto"/>
        </w:rPr>
        <w:t xml:space="preserve">Note 2 - Basis of Presentation and Summary of Significant Accounting Policies </w:t>
      </w:r>
      <w:r>
        <w:rPr>
          <w:rFonts w:ascii="Arial" w:cs="Arial" w:eastAsia="Arial" w:hAnsi="Arial"/>
          <w:sz w:val="20"/>
          <w:szCs w:val="20"/>
          <w:b w:val="1"/>
          <w:bCs w:val="1"/>
          <w:i w:val="1"/>
          <w:iCs w:val="1"/>
          <w:color w:val="auto"/>
        </w:rPr>
        <w:t>Basis of presentation and consolidation</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Consolidated Financial Statements include the accounts of Verona Pharma plc and its wholly-owned subsidiary Verona Pharma, Inc. All inter-company balances and transactions have been eliminated.</w:t>
      </w:r>
    </w:p>
    <w:p>
      <w:pPr>
        <w:spacing w:after="0" w:line="59"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("U.S. GAAP") and the following accounting policies have been consistently applied.</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preparation of consolidated financial statements in conformity with U.S. GAAP requires management to make estimates and assumptions that affect the reported amounts of assets,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accrual and prepayment of research and development expenses and the fair value of share-based compensation. Estimates are periodically reviewed in light of changes in circumstances, facts and experience. Changes in estimates are recorded in the period in which they become known. Actual results could differ from the Company’s estimates.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combinations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 applies the acquisition method to account for business combinations. The consideration transferred for the acquisition of a subsidiary is the fair value of the assets transferred, the liabilities incurred to the former owners of the acquiree and the equity interests issued by the Company. The consideration transferred includes the fair value of any asset or liability resulting from a contingent consideration arrangement. The excess of the cost of acquisition over the fair value of the Company's share of the identifiable net assets acquired is recorded as goodwill.</w:t>
      </w:r>
    </w:p>
    <w:p>
      <w:pPr>
        <w:spacing w:after="0" w:line="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Identifiable assets acquired and liabilities and contingent liabilities assumed in a business combination are measured initially at their fair values at the acquisition date. Acquisition-related costs are expensed as incurred and included in administrative expenses.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and cash equivalents</w:t>
      </w:r>
    </w:p>
    <w:p>
      <w:pPr>
        <w:spacing w:after="0" w:line="11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Company considers all highly liquid investments purchased with original maturities of ninety days or less at acquisition to be cash equivalents. Cash and cash equivalents includes deposits held at call with banks, and in money market funds investing in U.S. and U.K. government debt and liquid securities from highly rated institutions.</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interest</w:t>
      </w:r>
    </w:p>
    <w:p>
      <w:pPr>
        <w:spacing w:after="0" w:line="111"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As part of the Nuance Agreement, the Company received an equity interest in Nuance Biotech, the parent company of Nuance Pharma (see Note 6 - Significant Agreements). As Nuance Biotech’s securities are not publicly traded, the equity interest’s fair value is not readily determinable. The Company therefore follows guidance from ASC 321-10-35-2 and uses the fair value measurement alternative and measures the securities at cost, which is deemed to be the value indicated by the last observable transaction in Nuance Biotech's stock, subject to impairment. The valuation will be adjusted for any observable price changes in orderly transactions for an identical or similar investment in Nuance Biotech, or if there is an indicator of impairment.</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Furniture and equipment, net</w:t>
      </w:r>
    </w:p>
    <w:p>
      <w:pPr>
        <w:spacing w:after="0" w:line="11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Furniture and equipment comprise office furniture, computer equipment and leasehold improvements and are stated at cost less accumulated depreciation. Depreciation on furniture and equipment is calculated on a straight-line basis over the expected useful economic lives, generally two to five years. Depreciation on leasehold improvements is over the lesser of the economic life of the asset or the term of the lease.</w:t>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F-10</w:t>
      </w:r>
    </w:p>
    <w:p>
      <w:pPr>
        <w:sectPr>
          <w:pgSz w:w="11880" w:h="15480" w:orient="portrait"/>
          <w:cols w:equalWidth="0" w:num="1">
            <w:col w:w="9320"/>
          </w:cols>
          <w:pgMar w:left="1280" w:top="324" w:right="1280" w:bottom="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Goodwill consists of goodwill related to the acquisition of Rhinopharma. Goodwill is not amortized but periodically tested for impairment.</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 of long-lived assets</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reviews long-lived assets for impairment annually or whenever events or changes in circumstances indicate that the carrying amount of assets may not be fully recoverable.</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Debt and debt issuance costs</w:t>
      </w:r>
    </w:p>
    <w:p>
      <w:pPr>
        <w:spacing w:after="0" w:line="11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Upon issuance of a new debt instrument, the Company recognizes a liability equal to the proceeds received, less any allocation of proceeds to other instruments issued with the debt, other elements of the transaction, or features within the debt instrument itself. The proceeds generally approximate the present value of interest and principal payments of the debt.</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In situations where, for economic or legal reasons related to the Company’s financial difficulties, the borrower grants a concession to the Company that it would not otherwise consider, the related loan is classified as a troubled debt restructuring. If a restructuring does not constitute a troubled debt restructuring, it will be evaluated to consider if it should be accounted for as an extinguishment or as a modification.</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Debt may be considered extinguished when it has been modified and the terms of the new debt instruments and old debt instruments are “substantially different” (as defined in the debt modification guidance in ASC 470-50 “Debt-Modifications and Extinguishments”).</w:t>
      </w:r>
    </w:p>
    <w:p>
      <w:pPr>
        <w:spacing w:after="0" w:line="7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Debt issuance costs relating to the Company’s debt instruments are recorded in Term loan on the Consolidated Balance Sheets as a direct reduction of the carrying amount of the related debt; these costs are deferred and amortized to interest expense using the effective interest method, over the respective terms of the related debt.</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Company’s revenue consists of revenue from the Company’s strategic agreements for the development and commercialization of ensifentrine. The terms of the agreements may include non-refundable upfront fees, payments based upon achievement of milestones and eventually revenue from the commercialized product. These agreements usually have both fixed and variable consideration. Non-refundable upfront fees are considered fixed, while milestone payments and revenue from the commercialized product are identified as variable consideration.</w:t>
      </w:r>
    </w:p>
    <w:p>
      <w:pPr>
        <w:spacing w:after="0" w:line="5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In determining the appropriate amount of revenue to be recognized as it fulfills its obligations under agreements within the scope of ASC Topic 606,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8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 performance obligation is a promise in a contract to transfer a distinct good or service to the customer and is the unit of account in ASC Topic 606. The Company’s performance obligations may include intellectual property rights, (which include the license, patents and developmental and regulatory data) and manufacturing and supply. Management are required to judge when performance obligations are satisfied and consequently when revenue is recognized.</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The Company allocates the total transaction price to each performance obligation based on the estimated relative standalone selling prices of the promised goods or service underlying each performance obligation.</w:t>
      </w:r>
    </w:p>
    <w:p>
      <w:pPr>
        <w:spacing w:after="0" w:line="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If the right to the Company’s intellectual property is determined to be distinct from the other performance obligations identified in the arrangement, the Company recognizes revenue from non-refundable, upfront fees allocated to the right when the right is transferred to the customer, and the customer can use and benefit from the right.</w:t>
      </w:r>
    </w:p>
    <w:p>
      <w:pPr>
        <w:spacing w:after="0" w:line="58"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At the inception of the arrangement, the Company evaluates whether the development milestones are considered probable of being achieved and estimates the amount to be included in the transaction price using the most likely</w:t>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F-11</w:t>
      </w:r>
    </w:p>
    <w:p>
      <w:pPr>
        <w:sectPr>
          <w:pgSz w:w="11880" w:h="15480" w:orient="portrait"/>
          <w:cols w:equalWidth="0" w:num="1">
            <w:col w:w="9320"/>
          </w:cols>
          <w:pgMar w:left="1280" w:top="324" w:right="1280" w:bottom="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amount method. If it is probable that a significant revenue reversal would not occur, the associated milestone value is included in the transaction price. Milestone payments that are not within the control of the Company, such as approvals from regulators, are not considered probable of being achieved until those approvals are received.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Research and development costs</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(“R&amp;D”) costs are expensed as incurred. Research and development expenses include salaries, share-based compensation and benefits of employees, and other costs related to the Company’s R&amp;D activities, including pre-approval manufacturing costs, contracts with clinical research organizations and contract manufacturers. The Company is required to estimate its expenses resulting from its obligations under contracts with vendors and consultants and clinical site agreements in connection with its R&amp;D efforts. The financial terms of these contracts are subject to negotiations which vary contract to contract and may result in payment flows that do not match the periods over which materials or services are provided to the Company under such contracts. The Company’s objective is to reflect the appropriate clinical trial expenses in its Consolidated Financial Statements by matching those expenses with the period in which services and efforts are expended. The Company accounts for these expenses according to the progress of the trials and other development activities. Judgment is applied in determining assumptions related to patient progression and the timing of various aspects of the trial used to measure progress. The Company determines prepaid and accrual estimates through discussions with applicable personnel and outside service providers as to the progress of clinical trials, or other services completed. During the course of a clinical trial, the Company adjusts its rate of clinical trial expense recognition if actual results differ from its estimates. The Company makes estimates of its prepaid and accrued expenses as of each balance sheet date in its Consolidated Financial Statements based on facts and circumstances known at that time. Although the Company does not expect its estimates to be materially different from amounts actually incurred, its understanding of the status and timing of services performed relative to the actual status and timing of services performed may vary and may result in the Company reporting amounts that are too high or too low for any particular period. The Company’s clinical trial prepaid and accrual expense is dependent upon the timely and accurate reporting of study recruitment from contract research organizations and activities carried out by other third-party vendors as well as the timely processing of any change orders from the contract research organizations.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Share-based compensation</w:t>
      </w:r>
    </w:p>
    <w:p>
      <w:pPr>
        <w:spacing w:after="0" w:line="11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Company has a share-based compensation plan under which various types of equity-based awards may be granted, including stock options, restricted stock units (“RSUs”) and performance restricted stock units (“PRSUs”). The fair value of share options and RSUs, which are subject to milestone or service conditions with graded vesting, are recognized as compensation expense on a straight-line basis using the graded-vesting method; forfeitures are recognized as they occur.</w:t>
      </w:r>
    </w:p>
    <w:p>
      <w:pPr>
        <w:spacing w:after="0" w:line="7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fair value of PRSUs, which are subject to certain performance and service conditions, will be recognized over the remaining service period using the graded-vesting method once the performance conditions are determined to be probable of occurring.</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uses the fair-value based method to determine compensation for all arrangements under which employees receive shares. The fair value of stock options is estimated on the date of grant using the Black-Scholes valuation model that uses assumptions for expected volatility, expected dividends, expected term, and the risk-free interest rate. Expected volatility is based on the historical volatility of the Company’s ordinary shares over the expected term of the options. The expected term of options granted is derived using the simplified method, which computes the expected term as the average of the sum of the vesting term plus the contract term. Historically the risk-free rate has been based on the appropriate U.K. government debt yield. After delisting its Ordinary shares from AIM on October 30, 2020, the Company used U.S. government debt yields.</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fair-value of RSUs and PRSUs is calculated using the closing price of the Company’s ordinary shares on the date of grant.</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Details of the assumptions used are set out in Note 7 - Share-based compensation to the Consolidated Financial Statements.</w:t>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F-12</w:t>
      </w:r>
    </w:p>
    <w:p>
      <w:pPr>
        <w:sectPr>
          <w:pgSz w:w="11880" w:h="15480" w:orient="portrait"/>
          <w:cols w:equalWidth="0" w:num="1">
            <w:col w:w="9320"/>
          </w:cols>
          <w:pgMar w:left="1280" w:top="324" w:right="1280" w:bottom="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 United Kingdom R&amp;D tax credits</w:t>
      </w:r>
    </w:p>
    <w:p>
      <w:pPr>
        <w:spacing w:after="0" w:line="11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Research and development tax credit relates to R&amp;D tax credits receivable in the U.K. As a company that carries out extensive research and development activities, the Company is subject to the U.K. R&amp;D Small and Medium Enterprise (“SME”) Program. Qualifying expenditures largely comprise employment costs for research staff, consumables, a proportion of relevant, permitted sub-contract costs and certain internal overhead costs incurred as part of research projects for which it does not receive income.</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Tax credits related to the SME Program are received as cash and are recorded as other income, as they are akin to grant income, in the Consolidated Statements of Operations and Comprehensive Loss.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11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Company accounts for income taxes in accordance with ASC 740, “Income Taxes” (“ASC 740”). ASC 740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w:t>
      </w:r>
    </w:p>
    <w:p>
      <w:pPr>
        <w:spacing w:after="0" w:line="5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Company provides a valuation allowance, if necessary, to reduce deferred tax assets to their estimated realizable value. ASC 740 establishes a single model to address accounting for uncertain tax positions. ASC 740 clarified the accounting for income taxes by prescribing the minimum recognition threshold a tax position is required to meet before being recognized in the financial statements. The Company has no uncertain tax positions.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Comprehensive loss</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accounts for comprehensive loss in accordance with ASC 220, “Income Statement - Reporting Comprehensive Income”. Comprehensive loss represents all changes in shareholders’ equity during the period except those resulting from investments by, or distributions to, shareholders.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Segment Reporting</w:t>
      </w:r>
    </w:p>
    <w:p>
      <w:pPr>
        <w:spacing w:after="0" w:line="11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one operating and reportable segment, pharmaceutical development.</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Reporting and functional currencies</w:t>
      </w:r>
    </w:p>
    <w:p>
      <w:pPr>
        <w:spacing w:after="0" w:line="11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The Consolidated Financial Statements are reported in U.S. dollars, which is also the functional currency of the Company’s subsidiary. Transactions in foreign currencies are remeasured into the Company’s functional currency at the rate of exchange prevailing at the date of the transaction. Any monetary assets and liabilities arising from these transactions are remeasured into our functional currency at exchange rates prevailing at the balance sheet date or on settlement. Resulting gains and losses are recorded in foreign exchange gain/(loss) in our Consolidated Statements of Operations.</w:t>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F-13</w:t>
      </w:r>
    </w:p>
    <w:p>
      <w:pPr>
        <w:sectPr>
          <w:pgSz w:w="11880" w:h="15480" w:orient="portrait"/>
          <w:cols w:equalWidth="0" w:num="1">
            <w:col w:w="9320"/>
          </w:cols>
          <w:pgMar w:left="1280" w:top="324" w:right="1280" w:bottom="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Treasury shares</w:t>
      </w:r>
    </w:p>
    <w:p>
      <w:pPr>
        <w:spacing w:after="0" w:line="11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the year ended December 31, 2020, the Company incorporated a trust to facilitate the acquisition of shares, by or for the benefit of employees and former employees. In the years ended December 31, 2023 and December 31, 2022 the Company issued 16.0 million ordinary shares (equivalent to 2.0 million ADSs) and 28.0 million (equivalent to 3.5 million ADSs), respectively, to the trust to cover expected shares issued upon the vesting of share awards to employees.</w:t>
      </w:r>
    </w:p>
    <w:p>
      <w:pPr>
        <w:spacing w:after="0" w:line="7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Company has the indirect ability to control the trust as trustees are required to act in accordance with the trust deed and because the Company controls the issuance of shares to cover awards. As a consequence, the trust is consolidated into the Company’s Consolidated Financial Statements. The shares that were issued to the trust that have not been issued to employees to satisfy vesting of share awards are included in the Consolidated Balance Sheets as Ordinary shares held in treasury.</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US GAAP defines fair value and requires companies to establish a framework for measuring fair value and disclosure about fair value measurements using a three-tier approach.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financial instruments include cash equivalents, equity interest, other assets, accounts payable and accrued expenses and other liabilities. Fair value estimates of these instruments are made at a specific point in time, based on relevant market information. These estimates may be subjective in nature and involve uncertainties and matters of significant judgement and therefore cannot be determined with precision. The carrying amounts of the other instruments are considered to be representative of their fair values because of their short-term nature.</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Concentration of credit risk</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Financial instruments that potentially subject the Company to concentration of credit risk consist of principally cash and cash equivalents, bank deposits and certain receivables.</w:t>
      </w:r>
    </w:p>
    <w:p>
      <w:pPr>
        <w:spacing w:after="0" w:line="5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Company holds cash and cash equivalents with highly rated financial institutions and in highly rated money market funds. Our deposits at these institutions may exceed insured limits, however the Company has not experienced any significant credit losses in these accounts and does not believe the Company is exposed to any significant credit risk on these instruments.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 accounting</w:t>
      </w:r>
    </w:p>
    <w:p>
      <w:pPr>
        <w:spacing w:after="0" w:line="111"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Company determines if an arrangement is a lease at inception. ROU assets and liabilities are recognized at the commencement date based on the present value of lease payments over the term of the lease. For this purpose, the Company considers only payments that are fixed and determinable at the time of commencement.</w:t>
      </w:r>
    </w:p>
    <w:p>
      <w:pPr>
        <w:spacing w:after="0" w:line="4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the Company's leases do not provide an implicit rate, the Company determines the incremental borrowing rate in calculating the present value of lease payments. The ROU assets also include any lease payments made prior to commencement and are recorded net of any lease incentives received.</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Company’s lease terms may include options to extend or terminate the lease. When it is reasonably certain the Company will exercise such options the lease will be recognized as a liability and a corresponding ROU asset also recognized.</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Operating leases are included in Right-of-use assets and in Current and Non-current operating lease liabilities on the Company's Consolidated Balance Sheets.</w:t>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F-14</w:t>
      </w:r>
    </w:p>
    <w:p>
      <w:pPr>
        <w:sectPr>
          <w:pgSz w:w="11880" w:h="15480" w:orient="portrait"/>
          <w:cols w:equalWidth="0" w:num="1">
            <w:col w:w="9320"/>
          </w:cols>
          <w:pgMar w:left="1280" w:top="324" w:right="1280" w:bottom="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adopted accounting standards</w:t>
      </w:r>
    </w:p>
    <w:p>
      <w:pPr>
        <w:spacing w:after="0" w:line="111"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In June 2016, the FASB issued ASU 2016-13, Financial Instruments-Credit Losses (Topic 326)-Measurement of Credit Losses on Financial Instruments. This guidance replaces the current incurred loss impairment methodology.</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Under this model, on initial recognition and at each reporting period, an entity is required to recognize an allowance that reflects its current estimate of credit losses expected to be incurred over the life of the financial instrument based on historical experience, current conditions and reasonable and supportable forecasts. The guidance requires a modified retrospective transition approach through a cumulative-effect adjustment to retained earnings as of the beginning of the period of adoption. This update became effective for the Company on January 1, 2023 and the adoption of this update did not have a material impact on the Company’s financial statements and related disclosures.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issued accounting standards not yet adopted</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In December 2023, the FASB issued ASU No. 2023-09, Improvements to Income Tax Disclosures,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amendments in this ASU are effective for annual periods beginning on January 1, 2025, and should be applied on a prospective basis with the option to apply the standard retrospectively. Early adoption is permitted. This ASU will have no impact on the Company's Consolidated Balance Sheets or Consolidated Statements of Operations and Comprehensive Loss. The Company is currently evaluating the impact to its income tax disclosures.</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November 2023, the FASB issued ASU No. 2023-07, Improvements to Reportable Segment Disclosures, which improves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The amendments in this ASU are effective for annual periods beginning on January 1, 2024 and interim periods beginning on January 1, 2025, and should be applied on a retrospective basis for all periods presented. This ASU will have no impact on the Company's Consolidated Balance Sheets or Consolidated Statements of Operations and Comprehensive Loss. The Company is currently evaluating the impact to its segment disclosures.</w:t>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F-15</w:t>
      </w:r>
    </w:p>
    <w:p>
      <w:pPr>
        <w:sectPr>
          <w:pgSz w:w="11880" w:h="15480" w:orient="portrait"/>
          <w:cols w:equalWidth="0" w:num="1">
            <w:col w:w="9320"/>
          </w:cols>
          <w:pgMar w:left="1280" w:top="324" w:right="1280" w:bottom="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Property leases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Company’s Right-of-use assets (“ROU”) relate to rented office space in London, Georgia and two in North Carolina with leases ending in 2025, 2025, 2024 and 2027, respectively.</w:t>
      </w:r>
    </w:p>
    <w:p>
      <w:pPr>
        <w:spacing w:after="0" w:line="59"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In the year ended December 31, 2023, the Company entered into a lease arrangement in North Carolina for office space and extended its existing London lease. As a result of these two agreements, the Company recognized a lease liability and a corresponding ROU asset of $2.7 million. Additionally, the supplemental noncash ROU asset obtained in exchange for operating lease liabilities is $2.7 million.</w:t>
      </w:r>
    </w:p>
    <w:p>
      <w:pPr>
        <w:spacing w:after="0" w:line="79"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In the year ended December 31, 2022, the Company entered into a lease arrangement in Georgia for office space and extended its existing London lease recognizing a lease liability and a corresponding ROU asset of $0.7 million.</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To calculate lease liabilities the Company used a weighted average discount rate of 11% and 4% for the years ended December 31, 2023 and December 31, 2022, respectively. The weighted average remaining lease term as of December 31, 2023 and December 31, 2022 was 3.3 years and 1.5 years,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Minimum annual payments over the remaining lease periods as of December 31, 2023 are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820" w:type="dxa"/>
            <w:vAlign w:val="bottom"/>
            <w:shd w:val="clear" w:color="auto" w:fill="E6E6E6"/>
          </w:tcPr>
          <w:p>
            <w:pPr>
              <w:ind w:left="60"/>
              <w:spacing w:after="0"/>
              <w:rPr>
                <w:sz w:val="20"/>
                <w:szCs w:val="20"/>
                <w:color w:val="auto"/>
              </w:rPr>
            </w:pPr>
            <w:r>
              <w:rPr>
                <w:rFonts w:ascii="Arial" w:cs="Arial" w:eastAsia="Arial" w:hAnsi="Arial"/>
                <w:sz w:val="20"/>
                <w:szCs w:val="20"/>
                <w:color w:val="auto"/>
              </w:rPr>
              <w:t>2024</w:t>
            </w:r>
          </w:p>
        </w:tc>
        <w:tc>
          <w:tcPr>
            <w:tcW w:w="560" w:type="dxa"/>
            <w:vAlign w:val="bottom"/>
            <w:shd w:val="clear" w:color="auto" w:fill="E6E6E6"/>
          </w:tcPr>
          <w:p>
            <w:pPr>
              <w:jc w:val="right"/>
              <w:ind w:right="301"/>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1,175</w:t>
            </w:r>
          </w:p>
        </w:tc>
      </w:tr>
      <w:tr>
        <w:trPr>
          <w:trHeight w:val="254"/>
        </w:trPr>
        <w:tc>
          <w:tcPr>
            <w:tcW w:w="7820" w:type="dxa"/>
            <w:vAlign w:val="bottom"/>
          </w:tcPr>
          <w:p>
            <w:pPr>
              <w:ind w:left="60"/>
              <w:spacing w:after="0"/>
              <w:rPr>
                <w:sz w:val="20"/>
                <w:szCs w:val="20"/>
                <w:color w:val="auto"/>
              </w:rPr>
            </w:pPr>
            <w:r>
              <w:rPr>
                <w:rFonts w:ascii="Arial" w:cs="Arial" w:eastAsia="Arial" w:hAnsi="Arial"/>
                <w:sz w:val="20"/>
                <w:szCs w:val="20"/>
                <w:color w:val="auto"/>
              </w:rPr>
              <w:t>2025</w:t>
            </w:r>
          </w:p>
        </w:tc>
        <w:tc>
          <w:tcPr>
            <w:tcW w:w="5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842</w:t>
            </w:r>
          </w:p>
        </w:tc>
      </w:tr>
      <w:tr>
        <w:trPr>
          <w:trHeight w:val="254"/>
        </w:trPr>
        <w:tc>
          <w:tcPr>
            <w:tcW w:w="7820" w:type="dxa"/>
            <w:vAlign w:val="bottom"/>
            <w:shd w:val="clear" w:color="auto" w:fill="E6E6E6"/>
          </w:tcPr>
          <w:p>
            <w:pPr>
              <w:ind w:left="60"/>
              <w:spacing w:after="0"/>
              <w:rPr>
                <w:sz w:val="20"/>
                <w:szCs w:val="20"/>
                <w:color w:val="auto"/>
              </w:rPr>
            </w:pPr>
            <w:r>
              <w:rPr>
                <w:rFonts w:ascii="Arial" w:cs="Arial" w:eastAsia="Arial" w:hAnsi="Arial"/>
                <w:sz w:val="20"/>
                <w:szCs w:val="20"/>
                <w:color w:val="auto"/>
              </w:rPr>
              <w:t>2026</w:t>
            </w:r>
          </w:p>
        </w:tc>
        <w:tc>
          <w:tcPr>
            <w:tcW w:w="56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788</w:t>
            </w:r>
          </w:p>
        </w:tc>
      </w:tr>
      <w:tr>
        <w:trPr>
          <w:trHeight w:val="244"/>
        </w:trPr>
        <w:tc>
          <w:tcPr>
            <w:tcW w:w="782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2027</w:t>
            </w:r>
          </w:p>
        </w:tc>
        <w:tc>
          <w:tcPr>
            <w:tcW w:w="5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784</w:t>
            </w:r>
          </w:p>
        </w:tc>
      </w:tr>
      <w:tr>
        <w:trPr>
          <w:trHeight w:val="254"/>
        </w:trPr>
        <w:tc>
          <w:tcPr>
            <w:tcW w:w="78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Total minimum future lease payments</w:t>
            </w:r>
          </w:p>
        </w:tc>
        <w:tc>
          <w:tcPr>
            <w:tcW w:w="560" w:type="dxa"/>
            <w:vAlign w:val="bottom"/>
            <w:tcBorders>
              <w:bottom w:val="single" w:sz="8" w:color="auto"/>
            </w:tcBorders>
            <w:shd w:val="clear" w:color="auto" w:fill="E6E6E6"/>
          </w:tcPr>
          <w:p>
            <w:pPr>
              <w:jc w:val="right"/>
              <w:ind w:right="30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3,589</w:t>
            </w:r>
          </w:p>
        </w:tc>
      </w:tr>
      <w:tr>
        <w:trPr>
          <w:trHeight w:val="214"/>
        </w:trPr>
        <w:tc>
          <w:tcPr>
            <w:tcW w:w="7820" w:type="dxa"/>
            <w:vAlign w:val="bottom"/>
            <w:tcBorders>
              <w:bottom w:val="single" w:sz="8" w:color="E6E6E6"/>
            </w:tcBorders>
          </w:tcPr>
          <w:p>
            <w:pPr>
              <w:ind w:left="60"/>
              <w:spacing w:after="0" w:line="214" w:lineRule="exact"/>
              <w:rPr>
                <w:sz w:val="20"/>
                <w:szCs w:val="20"/>
                <w:color w:val="auto"/>
              </w:rPr>
            </w:pPr>
            <w:r>
              <w:rPr>
                <w:rFonts w:ascii="Arial" w:cs="Arial" w:eastAsia="Arial" w:hAnsi="Arial"/>
                <w:sz w:val="20"/>
                <w:szCs w:val="20"/>
                <w:color w:val="auto"/>
              </w:rPr>
              <w:t>Less: imputed interest</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4" w:lineRule="exact"/>
              <w:rPr>
                <w:sz w:val="20"/>
                <w:szCs w:val="20"/>
                <w:color w:val="auto"/>
              </w:rPr>
            </w:pPr>
            <w:r>
              <w:rPr>
                <w:rFonts w:ascii="Arial" w:cs="Arial" w:eastAsia="Arial" w:hAnsi="Arial"/>
                <w:sz w:val="20"/>
                <w:szCs w:val="20"/>
                <w:color w:val="auto"/>
              </w:rPr>
              <w:t>(634)</w:t>
            </w:r>
          </w:p>
        </w:tc>
      </w:tr>
      <w:tr>
        <w:trPr>
          <w:trHeight w:val="254"/>
        </w:trPr>
        <w:tc>
          <w:tcPr>
            <w:tcW w:w="7820" w:type="dxa"/>
            <w:vAlign w:val="bottom"/>
            <w:tcBorders>
              <w:bottom w:val="single" w:sz="8" w:color="E6E6E6"/>
            </w:tcBorders>
            <w:shd w:val="clear" w:color="auto" w:fill="E6E6E6"/>
          </w:tcPr>
          <w:p>
            <w:pPr>
              <w:ind w:left="60"/>
              <w:spacing w:after="0" w:line="214" w:lineRule="exact"/>
              <w:rPr>
                <w:sz w:val="20"/>
                <w:szCs w:val="20"/>
                <w:color w:val="auto"/>
              </w:rPr>
            </w:pPr>
            <w:r>
              <w:rPr>
                <w:rFonts w:ascii="Arial" w:cs="Arial" w:eastAsia="Arial" w:hAnsi="Arial"/>
                <w:sz w:val="20"/>
                <w:szCs w:val="20"/>
                <w:b w:val="1"/>
                <w:bCs w:val="1"/>
                <w:color w:val="auto"/>
              </w:rPr>
              <w:t>Total operating lease liabilities</w:t>
            </w:r>
          </w:p>
        </w:tc>
        <w:tc>
          <w:tcPr>
            <w:tcW w:w="560" w:type="dxa"/>
            <w:vAlign w:val="bottom"/>
            <w:tcBorders>
              <w:bottom w:val="single" w:sz="8" w:color="auto"/>
            </w:tcBorders>
            <w:shd w:val="clear" w:color="auto" w:fill="E6E6E6"/>
          </w:tcPr>
          <w:p>
            <w:pPr>
              <w:jc w:val="right"/>
              <w:ind w:right="301"/>
              <w:spacing w:after="0" w:line="214" w:lineRule="exact"/>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2,955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4955540</wp:posOffset>
            </wp:positionH>
            <wp:positionV relativeFrom="paragraph">
              <wp:posOffset>-514350</wp:posOffset>
            </wp:positionV>
            <wp:extent cx="97345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0">
                      <a:extLst>
                        <a:ext uri="{28A0092B-C50C-407E-A947-70E740481C1C}"/>
                      </a:extLst>
                    </a:blip>
                    <a:srcRect/>
                    <a:stretch>
                      <a:fillRect/>
                    </a:stretch>
                  </pic:blipFill>
                  <pic:spPr bwMode="auto">
                    <a:xfrm>
                      <a:off x="0" y="0"/>
                      <a:ext cx="973455" cy="25400"/>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-353060</wp:posOffset>
            </wp:positionV>
            <wp:extent cx="97345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1">
                      <a:extLst>
                        <a:ext uri="{28A0092B-C50C-407E-A947-70E740481C1C}"/>
                      </a:extLst>
                    </a:blip>
                    <a:srcRect/>
                    <a:stretch>
                      <a:fillRect/>
                    </a:stretch>
                  </pic:blipFill>
                  <pic:spPr bwMode="auto">
                    <a:xfrm>
                      <a:off x="0" y="0"/>
                      <a:ext cx="973455" cy="25400"/>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-192405</wp:posOffset>
            </wp:positionV>
            <wp:extent cx="97345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2">
                      <a:extLst>
                        <a:ext uri="{28A0092B-C50C-407E-A947-70E740481C1C}"/>
                      </a:extLst>
                    </a:blip>
                    <a:srcRect/>
                    <a:stretch>
                      <a:fillRect/>
                    </a:stretch>
                  </pic:blipFill>
                  <pic:spPr bwMode="auto">
                    <a:xfrm>
                      <a:off x="0" y="0"/>
                      <a:ext cx="973455" cy="25400"/>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-43815</wp:posOffset>
            </wp:positionV>
            <wp:extent cx="973455"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3">
                      <a:extLst>
                        <a:ext uri="{28A0092B-C50C-407E-A947-70E740481C1C}"/>
                      </a:extLst>
                    </a:blip>
                    <a:srcRect/>
                    <a:stretch>
                      <a:fillRect/>
                    </a:stretch>
                  </pic:blipFill>
                  <pic:spPr bwMode="auto">
                    <a:xfrm>
                      <a:off x="0" y="0"/>
                      <a:ext cx="973455" cy="50800"/>
                    </a:xfrm>
                    <a:prstGeom prst="rect">
                      <a:avLst/>
                    </a:prstGeom>
                    <a:noFill/>
                  </pic:spPr>
                </pic:pic>
              </a:graphicData>
            </a:graphic>
          </wp:anchor>
        </w:drawing>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total operating lease expense included in selling, general and administrative costs was $0.7 million for the year ended December 31, 2023.</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Accrued expenses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Accrued expenses consisted of the following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624"/>
              <w:spacing w:after="0"/>
              <w:rPr>
                <w:sz w:val="20"/>
                <w:szCs w:val="20"/>
                <w:color w:val="auto"/>
              </w:rPr>
            </w:pPr>
            <w:r>
              <w:rPr>
                <w:rFonts w:ascii="Arial" w:cs="Arial" w:eastAsia="Arial" w:hAnsi="Arial"/>
                <w:sz w:val="16"/>
                <w:szCs w:val="16"/>
                <w:b w:val="1"/>
                <w:bCs w:val="1"/>
                <w:color w:val="auto"/>
              </w:rPr>
              <w:t>December 31,</w:t>
            </w:r>
          </w:p>
        </w:tc>
      </w:tr>
      <w:tr>
        <w:trPr>
          <w:trHeight w:val="219"/>
        </w:trPr>
        <w:tc>
          <w:tcPr>
            <w:tcW w:w="694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7"/>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2022</w:t>
            </w:r>
          </w:p>
        </w:tc>
      </w:tr>
      <w:tr>
        <w:trPr>
          <w:trHeight w:val="244"/>
        </w:trPr>
        <w:tc>
          <w:tcPr>
            <w:tcW w:w="6940" w:type="dxa"/>
            <w:vAlign w:val="bottom"/>
            <w:shd w:val="clear" w:color="auto" w:fill="E6E6E6"/>
          </w:tcPr>
          <w:p>
            <w:pPr>
              <w:ind w:left="60"/>
              <w:spacing w:after="0"/>
              <w:rPr>
                <w:sz w:val="20"/>
                <w:szCs w:val="20"/>
                <w:color w:val="auto"/>
              </w:rPr>
            </w:pPr>
            <w:r>
              <w:rPr>
                <w:rFonts w:ascii="Arial" w:cs="Arial" w:eastAsia="Arial" w:hAnsi="Arial"/>
                <w:sz w:val="20"/>
                <w:szCs w:val="20"/>
                <w:color w:val="auto"/>
              </w:rPr>
              <w:t>Clinical trial and other development costs</w:t>
            </w:r>
          </w:p>
        </w:tc>
        <w:tc>
          <w:tcPr>
            <w:tcW w:w="280" w:type="dxa"/>
            <w:vAlign w:val="bottom"/>
            <w:shd w:val="clear" w:color="auto" w:fill="E6E6E6"/>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752</w:t>
            </w:r>
          </w:p>
        </w:tc>
        <w:tc>
          <w:tcPr>
            <w:tcW w:w="60" w:type="dxa"/>
            <w:vAlign w:val="bottom"/>
            <w:shd w:val="clear" w:color="auto" w:fill="E6E6E6"/>
          </w:tcPr>
          <w:p>
            <w:pPr>
              <w:spacing w:after="0"/>
              <w:rPr>
                <w:sz w:val="21"/>
                <w:szCs w:val="21"/>
                <w:color w:val="auto"/>
              </w:rPr>
            </w:pPr>
          </w:p>
        </w:tc>
        <w:tc>
          <w:tcPr>
            <w:tcW w:w="30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12,314</w:t>
            </w:r>
          </w:p>
        </w:tc>
      </w:tr>
      <w:tr>
        <w:trPr>
          <w:trHeight w:val="254"/>
        </w:trPr>
        <w:tc>
          <w:tcPr>
            <w:tcW w:w="6940" w:type="dxa"/>
            <w:vAlign w:val="bottom"/>
          </w:tcPr>
          <w:p>
            <w:pPr>
              <w:ind w:left="60"/>
              <w:spacing w:after="0"/>
              <w:rPr>
                <w:sz w:val="20"/>
                <w:szCs w:val="20"/>
                <w:color w:val="auto"/>
              </w:rPr>
            </w:pPr>
            <w:r>
              <w:rPr>
                <w:rFonts w:ascii="Arial" w:cs="Arial" w:eastAsia="Arial" w:hAnsi="Arial"/>
                <w:sz w:val="20"/>
                <w:szCs w:val="20"/>
                <w:color w:val="auto"/>
              </w:rPr>
              <w:t>Professional fees, listing and general corporate costs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2,039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1,364</w:t>
            </w:r>
          </w:p>
        </w:tc>
      </w:tr>
      <w:tr>
        <w:trPr>
          <w:trHeight w:val="264"/>
        </w:trPr>
        <w:tc>
          <w:tcPr>
            <w:tcW w:w="6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People related costs</w:t>
            </w:r>
          </w:p>
        </w:tc>
        <w:tc>
          <w:tcPr>
            <w:tcW w:w="280" w:type="dxa"/>
            <w:vAlign w:val="bottom"/>
            <w:tcBorders>
              <w:bottom w:val="single" w:sz="8" w:color="auto"/>
            </w:tcBorders>
            <w:shd w:val="clear" w:color="auto" w:fill="E6E6E6"/>
          </w:tcPr>
          <w:p>
            <w:pPr>
              <w:spacing w:after="0"/>
              <w:rPr>
                <w:sz w:val="22"/>
                <w:szCs w:val="22"/>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794</w:t>
            </w:r>
          </w:p>
        </w:tc>
        <w:tc>
          <w:tcPr>
            <w:tcW w:w="6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auto"/>
            </w:tcBorders>
            <w:shd w:val="clear" w:color="auto" w:fill="E6E6E6"/>
          </w:tcPr>
          <w:p>
            <w:pPr>
              <w:spacing w:after="0"/>
              <w:rPr>
                <w:sz w:val="22"/>
                <w:szCs w:val="22"/>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74</w:t>
            </w:r>
          </w:p>
        </w:tc>
      </w:tr>
      <w:tr>
        <w:trPr>
          <w:trHeight w:val="194"/>
        </w:trPr>
        <w:tc>
          <w:tcPr>
            <w:tcW w:w="6940" w:type="dxa"/>
            <w:vAlign w:val="bottom"/>
          </w:tcPr>
          <w:p>
            <w:pPr>
              <w:ind w:left="60"/>
              <w:spacing w:after="0" w:line="194" w:lineRule="exact"/>
              <w:rPr>
                <w:sz w:val="20"/>
                <w:szCs w:val="20"/>
                <w:color w:val="auto"/>
              </w:rPr>
            </w:pPr>
            <w:r>
              <w:rPr>
                <w:rFonts w:ascii="Arial" w:cs="Arial" w:eastAsia="Arial" w:hAnsi="Arial"/>
                <w:sz w:val="20"/>
                <w:szCs w:val="20"/>
                <w:b w:val="1"/>
                <w:bCs w:val="1"/>
                <w:color w:val="auto"/>
              </w:rPr>
              <w:t>Total accrued expenses</w:t>
            </w:r>
          </w:p>
        </w:tc>
        <w:tc>
          <w:tcPr>
            <w:tcW w:w="280" w:type="dxa"/>
            <w:vAlign w:val="bottom"/>
            <w:tcBorders>
              <w:bottom w:val="single" w:sz="8" w:color="auto"/>
            </w:tcBorders>
          </w:tcPr>
          <w:p>
            <w:pPr>
              <w:jc w:val="right"/>
              <w:ind w:right="21"/>
              <w:spacing w:after="0" w:line="194"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20"/>
                <w:szCs w:val="20"/>
                <w:color w:val="auto"/>
              </w:rPr>
              <w:t>3,585</w:t>
            </w:r>
          </w:p>
        </w:tc>
        <w:tc>
          <w:tcPr>
            <w:tcW w:w="60" w:type="dxa"/>
            <w:vAlign w:val="bottom"/>
          </w:tcPr>
          <w:p>
            <w:pPr>
              <w:spacing w:after="0"/>
              <w:rPr>
                <w:sz w:val="16"/>
                <w:szCs w:val="16"/>
                <w:color w:val="auto"/>
              </w:rPr>
            </w:pPr>
          </w:p>
        </w:tc>
        <w:tc>
          <w:tcPr>
            <w:tcW w:w="300" w:type="dxa"/>
            <w:vAlign w:val="bottom"/>
            <w:tcBorders>
              <w:bottom w:val="single" w:sz="8" w:color="auto"/>
            </w:tcBorders>
          </w:tcPr>
          <w:p>
            <w:pPr>
              <w:jc w:val="right"/>
              <w:ind w:right="41"/>
              <w:spacing w:after="0" w:line="194" w:lineRule="exact"/>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20"/>
                <w:szCs w:val="20"/>
                <w:color w:val="auto"/>
              </w:rPr>
              <w:t>13,752</w:t>
            </w:r>
          </w:p>
        </w:tc>
      </w:tr>
      <w:tr>
        <w:trPr>
          <w:trHeight w:val="20"/>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-675640</wp:posOffset>
            </wp:positionV>
            <wp:extent cx="153225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4">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-192405</wp:posOffset>
            </wp:positionV>
            <wp:extent cx="153225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5">
                      <a:extLst>
                        <a:ext uri="{28A0092B-C50C-407E-A947-70E740481C1C}"/>
                      </a:extLst>
                    </a:blip>
                    <a:srcRect/>
                    <a:stretch>
                      <a:fillRect/>
                    </a:stretch>
                  </pic:blipFill>
                  <pic:spPr bwMode="auto">
                    <a:xfrm>
                      <a:off x="0" y="0"/>
                      <a:ext cx="1532255" cy="254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Debt</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November 2020, the Company entered into a term loan facility of up to $30.0 million (the “SVB Term Loan”), consisting of advances of $5.0 million funded at closing and $10.0 million and $15.0 million contingent upon achievement of certain clinical development milestones and other specified conditions.</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October 14, 2022 (the “2022 Effective Date”), the Company entered into a loan and security agreement with Oxford Finance Luxembourg S.À R.L. for an aggregate amount of up to $150.0 million (the “Oxford Term Loan”). The Oxford Term Loan provided for an initial term loan advance in an aggregate amount of $10.0 million funded on the 2022 Effective Date (the “Oxford Term A Loan”), and up to four additional term loan advances in an aggregate amount of $140.0 million, contingent upon the achievement of certain clinical and regulatory development milestones as well as other specified conditions. The proceeds from the Oxford Term Loan were used for general corporate and working capital purposes, and a portion of the proceeds of the Oxford Term A Loan were used to repay in full the existing outstanding indebtedness owed under the SVB Term Loan. On March 24, 2023, the Company received $10.0 million under the second term loan advance (the “Oxford Term B Loan”).</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On December 27, 2023 (the “2023 Effective Date”), the Company entered into a term loan facility of up to $400.0 million (the “2023 Term Loan” or “Loan Agreement”), consisting of a term loan advance in an aggregate</w:t>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F-16</w:t>
      </w:r>
    </w:p>
    <w:p>
      <w:pPr>
        <w:sectPr>
          <w:pgSz w:w="11880" w:h="15480" w:orient="portrait"/>
          <w:cols w:equalWidth="0" w:num="1">
            <w:col w:w="9320"/>
          </w:cols>
          <w:pgMar w:left="1280" w:top="324" w:right="1280" w:bottom="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amount of $50.0 million funded on the 2023 Effective Date (the “Term A Loan”) and four additional term loan advances subject to certain terms and conditions, as discussed below, in the amounts of $100.0 million (the “Term B Loan”), $75.0 million (the “Term C Loan”), $75.0 million (the “Term D Loan”) and $100.0 million (the “Term E Loan”). The 2023 Term Loan was entered into with Oxford Finance LLC, a Delaware limited liability company (“Oxford”), as collateral agent, and certain funds managed by Oxford and Hercules Capital, Inc. party thereto (collectively, the “Lenders”). The net proceeds of the 2023 Term Loan will be used for general corporate and working capital purposes.</w:t>
      </w:r>
    </w:p>
    <w:p>
      <w:pPr>
        <w:spacing w:after="0" w:line="8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Company received net proceeds from the Term A Loan of $28.4 million which primarily consisted of the Term A Loan proceeds of $50.0 million partially offset by the repayment, in full, of the existing outstanding indebtedness owed by the Company under the Oxford Term Loan of $20.0 million, lender and third-party fees related to the Loan Agreement of $1.4 million and interest amounts of $0.2 million.</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Based upon the Company’s accounting evaluation of the Loan Agreement, as well as the Oxford entities involved and terms of both the 2023 Term Loan and the Oxford Term Loan, the Company has applied modification accounting to the portion of the Term A Loan associated with Oxford. As such, no gain or loss is recorded upon the modification with the unamortized debt issuance costs at the 2023 Effective Date from the Oxford Term Loans included as amounts the outstanding amount under the 2023 Term Loan. Additionally, certain fees included in the net proceeds were expensed based on the applicable guidance under ASC 470.</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portion of the Term A Loan associated with Hercules Capital, Inc. has been accounted for as the issuance of new debt with the applicable accounting applied under ASC 470.</w:t>
      </w:r>
    </w:p>
    <w:p>
      <w:pPr>
        <w:spacing w:after="0" w:line="59"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The Term B Loan will be available, subject to customary terms and conditions, during the period commencing on the date the Company receives approval from the United States Food and Drug Administration for its New Drug Application for ensifentrine through and including the earliest of (i) the date that is 30 days immediately following the date the Company receives such approval and (ii) September 15, 2024. The Term C Loan will be available, subject to customary terms and conditions (including the prior borrowing of the Term B Loan), during the period commencing on the later of (i) September 15, 2025 and (ii) prior to September 30, 2025, the achievement by the Company of a specified net sales milestone. The Term D Loan will be available, subject to customary terms and conditions (including the prior borrowing of the Term C Loan), during the period commencing on the later of (i) February 15, 2026 and (ii) prior to March 31, 2026, the achievement by the Company of a specified net sales milestone. The Term E Loan will be available, subject to customary terms and conditions (including the prior borrowing of the Term D Loan) prior to June 1, 2028 at the Lenders sole discretion and upon the Company’s request.</w:t>
      </w:r>
    </w:p>
    <w:p>
      <w:pPr>
        <w:spacing w:after="0" w:line="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2023 Term Loan will mature on December 1, 2028. Each advance under the Loan Agreement accrues interest at a floating per annum rate (the “Basic Rate”) equal to (a) the greater of (i) the 1-Month CME Term SOFR (as defined in the Loan Agreement) reference rate on the last business day of the month that immediately precedes the month in which the interest will accrue and (ii) 5.34%, plus (b) 5.85%. Notwithstanding the foregoing, (i) in no event shall the Basic Rate (x) for the Term A Loan be less than 11.19% and (y) for each other 2023 Term Loan be less than the Basic Rate on the business day immediately prior to the funding date of such 2023 Term Loan, (ii) the Basic Rate for the Term A Loan for the period from the Effective Date through and including December 31, 2023 was 11.19% and (iii) the Basic Rate for each 2023 Term Loan shall not increase by more than 2.00% above the applicable Basic Rate as of the funding date of each such 2023 Term Loan. The 2023 Term Loan provides for interest-only payments on a monthly basis until the payment date immediately preceding June 1, 2028. Thereafter, amortization payments will be payable monthly in equal installments of principal plus monthly payments of accrued interest.</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repayment (whether at maturity, upon acceleration or by prepayment or otherwise), the Borrower shall make a final payment to the Lenders in the amount of 2.50% to 3.50% of the aggregate 2023 Term Loan advanced, depending on when a 2023 Term Loan is repaid (the “Final Payment”). The Borrower may prepay the 2023 Term Loan in full or in part provided that the Borrower (i) provides ten (10) days’ prior written notice to Oxford and the Lenders, (ii) pays on the date of such prepayment (A) all outstanding principal plus accrued and unpaid interest, (B) a prepayment fee of 2.00% of the 2023 Term Loan advanced if paid on or before December 27, 2025; 1.50% of the 2023 Term Loan advanced if paid after December 27, 2025 and before December 27, 2026; 1.00% of the 2023 Term Loan advanced if paid after December 27, 2026, (C) the Final Payment and (D) all other sums, if any, that shall become due and payable under the Loan Agreement, including interest at the default rate with respect to any past due amounts. Amounts outstanding during an event of default are payable upon the Required Lenders’ (as defined in the Loan Agreement) demand and shall accrue interest at an additional rate of 5.00% per annum and (iii) any partial prepayment of the 2023 Term Loans shall be in a denomination that is a whole number multiple of $5.0 million.</w:t>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F-17</w:t>
      </w:r>
    </w:p>
    <w:p>
      <w:pPr>
        <w:sectPr>
          <w:pgSz w:w="11880" w:h="15480" w:orient="portrait"/>
          <w:cols w:equalWidth="0" w:num="1">
            <w:col w:w="9320"/>
          </w:cols>
          <w:pgMar w:left="1280" w:top="324" w:right="1280" w:bottom="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2023 Term Loan is secured by a lien on substantially all of the assets of the Company, other than intellectual property, provided that a lien on intellectual property will be granted on the earlier of (i) the funding date of any 2023 Term Loan that would cause the aggregate principal amount of outstanding 2023 Term Loan drawn pursuant to the Loan Agreement to exceed $50.0 million and (ii) prior to the Borrower or the Company entering into a Permitted Royalty Financing (as defined in the Loan Agreement). The Company has also granted Oxford and the Lenders a negative pledge with respect to its intellectual property.</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Loan Agreement contains customary representations and warranties, covenants and events of default, including two financial covenants: (i) commencing on July 1, 2025, the Borrower is required to maintain certain levels of cash in the United States subject to control agreements in favor of Oxford; provided that such liquidity covenant shall not apply at any given time if the market capitalization of the Company at such time is at least $3.0 billion and (ii) commencing on September 30, 2025, the Borrower and the Company are required to maintain quarterly trailing six-month net product revenue from the sale of ensifentrine; provided that such revenue covenant will be waived at any time (x) the Borrower and the Company’s unrestricted cash balance on the last calendar day of each month during such quarter is equal to or greater than the product of 1.25 multiplied by the aggregate principal amount of outstanding 2023 Term Loan on such date, (y)(1) the Borrower and the Company’s unrestricted cash balance on the last calendar day of each month during such quarter is equal to or greater than the product of 0.5 multiplied by the aggregate principal amount of outstanding 2023 Term Loan on such date and (2) the average of the daily VWAP of the Company’s American Depositary Shares for each of the five trading days preceding the last trading day of each month during such quarter multiplied by the total number of issued and outstanding American Depositary Shares of the Company is at least $1.5 billion, or (z) the average of the daily VWAP of the Company’s American Depositary Shares for each of the five trading days preceding the last trading day of each month during such quarter multiplied by the total number of issued and outstanding American Depositary Shares of the Company is at least $3.0 billion. The Loan Agreement also contains other customary provisions, such as expense reimbursement, as well as indemnification rights for the benefit of Oxford and the Lenders.</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31, 2023 the interest rate was approximately 11% per annum and there was no material difference between the carrying value and the estimated fair value of the 2023 Term Loan.</w:t>
      </w: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color w:val="auto"/>
        </w:rPr>
        <w:t>Future principal payments, which exclude the end of term charge, in connection with the 2023 Term Loan as of</w:t>
      </w:r>
    </w:p>
    <w:p>
      <w:pPr>
        <w:spacing w:after="0"/>
        <w:rPr>
          <w:sz w:val="20"/>
          <w:szCs w:val="20"/>
          <w:color w:val="auto"/>
        </w:rPr>
      </w:pPr>
      <w:r>
        <w:rPr>
          <w:rFonts w:ascii="Arial" w:cs="Arial" w:eastAsia="Arial" w:hAnsi="Arial"/>
          <w:sz w:val="20"/>
          <w:szCs w:val="20"/>
          <w:color w:val="auto"/>
        </w:rPr>
        <w:t>December 31, 2023 are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820" w:type="dxa"/>
            <w:vAlign w:val="bottom"/>
            <w:shd w:val="clear" w:color="auto" w:fill="E6E6E6"/>
          </w:tcPr>
          <w:p>
            <w:pPr>
              <w:ind w:left="60"/>
              <w:spacing w:after="0"/>
              <w:rPr>
                <w:sz w:val="20"/>
                <w:szCs w:val="20"/>
                <w:color w:val="auto"/>
              </w:rPr>
            </w:pPr>
            <w:r>
              <w:rPr>
                <w:rFonts w:ascii="Arial" w:cs="Arial" w:eastAsia="Arial" w:hAnsi="Arial"/>
                <w:sz w:val="20"/>
                <w:szCs w:val="20"/>
                <w:color w:val="auto"/>
              </w:rPr>
              <w:t>2024</w:t>
            </w:r>
          </w:p>
        </w:tc>
        <w:tc>
          <w:tcPr>
            <w:tcW w:w="520" w:type="dxa"/>
            <w:vAlign w:val="bottom"/>
            <w:shd w:val="clear" w:color="auto" w:fill="E6E6E6"/>
          </w:tcPr>
          <w:p>
            <w:pPr>
              <w:jc w:val="right"/>
              <w:ind w:right="261"/>
              <w:spacing w:after="0"/>
              <w:rPr>
                <w:sz w:val="20"/>
                <w:szCs w:val="20"/>
                <w:color w:val="auto"/>
              </w:rPr>
            </w:pPr>
            <w:r>
              <w:rPr>
                <w:rFonts w:ascii="Arial" w:cs="Arial" w:eastAsia="Arial" w:hAnsi="Arial"/>
                <w:sz w:val="20"/>
                <w:szCs w:val="20"/>
                <w:color w:val="auto"/>
              </w:rPr>
              <w:t>$</w:t>
            </w: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54"/>
        </w:trPr>
        <w:tc>
          <w:tcPr>
            <w:tcW w:w="7820" w:type="dxa"/>
            <w:vAlign w:val="bottom"/>
          </w:tcPr>
          <w:p>
            <w:pPr>
              <w:ind w:left="60"/>
              <w:spacing w:after="0"/>
              <w:rPr>
                <w:sz w:val="20"/>
                <w:szCs w:val="20"/>
                <w:color w:val="auto"/>
              </w:rPr>
            </w:pPr>
            <w:r>
              <w:rPr>
                <w:rFonts w:ascii="Arial" w:cs="Arial" w:eastAsia="Arial" w:hAnsi="Arial"/>
                <w:sz w:val="20"/>
                <w:szCs w:val="20"/>
                <w:color w:val="auto"/>
              </w:rPr>
              <w:t>2025</w:t>
            </w: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4"/>
        </w:trPr>
        <w:tc>
          <w:tcPr>
            <w:tcW w:w="7820" w:type="dxa"/>
            <w:vAlign w:val="bottom"/>
            <w:shd w:val="clear" w:color="auto" w:fill="E6E6E6"/>
          </w:tcPr>
          <w:p>
            <w:pPr>
              <w:ind w:left="60"/>
              <w:spacing w:after="0"/>
              <w:rPr>
                <w:sz w:val="20"/>
                <w:szCs w:val="20"/>
                <w:color w:val="auto"/>
              </w:rPr>
            </w:pPr>
            <w:r>
              <w:rPr>
                <w:rFonts w:ascii="Arial" w:cs="Arial" w:eastAsia="Arial" w:hAnsi="Arial"/>
                <w:sz w:val="20"/>
                <w:szCs w:val="20"/>
                <w:color w:val="auto"/>
              </w:rPr>
              <w:t>2026</w:t>
            </w:r>
          </w:p>
        </w:tc>
        <w:tc>
          <w:tcPr>
            <w:tcW w:w="520" w:type="dxa"/>
            <w:vAlign w:val="bottom"/>
            <w:shd w:val="clear" w:color="auto" w:fill="E6E6E6"/>
          </w:tcPr>
          <w:p>
            <w:pPr>
              <w:spacing w:after="0"/>
              <w:rPr>
                <w:sz w:val="22"/>
                <w:szCs w:val="22"/>
                <w:color w:val="auto"/>
              </w:rPr>
            </w:pPr>
          </w:p>
        </w:tc>
        <w:tc>
          <w:tcPr>
            <w:tcW w:w="9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54"/>
        </w:trPr>
        <w:tc>
          <w:tcPr>
            <w:tcW w:w="7820" w:type="dxa"/>
            <w:vAlign w:val="bottom"/>
          </w:tcPr>
          <w:p>
            <w:pPr>
              <w:ind w:left="60"/>
              <w:spacing w:after="0"/>
              <w:rPr>
                <w:sz w:val="20"/>
                <w:szCs w:val="20"/>
                <w:color w:val="auto"/>
              </w:rPr>
            </w:pPr>
            <w:r>
              <w:rPr>
                <w:rFonts w:ascii="Arial" w:cs="Arial" w:eastAsia="Arial" w:hAnsi="Arial"/>
                <w:sz w:val="20"/>
                <w:szCs w:val="20"/>
                <w:color w:val="auto"/>
              </w:rPr>
              <w:t>2027</w:t>
            </w: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64"/>
        </w:trPr>
        <w:tc>
          <w:tcPr>
            <w:tcW w:w="782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2028</w:t>
            </w:r>
          </w:p>
        </w:tc>
        <w:tc>
          <w:tcPr>
            <w:tcW w:w="520" w:type="dxa"/>
            <w:vAlign w:val="bottom"/>
            <w:tcBorders>
              <w:bottom w:val="single" w:sz="8" w:color="auto"/>
            </w:tcBorders>
            <w:shd w:val="clear" w:color="auto" w:fill="E6E6E6"/>
          </w:tcPr>
          <w:p>
            <w:pPr>
              <w:spacing w:after="0"/>
              <w:rPr>
                <w:sz w:val="22"/>
                <w:szCs w:val="22"/>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50,000</w:t>
            </w:r>
          </w:p>
        </w:tc>
      </w:tr>
      <w:tr>
        <w:trPr>
          <w:trHeight w:val="194"/>
        </w:trPr>
        <w:tc>
          <w:tcPr>
            <w:tcW w:w="7820" w:type="dxa"/>
            <w:vAlign w:val="bottom"/>
          </w:tcPr>
          <w:p>
            <w:pPr>
              <w:ind w:left="60"/>
              <w:spacing w:after="0" w:line="194" w:lineRule="exact"/>
              <w:rPr>
                <w:sz w:val="20"/>
                <w:szCs w:val="20"/>
                <w:color w:val="auto"/>
              </w:rPr>
            </w:pPr>
            <w:r>
              <w:rPr>
                <w:rFonts w:ascii="Arial" w:cs="Arial" w:eastAsia="Arial" w:hAnsi="Arial"/>
                <w:sz w:val="20"/>
                <w:szCs w:val="20"/>
                <w:b w:val="1"/>
                <w:bCs w:val="1"/>
                <w:color w:val="auto"/>
              </w:rPr>
              <w:t>Total</w:t>
            </w:r>
          </w:p>
        </w:tc>
        <w:tc>
          <w:tcPr>
            <w:tcW w:w="520" w:type="dxa"/>
            <w:vAlign w:val="bottom"/>
            <w:tcBorders>
              <w:bottom w:val="single" w:sz="8" w:color="auto"/>
            </w:tcBorders>
          </w:tcPr>
          <w:p>
            <w:pPr>
              <w:jc w:val="right"/>
              <w:ind w:right="261"/>
              <w:spacing w:after="0" w:line="194"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20"/>
                <w:szCs w:val="20"/>
                <w:color w:val="auto"/>
              </w:rPr>
              <w:t>50,000</w:t>
            </w:r>
          </w:p>
        </w:tc>
      </w:tr>
      <w:tr>
        <w:trPr>
          <w:trHeight w:val="20"/>
        </w:trPr>
        <w:tc>
          <w:tcPr>
            <w:tcW w:w="7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4955540</wp:posOffset>
            </wp:positionH>
            <wp:positionV relativeFrom="paragraph">
              <wp:posOffset>-192405</wp:posOffset>
            </wp:positionV>
            <wp:extent cx="97345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6">
                      <a:extLst>
                        <a:ext uri="{28A0092B-C50C-407E-A947-70E740481C1C}"/>
                      </a:extLst>
                    </a:blip>
                    <a:srcRect/>
                    <a:stretch>
                      <a:fillRect/>
                    </a:stretch>
                  </pic:blipFill>
                  <pic:spPr bwMode="auto">
                    <a:xfrm>
                      <a:off x="0" y="0"/>
                      <a:ext cx="973455" cy="25400"/>
                    </a:xfrm>
                    <a:prstGeom prst="rect">
                      <a:avLst/>
                    </a:prstGeom>
                    <a:noFill/>
                  </pic:spPr>
                </pic:pic>
              </a:graphicData>
            </a:graphic>
          </wp:anchor>
        </w:drawing>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F-18</w:t>
      </w:r>
    </w:p>
    <w:p>
      <w:pPr>
        <w:sectPr>
          <w:pgSz w:w="11880" w:h="15480" w:orient="portrait"/>
          <w:cols w:equalWidth="0" w:num="1">
            <w:col w:w="9320"/>
          </w:cols>
          <w:pgMar w:left="1280" w:top="324" w:right="1280" w:bottom="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Significant agreements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Ligand agreement</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2006 the Company acquired Rhinopharma and assumed contingent liabilities owed to Ligand UK Development Limited (“Ligand”) (formerly Vernalis Development Limited). The Company refers to the assignment and license agreement as the Ligand Agreement.</w:t>
      </w:r>
    </w:p>
    <w:p>
      <w:pPr>
        <w:spacing w:after="0" w:line="7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Ligand assigned to the Company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50"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The Company is obligated to pay a milestone payment of £5.0 million on obtaining the first approval of any regulatory authority for the commercialization of a Ligand Licensed Product, low single digit royalties based on the future sales performance of all Ligand Licensed Products and a portion equal to a mid-twenty percent of any consideration received from any sub-licensees for the Ligand Patents and for Ligand know-how. Royalties payable are based on the future sales performance so the amount payable is unlimited.</w:t>
      </w:r>
    </w:p>
    <w:p>
      <w:pPr>
        <w:spacing w:after="0" w:line="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the time each contingency is resolved, the Company will record the contingent consideration payment (or payable) in connection with the Ligand Agreement as an expense.</w:t>
      </w:r>
    </w:p>
    <w:p>
      <w:pPr>
        <w:spacing w:after="0" w:line="5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March 2022, the Company entered into an Amendment Agreement (the “Amendment”) with Ligand whereby the Ligand Agreement was amended to clarify certain ambiguous terms in the Ligand Agreement. Pursuant to the Amendment:</w:t>
      </w:r>
    </w:p>
    <w:p>
      <w:pPr>
        <w:spacing w:after="0" w:line="75" w:lineRule="exact"/>
        <w:rPr>
          <w:sz w:val="20"/>
          <w:szCs w:val="20"/>
          <w:color w:val="auto"/>
        </w:rPr>
      </w:pPr>
    </w:p>
    <w:p>
      <w:pPr>
        <w:jc w:val="both"/>
        <w:ind w:left="360" w:hanging="357"/>
        <w:spacing w:after="0" w:line="269" w:lineRule="auto"/>
        <w:tabs>
          <w:tab w:leader="none" w:pos="3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agreed to pay to Ligand (i) $2.0 million within five business days of the date of the Amendment and (ii) $15.0 million upon the first commercial sale of ensifentrine by the Company or a sub-licensee, which amount is payable in cash or, at the Company's discretion, by the issuance of Company equity of equivalent value, as determined based on the volume-weighted average price of the Company's American Depositary Shares on the Nasdaq Global Market over the ten (10) trading days including and prior to such milestone event;</w:t>
      </w:r>
    </w:p>
    <w:p>
      <w:pPr>
        <w:spacing w:after="0" w:line="53" w:lineRule="exact"/>
        <w:rPr>
          <w:rFonts w:ascii="Arial" w:cs="Arial" w:eastAsia="Arial" w:hAnsi="Arial"/>
          <w:sz w:val="18"/>
          <w:szCs w:val="18"/>
          <w:color w:val="auto"/>
        </w:rPr>
      </w:pPr>
    </w:p>
    <w:p>
      <w:pPr>
        <w:ind w:left="360" w:hanging="357"/>
        <w:spacing w:after="0" w:line="260" w:lineRule="auto"/>
        <w:tabs>
          <w:tab w:leader="none" w:pos="3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Ligand Agreement shall expire on March 24, 2042 unless terminated earlier by either party in accordance with its terms;</w:t>
      </w:r>
    </w:p>
    <w:p>
      <w:pPr>
        <w:spacing w:after="0" w:line="5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upon termination of the Ligand Agreement, any Sub-licensee (as defined in the Amendment) shall have the right to enter into a direct license agreement with Ligand for the portion of the Program IP (as defined in the Amendment) that was sub-licensed by such Sub-licensee;</w:t>
      </w:r>
    </w:p>
    <w:p>
      <w:pPr>
        <w:spacing w:after="0" w:line="74" w:lineRule="exact"/>
        <w:rPr>
          <w:rFonts w:ascii="Arial" w:cs="Arial" w:eastAsia="Arial" w:hAnsi="Arial"/>
          <w:sz w:val="20"/>
          <w:szCs w:val="20"/>
          <w:color w:val="auto"/>
        </w:rPr>
      </w:pPr>
    </w:p>
    <w:p>
      <w:pPr>
        <w:ind w:left="360" w:hanging="357"/>
        <w:spacing w:after="0" w:line="260" w:lineRule="auto"/>
        <w:tabs>
          <w:tab w:leader="none" w:pos="3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the milestone payment may be paid in cash or, at the Company’s discretion, by issuing to Ligand shares in the Company of equivalent value; and</w:t>
      </w:r>
    </w:p>
    <w:p>
      <w:pPr>
        <w:spacing w:after="0" w:line="58" w:lineRule="exact"/>
        <w:rPr>
          <w:rFonts w:ascii="Arial" w:cs="Arial" w:eastAsia="Arial" w:hAnsi="Arial"/>
          <w:sz w:val="20"/>
          <w:szCs w:val="20"/>
          <w:color w:val="auto"/>
        </w:rPr>
      </w:pPr>
    </w:p>
    <w:p>
      <w:pPr>
        <w:jc w:val="both"/>
        <w:ind w:left="360" w:hanging="357"/>
        <w:spacing w:after="0" w:line="244" w:lineRule="auto"/>
        <w:tabs>
          <w:tab w:leader="none" w:pos="3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each party’s right to terminate the Ligand Agreement is conditioned upon such party obtaining a final judgment of the English High Court declaring that the other party is in material breach of its obligations under the Ligand Agreement.</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accounted for the $2.0 million payment at execution of the Amendment as selling, general and administrative expense in the consolidated statements of operations and comprehensive loss as the payment is related to a contract modification.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Nuance agreement</w:t>
      </w:r>
    </w:p>
    <w:p>
      <w:pPr>
        <w:spacing w:after="0" w:line="111"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Company entered into a collaboration and license agreement (the “Nuance Agreement”) with Nuance Pharma Limited (“Nuance Pharma”) effective June 9, 2021 (the “Nuance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Nuance Effective Date, in Nuance Biotech, the parent company of Nuance Pharma. The Company is eligible to receive future milestone payments of up to $179.0 million triggered upon achievement of certain clinical, regulatory, and commercial milestones, as well as tiered double-digit royalties as a percentage of net sales of the products in Greater China. The Company will recognize these milestones when it is probable that a significant revenue reversal would not occur.</w:t>
      </w:r>
    </w:p>
    <w:p>
      <w:pPr>
        <w:spacing w:after="0" w:line="78" w:lineRule="exact"/>
        <w:rPr>
          <w:sz w:val="20"/>
          <w:szCs w:val="20"/>
          <w:color w:val="auto"/>
        </w:rPr>
      </w:pPr>
    </w:p>
    <w:p>
      <w:pPr>
        <w:jc w:val="both"/>
        <w:spacing w:after="0" w:line="348" w:lineRule="auto"/>
        <w:rPr>
          <w:sz w:val="20"/>
          <w:szCs w:val="20"/>
          <w:color w:val="auto"/>
        </w:rPr>
      </w:pPr>
      <w:r>
        <w:rPr>
          <w:rFonts w:ascii="Arial" w:cs="Arial" w:eastAsia="Arial" w:hAnsi="Arial"/>
          <w:sz w:val="17"/>
          <w:szCs w:val="17"/>
          <w:color w:val="auto"/>
        </w:rPr>
        <w:t>As of December 31, 2023, the $15.0 million equity interest was recorded as Equity interest on the Consolidated Balance Sheet. The equity interest is recorded at cost as the Company has elected to use the measurement alternative</w:t>
      </w:r>
    </w:p>
    <w:p>
      <w:pPr>
        <w:sectPr>
          <w:pgSz w:w="11880" w:h="15480" w:orient="portrait"/>
          <w:cols w:equalWidth="0" w:num="1">
            <w:col w:w="9320"/>
          </w:cols>
          <w:pgMar w:left="1280" w:top="324" w:right="1280" w:bottom="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F-19</w:t>
      </w:r>
    </w:p>
    <w:p>
      <w:pPr>
        <w:sectPr>
          <w:pgSz w:w="11880" w:h="15480" w:orient="portrait"/>
          <w:cols w:equalWidth="0" w:num="1">
            <w:col w:w="9320"/>
          </w:cols>
          <w:pgMar w:left="1280" w:top="324" w:right="1280" w:bottom="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for equity investments without readily determinable fair values. The Company evaluates this investment for indicators of impairment quarterly. The Company did not identify events or changes in circumstances that may have a significant effect on the fair value of the investment during the year ended December 31, 2023.</w:t>
      </w:r>
    </w:p>
    <w:p>
      <w:pPr>
        <w:spacing w:after="0" w:line="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Under the terms of the Nuance Agreement, at any time until three months prior to the expected submission of the first New Drug Application in Greater China, if (i) a third party is interested in partnering with the Company, either globally or in territory covering at least the United States or Europe, for the development and/or commercialization of ensifentrine or (ii) the Company undergoes a change of control, the Company will have an exclusive option right to buy back the license granted to Nuance Pharma and all related assets. The price is agreed to be equal to the aggregate of (i) all prior amounts paid by Nuance Pharma to the Company in cash under the agreement and (ii) all development and regulatory costs incurred and paid by Nuance Pharma in connection with the development and commercialization of ensifentrine under the Nuance Agreement multiplied by a single-digit factor range dependent upon achievement of certain milestones, subject to a specified maximum amount.</w:t>
      </w:r>
    </w:p>
    <w:p>
      <w:pPr>
        <w:spacing w:after="0" w:line="6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5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reviewed the buy-back option and determined that because it is conditional on a third party the Company does not have the practical ability to exercise it and, accordingly, the contract is accounted for under ASC 606.</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On April 13, 2022, the Company formalized the Agreement for the Manufacture and Supply of ensifentrine (“Nuance Supply Agreement”) with Nuance Pharma. The Company determined that the manufacturing and supply of ensifentrine to Nuance represents a distinct and separate performance obligation, for which consideration to be received is variable based on the quantities to be ordered by Nuance. Revenue earned with the manufacture and supply of the licensed product is, and will be, recognized as the supply is delivered to Nuance. The Company has determined it is acting as principal in relation to the manufacture and supply under the Agreement. In its capacity as principal, the Company will recognize the associated revenue on a gross basis. In the year ended December 31, 2022, the Company recognized $0.5 million of revenue in relation to the clinical supply of ensifentrine to Nuance Pharma.</w:t>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F-20</w:t>
      </w:r>
    </w:p>
    <w:p>
      <w:pPr>
        <w:sectPr>
          <w:pgSz w:w="11880" w:h="15480" w:orient="portrait"/>
          <w:cols w:equalWidth="0" w:num="1">
            <w:col w:w="9320"/>
          </w:cols>
          <w:pgMar w:left="1280" w:top="324" w:right="1280" w:bottom="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Share-based compensation</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operates various share based incentive plans for its staff and issues ordinary shares or ADSs when share-based awards are exercised.</w:t>
      </w:r>
    </w:p>
    <w:p>
      <w:pPr>
        <w:spacing w:after="0" w:line="5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 records share-based compensation expense related to share options and RSUs granted to employees and directors. The expense is included in Research and development and Selling, general and administrative costs, based on the nature of individual employees’ functions, and represents the relevant year's allocation of the expense. The costs of share-based compensation to employees are recognized in the Consolidated Statements of Operations and Comprehensive Loss, together with a corresponding increase in equity over the vesting period.</w:t>
      </w:r>
    </w:p>
    <w:p>
      <w:pPr>
        <w:spacing w:after="0" w:line="5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Options are issued with an exercise price of the closing market price on the day before the grant and generally vest over a period of one to four years and the contractual life of all options is ten years.</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shows the allocation of share-based compensation between research and development and selling, general and administrative costs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6"/>
                <w:szCs w:val="16"/>
                <w:b w:val="1"/>
                <w:bCs w:val="1"/>
                <w:color w:val="auto"/>
              </w:rPr>
              <w:t>December 31,</w:t>
            </w:r>
          </w:p>
        </w:tc>
      </w:tr>
      <w:tr>
        <w:trPr>
          <w:trHeight w:val="219"/>
        </w:trPr>
        <w:tc>
          <w:tcPr>
            <w:tcW w:w="694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2022</w:t>
            </w:r>
          </w:p>
        </w:tc>
      </w:tr>
      <w:tr>
        <w:trPr>
          <w:trHeight w:val="274"/>
        </w:trPr>
        <w:tc>
          <w:tcPr>
            <w:tcW w:w="6940" w:type="dxa"/>
            <w:vAlign w:val="bottom"/>
            <w:shd w:val="clear" w:color="auto" w:fill="E6E6E6"/>
          </w:tcPr>
          <w:p>
            <w:pPr>
              <w:ind w:left="60"/>
              <w:spacing w:after="0"/>
              <w:rPr>
                <w:sz w:val="20"/>
                <w:szCs w:val="20"/>
                <w:color w:val="auto"/>
              </w:rPr>
            </w:pPr>
            <w:r>
              <w:rPr>
                <w:rFonts w:ascii="Arial" w:cs="Arial" w:eastAsia="Arial" w:hAnsi="Arial"/>
                <w:sz w:val="20"/>
                <w:szCs w:val="20"/>
                <w:color w:val="auto"/>
              </w:rPr>
              <w:t>Research and development</w:t>
            </w:r>
          </w:p>
        </w:tc>
        <w:tc>
          <w:tcPr>
            <w:tcW w:w="280" w:type="dxa"/>
            <w:vAlign w:val="bottom"/>
            <w:shd w:val="clear" w:color="auto" w:fill="E6E6E6"/>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4,228</w:t>
            </w:r>
          </w:p>
        </w:tc>
        <w:tc>
          <w:tcPr>
            <w:tcW w:w="360" w:type="dxa"/>
            <w:vAlign w:val="bottom"/>
            <w:gridSpan w:val="2"/>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5,420</w:t>
            </w:r>
          </w:p>
        </w:tc>
      </w:tr>
      <w:tr>
        <w:trPr>
          <w:trHeight w:val="27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Selling, general and administrative</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14,784</w:t>
            </w:r>
          </w:p>
        </w:tc>
        <w:tc>
          <w:tcPr>
            <w:tcW w:w="60" w:type="dxa"/>
            <w:vAlign w:val="bottom"/>
            <w:tcBorders>
              <w:bottom w:val="single" w:sz="8" w:color="E6E6E6"/>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8,701</w:t>
            </w:r>
          </w:p>
        </w:tc>
      </w:tr>
      <w:tr>
        <w:trPr>
          <w:trHeight w:val="283"/>
        </w:trPr>
        <w:tc>
          <w:tcPr>
            <w:tcW w:w="6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b w:val="1"/>
                <w:bCs w:val="1"/>
                <w:color w:val="auto"/>
              </w:rPr>
              <w:t>Total share-based compensation</w:t>
            </w:r>
          </w:p>
        </w:tc>
        <w:tc>
          <w:tcPr>
            <w:tcW w:w="280" w:type="dxa"/>
            <w:vAlign w:val="bottom"/>
            <w:tcBorders>
              <w:bottom w:val="single" w:sz="8" w:color="auto"/>
            </w:tcBorders>
            <w:shd w:val="clear" w:color="auto" w:fill="E6E6E6"/>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19,012</w:t>
            </w:r>
          </w:p>
        </w:tc>
        <w:tc>
          <w:tcPr>
            <w:tcW w:w="60" w:type="dxa"/>
            <w:vAlign w:val="bottom"/>
            <w:tcBorders>
              <w:bottom w:val="single" w:sz="8" w:color="E6E6E6"/>
            </w:tcBorders>
            <w:shd w:val="clear" w:color="auto" w:fill="E6E6E6"/>
          </w:tcPr>
          <w:p>
            <w:pPr>
              <w:spacing w:after="0"/>
              <w:rPr>
                <w:sz w:val="24"/>
                <w:szCs w:val="24"/>
                <w:color w:val="auto"/>
              </w:rPr>
            </w:pPr>
          </w:p>
        </w:tc>
        <w:tc>
          <w:tcPr>
            <w:tcW w:w="300" w:type="dxa"/>
            <w:vAlign w:val="bottom"/>
            <w:tcBorders>
              <w:bottom w:val="single" w:sz="8" w:color="auto"/>
            </w:tcBorders>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14,121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-571500</wp:posOffset>
            </wp:positionV>
            <wp:extent cx="153225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7">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-210820</wp:posOffset>
            </wp:positionV>
            <wp:extent cx="153225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8">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-43815</wp:posOffset>
            </wp:positionV>
            <wp:extent cx="1532255"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9">
                      <a:extLst>
                        <a:ext uri="{28A0092B-C50C-407E-A947-70E740481C1C}"/>
                      </a:extLst>
                    </a:blip>
                    <a:srcRect/>
                    <a:stretch>
                      <a:fillRect/>
                    </a:stretch>
                  </pic:blipFill>
                  <pic:spPr bwMode="auto">
                    <a:xfrm>
                      <a:off x="0" y="0"/>
                      <a:ext cx="1532255" cy="5080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EMI Option Plan and Pre-IPO Option Plan</w:t>
      </w:r>
    </w:p>
    <w:p>
      <w:pPr>
        <w:spacing w:after="0" w:line="11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EMI Option Plan and the Pre-IPO Option Plan were adopted by our board of directors on September 18, 2006, and July 24, 2012, respectively. The total number of shares that may be issued under these plans is the current number of outstanding options over 114,000 ordinary shares, or 14,250 ADSs, for the EMI Option Plan and 1,320,000 ordinary shares, or 165,000 ADSs, for the Pre-IPO Option Plan.</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 further awards have been granted under either plan since the 2017 Incentive Award Plan was adopted, and no further awards will be granted under them.</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2017 Incentive Award Plan</w:t>
      </w:r>
    </w:p>
    <w:p>
      <w:pPr>
        <w:spacing w:after="0" w:line="116"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2017 Incentive Award Plan was adopted by our board of directors and became effective on April 26, 2017, in order to grant share based compensation to certain of the Company’s directors and employees. It provides for the grant of stock options, RSUs, and other share-based awards to Company’s directors, officers, employees and non-employee directors.</w:t>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F-21</w:t>
      </w:r>
    </w:p>
    <w:p>
      <w:pPr>
        <w:sectPr>
          <w:pgSz w:w="11880" w:h="15480" w:orient="portrait"/>
          <w:cols w:equalWidth="0" w:num="1">
            <w:col w:w="9320"/>
          </w:cols>
          <w:pgMar w:left="1280" w:top="324" w:right="1280" w:bottom="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 option activity</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number of options, the weighted average grant date fair value per stock option, and the weighted average exercise price are all shown below on a per ordinary shares basis. The Company’s ADSs that are listed on the Nasdaq Global Market each represent eight ordinary shares.</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share option activity and includes the options outstanding from all three plans: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07"/>
              <w:spacing w:after="0"/>
              <w:rPr>
                <w:sz w:val="20"/>
                <w:szCs w:val="20"/>
                <w:color w:val="auto"/>
              </w:rPr>
            </w:pPr>
            <w:r>
              <w:rPr>
                <w:rFonts w:ascii="Arial" w:cs="Arial" w:eastAsia="Arial" w:hAnsi="Arial"/>
                <w:sz w:val="16"/>
                <w:szCs w:val="16"/>
                <w:b w:val="1"/>
                <w:bCs w:val="1"/>
                <w:color w:val="auto"/>
                <w:w w:val="91"/>
              </w:rPr>
              <w:t>Weighted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5"/>
              </w:rPr>
              <w:t>average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07"/>
              <w:spacing w:after="0"/>
              <w:rPr>
                <w:sz w:val="20"/>
                <w:szCs w:val="20"/>
                <w:color w:val="auto"/>
              </w:rPr>
            </w:pPr>
            <w:r>
              <w:rPr>
                <w:rFonts w:ascii="Arial" w:cs="Arial" w:eastAsia="Arial" w:hAnsi="Arial"/>
                <w:sz w:val="16"/>
                <w:szCs w:val="16"/>
                <w:b w:val="1"/>
                <w:bCs w:val="1"/>
                <w:color w:val="auto"/>
                <w:w w:val="89"/>
              </w:rPr>
              <w:t>average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1"/>
              </w:rPr>
              <w:t>remaining</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68"/>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77"/>
        </w:trPr>
        <w:tc>
          <w:tcPr>
            <w:tcW w:w="4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jc w:val="right"/>
              <w:ind w:right="107"/>
              <w:spacing w:after="0" w:line="178" w:lineRule="exact"/>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2"/>
          </w:tcPr>
          <w:p>
            <w:pPr>
              <w:jc w:val="center"/>
              <w:spacing w:after="0" w:line="178" w:lineRule="exact"/>
              <w:rPr>
                <w:sz w:val="20"/>
                <w:szCs w:val="20"/>
                <w:color w:val="auto"/>
              </w:rPr>
            </w:pPr>
            <w:r>
              <w:rPr>
                <w:rFonts w:ascii="Arial" w:cs="Arial" w:eastAsia="Arial" w:hAnsi="Arial"/>
                <w:sz w:val="16"/>
                <w:szCs w:val="16"/>
                <w:b w:val="1"/>
                <w:bCs w:val="1"/>
                <w:color w:val="auto"/>
                <w:w w:val="86"/>
              </w:rPr>
              <w:t>exercise price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w w:val="90"/>
              </w:rPr>
              <w:t>contractual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jc w:val="center"/>
              <w:spacing w:after="0" w:line="178" w:lineRule="exact"/>
              <w:rPr>
                <w:sz w:val="20"/>
                <w:szCs w:val="20"/>
                <w:color w:val="auto"/>
              </w:rPr>
            </w:pPr>
            <w:r>
              <w:rPr>
                <w:rFonts w:ascii="Arial" w:cs="Arial" w:eastAsia="Arial" w:hAnsi="Arial"/>
                <w:sz w:val="16"/>
                <w:szCs w:val="16"/>
                <w:b w:val="1"/>
                <w:bCs w:val="1"/>
                <w:color w:val="auto"/>
                <w:w w:val="89"/>
              </w:rPr>
              <w:t>intrinsic value</w:t>
            </w:r>
          </w:p>
        </w:tc>
        <w:tc>
          <w:tcPr>
            <w:tcW w:w="0" w:type="dxa"/>
            <w:vAlign w:val="bottom"/>
          </w:tcPr>
          <w:p>
            <w:pPr>
              <w:spacing w:after="0"/>
              <w:rPr>
                <w:sz w:val="1"/>
                <w:szCs w:val="1"/>
                <w:color w:val="auto"/>
              </w:rPr>
            </w:pPr>
          </w:p>
        </w:tc>
      </w:tr>
      <w:tr>
        <w:trPr>
          <w:trHeight w:val="136"/>
        </w:trPr>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vMerge w:val="restart"/>
          </w:tcPr>
          <w:p>
            <w:pPr>
              <w:jc w:val="right"/>
              <w:ind w:right="27"/>
              <w:spacing w:after="0"/>
              <w:rPr>
                <w:sz w:val="20"/>
                <w:szCs w:val="20"/>
                <w:color w:val="auto"/>
              </w:rPr>
            </w:pPr>
            <w:r>
              <w:rPr>
                <w:rFonts w:ascii="Arial" w:cs="Arial" w:eastAsia="Arial" w:hAnsi="Arial"/>
                <w:sz w:val="16"/>
                <w:szCs w:val="16"/>
                <w:b w:val="1"/>
                <w:bCs w:val="1"/>
                <w:color w:val="auto"/>
                <w:w w:val="93"/>
              </w:rPr>
              <w:t>share options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87"/>
              <w:spacing w:after="0"/>
              <w:rPr>
                <w:sz w:val="20"/>
                <w:szCs w:val="20"/>
                <w:color w:val="auto"/>
              </w:rPr>
            </w:pPr>
            <w:r>
              <w:rPr>
                <w:rFonts w:ascii="Arial" w:cs="Arial" w:eastAsia="Arial" w:hAnsi="Arial"/>
                <w:sz w:val="10"/>
                <w:szCs w:val="10"/>
                <w:b w:val="1"/>
                <w:bCs w:val="1"/>
                <w:color w:val="auto"/>
                <w:w w:val="97"/>
              </w:rPr>
              <w:t>(1)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term (years)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center"/>
              <w:ind w:right="88"/>
              <w:spacing w:after="0"/>
              <w:rPr>
                <w:sz w:val="20"/>
                <w:szCs w:val="20"/>
                <w:color w:val="auto"/>
              </w:rPr>
            </w:pPr>
            <w:r>
              <w:rPr>
                <w:rFonts w:ascii="Arial" w:cs="Arial" w:eastAsia="Arial" w:hAnsi="Arial"/>
                <w:sz w:val="16"/>
                <w:szCs w:val="16"/>
                <w:b w:val="1"/>
                <w:bCs w:val="1"/>
                <w:color w:val="auto"/>
                <w:w w:val="87"/>
              </w:rPr>
              <w:t>(thousands)</w:t>
            </w:r>
          </w:p>
        </w:tc>
        <w:tc>
          <w:tcPr>
            <w:tcW w:w="0" w:type="dxa"/>
            <w:vAlign w:val="bottom"/>
          </w:tcPr>
          <w:p>
            <w:pPr>
              <w:spacing w:after="0"/>
              <w:rPr>
                <w:sz w:val="1"/>
                <w:szCs w:val="1"/>
                <w:color w:val="auto"/>
              </w:rPr>
            </w:pPr>
          </w:p>
        </w:tc>
      </w:tr>
      <w:tr>
        <w:trPr>
          <w:trHeight w:val="95"/>
        </w:trPr>
        <w:tc>
          <w:tcPr>
            <w:tcW w:w="4500" w:type="dxa"/>
            <w:vAlign w:val="bottom"/>
            <w:tcBorders>
              <w:bottom w:val="single" w:sz="8" w:color="E6E6E6"/>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80" w:type="dxa"/>
            <w:vAlign w:val="bottom"/>
            <w:tcBorders>
              <w:bottom w:val="single" w:sz="8" w:color="E6E6E6"/>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E6E6E6"/>
            </w:tcBorders>
          </w:tcPr>
          <w:p>
            <w:pPr>
              <w:spacing w:after="0"/>
              <w:rPr>
                <w:sz w:val="8"/>
                <w:szCs w:val="8"/>
                <w:color w:val="auto"/>
              </w:rPr>
            </w:pPr>
          </w:p>
        </w:tc>
        <w:tc>
          <w:tcPr>
            <w:tcW w:w="60" w:type="dxa"/>
            <w:vAlign w:val="bottom"/>
            <w:tcBorders>
              <w:bottom w:val="single" w:sz="8" w:color="E6E6E6"/>
            </w:tcBorders>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60" w:type="dxa"/>
            <w:vAlign w:val="bottom"/>
            <w:tcBorders>
              <w:bottom w:val="single" w:sz="8" w:color="E6E6E6"/>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Outstanding at January 1, 2022</w:t>
            </w:r>
          </w:p>
        </w:tc>
        <w:tc>
          <w:tcPr>
            <w:tcW w:w="11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12,695,200</w:t>
            </w:r>
          </w:p>
        </w:tc>
        <w:tc>
          <w:tcPr>
            <w:tcW w:w="80" w:type="dxa"/>
            <w:vAlign w:val="bottom"/>
            <w:shd w:val="clear" w:color="auto" w:fill="E6E6E6"/>
          </w:tcPr>
          <w:p>
            <w:pPr>
              <w:spacing w:after="0"/>
              <w:rPr>
                <w:sz w:val="21"/>
                <w:szCs w:val="21"/>
                <w:color w:val="auto"/>
              </w:rPr>
            </w:pP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1.38</w:t>
            </w: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6.5</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500" w:type="dxa"/>
            <w:vAlign w:val="bottom"/>
          </w:tcPr>
          <w:p>
            <w:pPr>
              <w:ind w:left="60"/>
              <w:spacing w:after="0"/>
              <w:rPr>
                <w:sz w:val="20"/>
                <w:szCs w:val="20"/>
                <w:color w:val="auto"/>
              </w:rPr>
            </w:pPr>
            <w:r>
              <w:rPr>
                <w:rFonts w:ascii="Arial" w:cs="Arial" w:eastAsia="Arial" w:hAnsi="Arial"/>
                <w:sz w:val="20"/>
                <w:szCs w:val="20"/>
                <w:color w:val="auto"/>
              </w:rPr>
              <w:t>Granted</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9,024,000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0.90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500" w:type="dxa"/>
            <w:vAlign w:val="bottom"/>
            <w:shd w:val="clear" w:color="auto" w:fill="E6E6E6"/>
          </w:tcPr>
          <w:p>
            <w:pPr>
              <w:ind w:left="60"/>
              <w:spacing w:after="0"/>
              <w:rPr>
                <w:sz w:val="20"/>
                <w:szCs w:val="20"/>
                <w:color w:val="auto"/>
              </w:rPr>
            </w:pPr>
            <w:r>
              <w:rPr>
                <w:rFonts w:ascii="Arial" w:cs="Arial" w:eastAsia="Arial" w:hAnsi="Arial"/>
                <w:sz w:val="20"/>
                <w:szCs w:val="20"/>
                <w:color w:val="auto"/>
              </w:rPr>
              <w:t>Forfeited</w:t>
            </w:r>
          </w:p>
        </w:tc>
        <w:tc>
          <w:tcPr>
            <w:tcW w:w="11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(620,016)</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1.04</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1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98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500" w:type="dxa"/>
            <w:vAlign w:val="bottom"/>
          </w:tcPr>
          <w:p>
            <w:pPr>
              <w:ind w:left="60"/>
              <w:spacing w:after="0"/>
              <w:rPr>
                <w:sz w:val="20"/>
                <w:szCs w:val="20"/>
                <w:color w:val="auto"/>
              </w:rPr>
            </w:pPr>
            <w:r>
              <w:rPr>
                <w:rFonts w:ascii="Arial" w:cs="Arial" w:eastAsia="Arial" w:hAnsi="Arial"/>
                <w:sz w:val="20"/>
                <w:szCs w:val="20"/>
                <w:color w:val="auto"/>
              </w:rPr>
              <w:t>Exercised</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(1,822,688)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0.75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500" w:type="dxa"/>
            <w:vAlign w:val="bottom"/>
            <w:tcBorders>
              <w:top w:val="single" w:sz="8" w:color="E6E6E6"/>
            </w:tcBorders>
            <w:shd w:val="clear" w:color="auto" w:fill="E6E6E6"/>
          </w:tcPr>
          <w:p>
            <w:pPr>
              <w:ind w:left="60"/>
              <w:spacing w:after="0" w:line="214" w:lineRule="exact"/>
              <w:rPr>
                <w:sz w:val="20"/>
                <w:szCs w:val="20"/>
                <w:color w:val="auto"/>
              </w:rPr>
            </w:pPr>
            <w:r>
              <w:rPr>
                <w:rFonts w:ascii="Arial" w:cs="Arial" w:eastAsia="Arial" w:hAnsi="Arial"/>
                <w:sz w:val="20"/>
                <w:szCs w:val="20"/>
                <w:b w:val="1"/>
                <w:bCs w:val="1"/>
                <w:color w:val="auto"/>
              </w:rPr>
              <w:t>Outstanding at December 31, 2022</w:t>
            </w:r>
          </w:p>
        </w:tc>
        <w:tc>
          <w:tcPr>
            <w:tcW w:w="20" w:type="dxa"/>
            <w:vAlign w:val="bottom"/>
            <w:tcBorders>
              <w:top w:val="single" w:sz="8" w:color="E6E6E6"/>
            </w:tcBorders>
            <w:shd w:val="clear" w:color="auto" w:fill="E6E6E6"/>
          </w:tcPr>
          <w:p>
            <w:pPr>
              <w:spacing w:after="0"/>
              <w:rPr>
                <w:sz w:val="22"/>
                <w:szCs w:val="22"/>
                <w:color w:val="auto"/>
              </w:rPr>
            </w:pPr>
          </w:p>
        </w:tc>
        <w:tc>
          <w:tcPr>
            <w:tcW w:w="1120" w:type="dxa"/>
            <w:vAlign w:val="bottom"/>
            <w:tcBorders>
              <w:top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19,276,496</w:t>
            </w:r>
          </w:p>
        </w:tc>
        <w:tc>
          <w:tcPr>
            <w:tcW w:w="80" w:type="dxa"/>
            <w:vAlign w:val="bottom"/>
            <w:tcBorders>
              <w:top w:val="single" w:sz="8" w:color="E6E6E6"/>
            </w:tcBorders>
            <w:shd w:val="clear" w:color="auto" w:fill="E6E6E6"/>
          </w:tcPr>
          <w:p>
            <w:pPr>
              <w:spacing w:after="0"/>
              <w:rPr>
                <w:sz w:val="22"/>
                <w:szCs w:val="22"/>
                <w:color w:val="auto"/>
              </w:rPr>
            </w:pPr>
          </w:p>
        </w:tc>
        <w:tc>
          <w:tcPr>
            <w:tcW w:w="200" w:type="dxa"/>
            <w:vAlign w:val="bottom"/>
            <w:tcBorders>
              <w:top w:val="single" w:sz="8" w:color="auto"/>
            </w:tcBorders>
            <w:gridSpan w:val="2"/>
            <w:shd w:val="clear" w:color="auto" w:fill="E6E6E6"/>
          </w:tcPr>
          <w:p>
            <w:pPr>
              <w:jc w:val="right"/>
              <w:spacing w:after="0" w:line="214"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1.22</w:t>
            </w:r>
          </w:p>
        </w:tc>
        <w:tc>
          <w:tcPr>
            <w:tcW w:w="20" w:type="dxa"/>
            <w:vAlign w:val="bottom"/>
            <w:tcBorders>
              <w:top w:val="single" w:sz="8" w:color="E6E6E6"/>
            </w:tcBorders>
            <w:shd w:val="clear" w:color="auto" w:fill="E6E6E6"/>
          </w:tcPr>
          <w:p>
            <w:pPr>
              <w:spacing w:after="0"/>
              <w:rPr>
                <w:sz w:val="22"/>
                <w:szCs w:val="22"/>
                <w:color w:val="auto"/>
              </w:rPr>
            </w:pPr>
          </w:p>
        </w:tc>
        <w:tc>
          <w:tcPr>
            <w:tcW w:w="60" w:type="dxa"/>
            <w:vAlign w:val="bottom"/>
            <w:tcBorders>
              <w:top w:val="single" w:sz="8" w:color="E6E6E6"/>
            </w:tcBorders>
            <w:shd w:val="clear" w:color="auto" w:fill="E6E6E6"/>
          </w:tcPr>
          <w:p>
            <w:pPr>
              <w:spacing w:after="0"/>
              <w:rPr>
                <w:sz w:val="22"/>
                <w:szCs w:val="22"/>
                <w:color w:val="auto"/>
              </w:rPr>
            </w:pPr>
          </w:p>
        </w:tc>
        <w:tc>
          <w:tcPr>
            <w:tcW w:w="1160" w:type="dxa"/>
            <w:vAlign w:val="bottom"/>
            <w:tcBorders>
              <w:top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7.2</w:t>
            </w:r>
          </w:p>
        </w:tc>
        <w:tc>
          <w:tcPr>
            <w:tcW w:w="60" w:type="dxa"/>
            <w:vAlign w:val="bottom"/>
            <w:tcBorders>
              <w:top w:val="single" w:sz="8" w:color="E6E6E6"/>
            </w:tcBorders>
            <w:shd w:val="clear" w:color="auto" w:fill="E6E6E6"/>
          </w:tcPr>
          <w:p>
            <w:pPr>
              <w:spacing w:after="0"/>
              <w:rPr>
                <w:sz w:val="22"/>
                <w:szCs w:val="22"/>
                <w:color w:val="auto"/>
              </w:rPr>
            </w:pPr>
          </w:p>
        </w:tc>
        <w:tc>
          <w:tcPr>
            <w:tcW w:w="180" w:type="dxa"/>
            <w:vAlign w:val="bottom"/>
            <w:tcBorders>
              <w:top w:val="single" w:sz="8" w:color="auto"/>
            </w:tcBorders>
            <w:gridSpan w:val="2"/>
            <w:shd w:val="clear" w:color="auto" w:fill="E6E6E6"/>
          </w:tcPr>
          <w:p>
            <w:pPr>
              <w:jc w:val="right"/>
              <w:spacing w:after="0" w:line="214"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39,412</w:t>
            </w:r>
          </w:p>
        </w:tc>
        <w:tc>
          <w:tcPr>
            <w:tcW w:w="0" w:type="dxa"/>
            <w:vAlign w:val="bottom"/>
          </w:tcPr>
          <w:p>
            <w:pPr>
              <w:spacing w:after="0"/>
              <w:rPr>
                <w:sz w:val="1"/>
                <w:szCs w:val="1"/>
                <w:color w:val="auto"/>
              </w:rPr>
            </w:pPr>
          </w:p>
        </w:tc>
      </w:tr>
      <w:tr>
        <w:trPr>
          <w:trHeight w:val="224"/>
        </w:trPr>
        <w:tc>
          <w:tcPr>
            <w:tcW w:w="4500" w:type="dxa"/>
            <w:vAlign w:val="bottom"/>
            <w:tcBorders>
              <w:top w:val="single" w:sz="8" w:color="E6E6E6"/>
            </w:tcBorders>
          </w:tcPr>
          <w:p>
            <w:pPr>
              <w:ind w:left="60"/>
              <w:spacing w:after="0" w:line="224" w:lineRule="exact"/>
              <w:rPr>
                <w:sz w:val="20"/>
                <w:szCs w:val="20"/>
                <w:color w:val="auto"/>
              </w:rPr>
            </w:pPr>
            <w:r>
              <w:rPr>
                <w:rFonts w:ascii="Arial" w:cs="Arial" w:eastAsia="Arial" w:hAnsi="Arial"/>
                <w:sz w:val="20"/>
                <w:szCs w:val="20"/>
                <w:color w:val="auto"/>
              </w:rPr>
              <w:t>Granted</w:t>
            </w:r>
          </w:p>
        </w:tc>
        <w:tc>
          <w:tcPr>
            <w:tcW w:w="20" w:type="dxa"/>
            <w:vAlign w:val="bottom"/>
            <w:tcBorders>
              <w:top w:val="single" w:sz="8" w:color="E6E6E6"/>
            </w:tcBorders>
          </w:tcPr>
          <w:p>
            <w:pPr>
              <w:spacing w:after="0"/>
              <w:rPr>
                <w:sz w:val="19"/>
                <w:szCs w:val="19"/>
                <w:color w:val="auto"/>
              </w:rPr>
            </w:pPr>
          </w:p>
        </w:tc>
        <w:tc>
          <w:tcPr>
            <w:tcW w:w="112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7,376,000</w:t>
            </w:r>
          </w:p>
        </w:tc>
        <w:tc>
          <w:tcPr>
            <w:tcW w:w="80" w:type="dxa"/>
            <w:vAlign w:val="bottom"/>
            <w:tcBorders>
              <w:top w:val="single" w:sz="8" w:color="E6E6E6"/>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line="224" w:lineRule="exact"/>
              <w:rPr>
                <w:sz w:val="20"/>
                <w:szCs w:val="20"/>
                <w:color w:val="auto"/>
              </w:rPr>
            </w:pPr>
            <w:r>
              <w:rPr>
                <w:rFonts w:ascii="Arial" w:cs="Arial" w:eastAsia="Arial" w:hAnsi="Arial"/>
                <w:sz w:val="20"/>
                <w:szCs w:val="20"/>
                <w:color w:val="auto"/>
              </w:rPr>
              <w:t>2.46</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60" w:type="dxa"/>
            <w:vAlign w:val="bottom"/>
            <w:tcBorders>
              <w:top w:val="single" w:sz="8" w:color="E6E6E6"/>
            </w:tcBorders>
          </w:tcPr>
          <w:p>
            <w:pPr>
              <w:spacing w:after="0"/>
              <w:rPr>
                <w:sz w:val="19"/>
                <w:szCs w:val="19"/>
                <w:color w:val="auto"/>
              </w:rPr>
            </w:pPr>
          </w:p>
        </w:tc>
        <w:tc>
          <w:tcPr>
            <w:tcW w:w="20" w:type="dxa"/>
            <w:vAlign w:val="bottom"/>
            <w:tcBorders>
              <w:top w:val="single" w:sz="8" w:color="E6E6E6"/>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500" w:type="dxa"/>
            <w:vAlign w:val="bottom"/>
            <w:shd w:val="clear" w:color="auto" w:fill="E6E6E6"/>
          </w:tcPr>
          <w:p>
            <w:pPr>
              <w:ind w:left="60"/>
              <w:spacing w:after="0"/>
              <w:rPr>
                <w:sz w:val="20"/>
                <w:szCs w:val="20"/>
                <w:color w:val="auto"/>
              </w:rPr>
            </w:pPr>
            <w:r>
              <w:rPr>
                <w:rFonts w:ascii="Arial" w:cs="Arial" w:eastAsia="Arial" w:hAnsi="Arial"/>
                <w:sz w:val="20"/>
                <w:szCs w:val="20"/>
                <w:color w:val="auto"/>
              </w:rPr>
              <w:t>Forfeited</w:t>
            </w:r>
          </w:p>
        </w:tc>
        <w:tc>
          <w:tcPr>
            <w:tcW w:w="11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(464,680)</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0.89</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1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98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500" w:type="dxa"/>
            <w:vAlign w:val="bottom"/>
          </w:tcPr>
          <w:p>
            <w:pPr>
              <w:ind w:left="60"/>
              <w:spacing w:after="0"/>
              <w:rPr>
                <w:sz w:val="20"/>
                <w:szCs w:val="20"/>
                <w:color w:val="auto"/>
              </w:rPr>
            </w:pPr>
            <w:r>
              <w:rPr>
                <w:rFonts w:ascii="Arial" w:cs="Arial" w:eastAsia="Arial" w:hAnsi="Arial"/>
                <w:sz w:val="20"/>
                <w:szCs w:val="20"/>
                <w:color w:val="auto"/>
              </w:rPr>
              <w:t>Expired</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(240,000)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3.07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500" w:type="dxa"/>
            <w:vAlign w:val="bottom"/>
            <w:shd w:val="clear" w:color="auto" w:fill="E6E6E6"/>
          </w:tcPr>
          <w:p>
            <w:pPr>
              <w:ind w:left="60"/>
              <w:spacing w:after="0"/>
              <w:rPr>
                <w:sz w:val="20"/>
                <w:szCs w:val="20"/>
                <w:color w:val="auto"/>
              </w:rPr>
            </w:pPr>
            <w:r>
              <w:rPr>
                <w:rFonts w:ascii="Arial" w:cs="Arial" w:eastAsia="Arial" w:hAnsi="Arial"/>
                <w:sz w:val="20"/>
                <w:szCs w:val="20"/>
                <w:color w:val="auto"/>
              </w:rPr>
              <w:t>Exercised</w:t>
            </w:r>
          </w:p>
        </w:tc>
        <w:tc>
          <w:tcPr>
            <w:tcW w:w="114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(1,258,192)</w:t>
            </w: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1.55</w:t>
            </w:r>
          </w:p>
        </w:tc>
        <w:tc>
          <w:tcPr>
            <w:tcW w:w="2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16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98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4500" w:type="dxa"/>
            <w:vAlign w:val="bottom"/>
            <w:tcBorders>
              <w:top w:val="single" w:sz="8" w:color="E6E6E6"/>
            </w:tcBorders>
          </w:tcPr>
          <w:p>
            <w:pPr>
              <w:ind w:left="60"/>
              <w:spacing w:after="0" w:line="194" w:lineRule="exact"/>
              <w:rPr>
                <w:sz w:val="20"/>
                <w:szCs w:val="20"/>
                <w:color w:val="auto"/>
              </w:rPr>
            </w:pPr>
            <w:r>
              <w:rPr>
                <w:rFonts w:ascii="Arial" w:cs="Arial" w:eastAsia="Arial" w:hAnsi="Arial"/>
                <w:sz w:val="20"/>
                <w:szCs w:val="20"/>
                <w:b w:val="1"/>
                <w:bCs w:val="1"/>
                <w:color w:val="auto"/>
              </w:rPr>
              <w:t>Outstanding at December 31, 2023</w:t>
            </w:r>
          </w:p>
        </w:tc>
        <w:tc>
          <w:tcPr>
            <w:tcW w:w="20" w:type="dxa"/>
            <w:vAlign w:val="bottom"/>
            <w:tcBorders>
              <w:top w:val="single" w:sz="8" w:color="E6E6E6"/>
            </w:tcBorders>
          </w:tcPr>
          <w:p>
            <w:pPr>
              <w:spacing w:after="0"/>
              <w:rPr>
                <w:sz w:val="20"/>
                <w:szCs w:val="20"/>
                <w:color w:val="auto"/>
              </w:rPr>
            </w:pPr>
          </w:p>
        </w:tc>
        <w:tc>
          <w:tcPr>
            <w:tcW w:w="11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20"/>
                <w:szCs w:val="20"/>
                <w:color w:val="auto"/>
              </w:rPr>
              <w:t>24,689,624</w:t>
            </w:r>
          </w:p>
        </w:tc>
        <w:tc>
          <w:tcPr>
            <w:tcW w:w="80" w:type="dxa"/>
            <w:vAlign w:val="bottom"/>
            <w:tcBorders>
              <w:top w:val="single" w:sz="8" w:color="E6E6E6"/>
            </w:tcBorders>
          </w:tcPr>
          <w:p>
            <w:pPr>
              <w:spacing w:after="0"/>
              <w:rPr>
                <w:sz w:val="20"/>
                <w:szCs w:val="20"/>
                <w:color w:val="auto"/>
              </w:rPr>
            </w:pPr>
          </w:p>
        </w:tc>
        <w:tc>
          <w:tcPr>
            <w:tcW w:w="200" w:type="dxa"/>
            <w:vAlign w:val="bottom"/>
            <w:tcBorders>
              <w:top w:val="single" w:sz="8" w:color="auto"/>
            </w:tcBorders>
            <w:gridSpan w:val="2"/>
          </w:tcPr>
          <w:p>
            <w:pPr>
              <w:jc w:val="right"/>
              <w:spacing w:after="0" w:line="194"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20"/>
                <w:szCs w:val="20"/>
                <w:color w:val="auto"/>
              </w:rPr>
              <w:t>1.56</w:t>
            </w: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E6E6E6"/>
            </w:tcBorders>
          </w:tcPr>
          <w:p>
            <w:pPr>
              <w:spacing w:after="0"/>
              <w:rPr>
                <w:sz w:val="20"/>
                <w:szCs w:val="20"/>
                <w:color w:val="auto"/>
              </w:rPr>
            </w:pPr>
          </w:p>
        </w:tc>
        <w:tc>
          <w:tcPr>
            <w:tcW w:w="11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20"/>
                <w:szCs w:val="20"/>
                <w:color w:val="auto"/>
              </w:rPr>
              <w:t>7.4</w:t>
            </w:r>
          </w:p>
        </w:tc>
        <w:tc>
          <w:tcPr>
            <w:tcW w:w="80" w:type="dxa"/>
            <w:vAlign w:val="bottom"/>
            <w:tcBorders>
              <w:top w:val="single" w:sz="8" w:color="E6E6E6"/>
            </w:tcBorders>
            <w:gridSpan w:val="2"/>
          </w:tcPr>
          <w:p>
            <w:pPr>
              <w:spacing w:after="0"/>
              <w:rPr>
                <w:sz w:val="20"/>
                <w:szCs w:val="20"/>
                <w:color w:val="auto"/>
              </w:rPr>
            </w:pPr>
          </w:p>
        </w:tc>
        <w:tc>
          <w:tcPr>
            <w:tcW w:w="1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20"/>
                <w:szCs w:val="20"/>
                <w:color w:val="auto"/>
              </w:rPr>
              <w:t>24,022</w:t>
            </w:r>
          </w:p>
        </w:tc>
        <w:tc>
          <w:tcPr>
            <w:tcW w:w="0" w:type="dxa"/>
            <w:vAlign w:val="bottom"/>
          </w:tcPr>
          <w:p>
            <w:pPr>
              <w:spacing w:after="0"/>
              <w:rPr>
                <w:sz w:val="1"/>
                <w:szCs w:val="1"/>
                <w:color w:val="auto"/>
              </w:rPr>
            </w:pPr>
          </w:p>
        </w:tc>
      </w:tr>
      <w:tr>
        <w:trPr>
          <w:trHeight w:val="224"/>
        </w:trPr>
        <w:tc>
          <w:tcPr>
            <w:tcW w:w="4500" w:type="dxa"/>
            <w:vAlign w:val="bottom"/>
            <w:tcBorders>
              <w:top w:val="single" w:sz="8" w:color="E6E6E6"/>
            </w:tcBorders>
            <w:shd w:val="clear" w:color="auto" w:fill="E6E6E6"/>
          </w:tcPr>
          <w:p>
            <w:pPr>
              <w:ind w:left="60"/>
              <w:spacing w:after="0" w:line="224" w:lineRule="exact"/>
              <w:rPr>
                <w:sz w:val="20"/>
                <w:szCs w:val="20"/>
                <w:color w:val="auto"/>
              </w:rPr>
            </w:pPr>
            <w:r>
              <w:rPr>
                <w:rFonts w:ascii="Arial" w:cs="Arial" w:eastAsia="Arial" w:hAnsi="Arial"/>
                <w:sz w:val="20"/>
                <w:szCs w:val="20"/>
                <w:b w:val="1"/>
                <w:bCs w:val="1"/>
                <w:color w:val="auto"/>
              </w:rPr>
              <w:t>Exercisable at December 31, 2023</w:t>
            </w:r>
          </w:p>
        </w:tc>
        <w:tc>
          <w:tcPr>
            <w:tcW w:w="20" w:type="dxa"/>
            <w:vAlign w:val="bottom"/>
            <w:tcBorders>
              <w:top w:val="single" w:sz="8" w:color="E6E6E6"/>
            </w:tcBorders>
            <w:shd w:val="clear" w:color="auto" w:fill="E6E6E6"/>
          </w:tcPr>
          <w:p>
            <w:pPr>
              <w:spacing w:after="0"/>
              <w:rPr>
                <w:sz w:val="19"/>
                <w:szCs w:val="19"/>
                <w:color w:val="auto"/>
              </w:rPr>
            </w:pPr>
          </w:p>
        </w:tc>
        <w:tc>
          <w:tcPr>
            <w:tcW w:w="1120" w:type="dxa"/>
            <w:vAlign w:val="bottom"/>
            <w:tcBorders>
              <w:top w:val="single" w:sz="8" w:color="auto"/>
            </w:tcBorders>
            <w:shd w:val="clear" w:color="auto" w:fill="E6E6E6"/>
          </w:tcPr>
          <w:p>
            <w:pPr>
              <w:jc w:val="right"/>
              <w:spacing w:after="0" w:line="224" w:lineRule="exact"/>
              <w:rPr>
                <w:sz w:val="20"/>
                <w:szCs w:val="20"/>
                <w:color w:val="auto"/>
              </w:rPr>
            </w:pPr>
            <w:r>
              <w:rPr>
                <w:rFonts w:ascii="Arial" w:cs="Arial" w:eastAsia="Arial" w:hAnsi="Arial"/>
                <w:sz w:val="20"/>
                <w:szCs w:val="20"/>
                <w:color w:val="auto"/>
              </w:rPr>
              <w:t>12,904,640</w:t>
            </w:r>
          </w:p>
        </w:tc>
        <w:tc>
          <w:tcPr>
            <w:tcW w:w="100" w:type="dxa"/>
            <w:vAlign w:val="bottom"/>
            <w:tcBorders>
              <w:top w:val="single" w:sz="8" w:color="E6E6E6"/>
            </w:tcBorders>
            <w:gridSpan w:val="2"/>
            <w:shd w:val="clear" w:color="auto" w:fill="E6E6E6"/>
          </w:tcPr>
          <w:p>
            <w:pPr>
              <w:spacing w:after="0"/>
              <w:rPr>
                <w:sz w:val="19"/>
                <w:szCs w:val="19"/>
                <w:color w:val="auto"/>
              </w:rPr>
            </w:pPr>
          </w:p>
        </w:tc>
        <w:tc>
          <w:tcPr>
            <w:tcW w:w="180" w:type="dxa"/>
            <w:vAlign w:val="bottom"/>
            <w:tcBorders>
              <w:top w:val="single" w:sz="8" w:color="auto"/>
            </w:tcBorders>
            <w:shd w:val="clear" w:color="auto" w:fill="E6E6E6"/>
          </w:tcPr>
          <w:p>
            <w:pPr>
              <w:jc w:val="right"/>
              <w:spacing w:after="0" w:line="224" w:lineRule="exact"/>
              <w:rPr>
                <w:sz w:val="20"/>
                <w:szCs w:val="20"/>
                <w:color w:val="auto"/>
              </w:rPr>
            </w:pPr>
            <w:r>
              <w:rPr>
                <w:rFonts w:ascii="Arial" w:cs="Arial" w:eastAsia="Arial" w:hAnsi="Arial"/>
                <w:sz w:val="20"/>
                <w:szCs w:val="20"/>
                <w:color w:val="auto"/>
              </w:rPr>
              <w:t>$</w:t>
            </w:r>
          </w:p>
        </w:tc>
        <w:tc>
          <w:tcPr>
            <w:tcW w:w="940" w:type="dxa"/>
            <w:vAlign w:val="bottom"/>
            <w:tcBorders>
              <w:top w:val="single" w:sz="8" w:color="auto"/>
            </w:tcBorders>
            <w:shd w:val="clear" w:color="auto" w:fill="E6E6E6"/>
          </w:tcPr>
          <w:p>
            <w:pPr>
              <w:jc w:val="right"/>
              <w:spacing w:after="0" w:line="224" w:lineRule="exact"/>
              <w:rPr>
                <w:sz w:val="20"/>
                <w:szCs w:val="20"/>
                <w:color w:val="auto"/>
              </w:rPr>
            </w:pPr>
            <w:r>
              <w:rPr>
                <w:rFonts w:ascii="Arial" w:cs="Arial" w:eastAsia="Arial" w:hAnsi="Arial"/>
                <w:sz w:val="20"/>
                <w:szCs w:val="20"/>
                <w:color w:val="auto"/>
              </w:rPr>
              <w:t>1.30</w:t>
            </w:r>
          </w:p>
        </w:tc>
        <w:tc>
          <w:tcPr>
            <w:tcW w:w="20" w:type="dxa"/>
            <w:vAlign w:val="bottom"/>
            <w:tcBorders>
              <w:top w:val="single" w:sz="8" w:color="auto"/>
            </w:tcBorders>
            <w:shd w:val="clear" w:color="auto" w:fill="E6E6E6"/>
          </w:tcPr>
          <w:p>
            <w:pPr>
              <w:spacing w:after="0"/>
              <w:rPr>
                <w:sz w:val="19"/>
                <w:szCs w:val="19"/>
                <w:color w:val="auto"/>
              </w:rPr>
            </w:pPr>
          </w:p>
        </w:tc>
        <w:tc>
          <w:tcPr>
            <w:tcW w:w="60" w:type="dxa"/>
            <w:vAlign w:val="bottom"/>
            <w:tcBorders>
              <w:top w:val="single" w:sz="8" w:color="E6E6E6"/>
            </w:tcBorders>
            <w:shd w:val="clear" w:color="auto" w:fill="E6E6E6"/>
          </w:tcPr>
          <w:p>
            <w:pPr>
              <w:spacing w:after="0"/>
              <w:rPr>
                <w:sz w:val="19"/>
                <w:szCs w:val="19"/>
                <w:color w:val="auto"/>
              </w:rPr>
            </w:pPr>
          </w:p>
        </w:tc>
        <w:tc>
          <w:tcPr>
            <w:tcW w:w="1160" w:type="dxa"/>
            <w:vAlign w:val="bottom"/>
            <w:tcBorders>
              <w:top w:val="single" w:sz="8" w:color="auto"/>
            </w:tcBorders>
            <w:shd w:val="clear" w:color="auto" w:fill="E6E6E6"/>
          </w:tcPr>
          <w:p>
            <w:pPr>
              <w:jc w:val="right"/>
              <w:spacing w:after="0" w:line="224" w:lineRule="exact"/>
              <w:rPr>
                <w:sz w:val="20"/>
                <w:szCs w:val="20"/>
                <w:color w:val="auto"/>
              </w:rPr>
            </w:pPr>
            <w:r>
              <w:rPr>
                <w:rFonts w:ascii="Arial" w:cs="Arial" w:eastAsia="Arial" w:hAnsi="Arial"/>
                <w:sz w:val="20"/>
                <w:szCs w:val="20"/>
                <w:color w:val="auto"/>
              </w:rPr>
              <w:t>5.8</w:t>
            </w:r>
          </w:p>
        </w:tc>
        <w:tc>
          <w:tcPr>
            <w:tcW w:w="80" w:type="dxa"/>
            <w:vAlign w:val="bottom"/>
            <w:tcBorders>
              <w:top w:val="single" w:sz="8" w:color="E6E6E6"/>
            </w:tcBorders>
            <w:gridSpan w:val="2"/>
            <w:shd w:val="clear" w:color="auto" w:fill="E6E6E6"/>
          </w:tcPr>
          <w:p>
            <w:pPr>
              <w:spacing w:after="0"/>
              <w:rPr>
                <w:sz w:val="19"/>
                <w:szCs w:val="19"/>
                <w:color w:val="auto"/>
              </w:rPr>
            </w:pPr>
          </w:p>
        </w:tc>
        <w:tc>
          <w:tcPr>
            <w:tcW w:w="160" w:type="dxa"/>
            <w:vAlign w:val="bottom"/>
            <w:tcBorders>
              <w:top w:val="single" w:sz="8" w:color="auto"/>
            </w:tcBorders>
            <w:shd w:val="clear" w:color="auto" w:fill="E6E6E6"/>
          </w:tcPr>
          <w:p>
            <w:pPr>
              <w:jc w:val="right"/>
              <w:spacing w:after="0" w:line="224" w:lineRule="exact"/>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shd w:val="clear" w:color="auto" w:fill="E6E6E6"/>
          </w:tcPr>
          <w:p>
            <w:pPr>
              <w:jc w:val="right"/>
              <w:spacing w:after="0" w:line="224" w:lineRule="exact"/>
              <w:rPr>
                <w:sz w:val="20"/>
                <w:szCs w:val="20"/>
                <w:color w:val="auto"/>
              </w:rPr>
            </w:pPr>
            <w:r>
              <w:rPr>
                <w:rFonts w:ascii="Arial" w:cs="Arial" w:eastAsia="Arial" w:hAnsi="Arial"/>
                <w:sz w:val="20"/>
                <w:szCs w:val="20"/>
                <w:color w:val="auto"/>
              </w:rPr>
              <w:t>15,574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-1784350</wp:posOffset>
            </wp:positionV>
            <wp:extent cx="308673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0">
                      <a:extLst>
                        <a:ext uri="{28A0092B-C50C-407E-A947-70E740481C1C}"/>
                      </a:extLst>
                    </a:blip>
                    <a:srcRect/>
                    <a:stretch>
                      <a:fillRect/>
                    </a:stretch>
                  </pic:blipFill>
                  <pic:spPr bwMode="auto">
                    <a:xfrm>
                      <a:off x="0" y="0"/>
                      <a:ext cx="3086735" cy="2540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-1139825</wp:posOffset>
            </wp:positionV>
            <wp:extent cx="308673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1">
                      <a:extLst>
                        <a:ext uri="{28A0092B-C50C-407E-A947-70E740481C1C}"/>
                      </a:extLst>
                    </a:blip>
                    <a:srcRect/>
                    <a:stretch>
                      <a:fillRect/>
                    </a:stretch>
                  </pic:blipFill>
                  <pic:spPr bwMode="auto">
                    <a:xfrm>
                      <a:off x="0" y="0"/>
                      <a:ext cx="3086735" cy="2540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-991235</wp:posOffset>
            </wp:positionV>
            <wp:extent cx="3086735"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2">
                      <a:extLst>
                        <a:ext uri="{28A0092B-C50C-407E-A947-70E740481C1C}"/>
                      </a:extLst>
                    </a:blip>
                    <a:srcRect/>
                    <a:stretch>
                      <a:fillRect/>
                    </a:stretch>
                  </pic:blipFill>
                  <pic:spPr bwMode="auto">
                    <a:xfrm>
                      <a:off x="0" y="0"/>
                      <a:ext cx="3086735" cy="5080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-334010</wp:posOffset>
            </wp:positionV>
            <wp:extent cx="308673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3">
                      <a:extLst>
                        <a:ext uri="{28A0092B-C50C-407E-A947-70E740481C1C}"/>
                      </a:extLst>
                    </a:blip>
                    <a:srcRect/>
                    <a:stretch>
                      <a:fillRect/>
                    </a:stretch>
                  </pic:blipFill>
                  <pic:spPr bwMode="auto">
                    <a:xfrm>
                      <a:off x="0" y="0"/>
                      <a:ext cx="3086735" cy="2540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-186055</wp:posOffset>
            </wp:positionV>
            <wp:extent cx="308673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4">
                      <a:extLst>
                        <a:ext uri="{28A0092B-C50C-407E-A947-70E740481C1C}"/>
                      </a:extLst>
                    </a:blip>
                    <a:srcRect/>
                    <a:stretch>
                      <a:fillRect/>
                    </a:stretch>
                  </pic:blipFill>
                  <pic:spPr bwMode="auto">
                    <a:xfrm>
                      <a:off x="0" y="0"/>
                      <a:ext cx="3086735" cy="50800"/>
                    </a:xfrm>
                    <a:prstGeom prst="rect">
                      <a:avLst/>
                    </a:prstGeom>
                    <a:noFill/>
                  </pic:spPr>
                </pic:pic>
              </a:graphicData>
            </a:graphic>
          </wp:anchor>
        </w:drawing>
      </w:r>
    </w:p>
    <w:p>
      <w:pPr>
        <w:spacing w:after="0" w:line="136" w:lineRule="exact"/>
        <w:rPr>
          <w:sz w:val="20"/>
          <w:szCs w:val="20"/>
          <w:color w:val="auto"/>
        </w:rPr>
      </w:pPr>
    </w:p>
    <w:p>
      <w:pPr>
        <w:ind w:left="220" w:hanging="184"/>
        <w:spacing w:after="0"/>
        <w:tabs>
          <w:tab w:leader="none" w:pos="220" w:val="left"/>
        </w:tabs>
        <w:numPr>
          <w:ilvl w:val="0"/>
          <w:numId w:val="62"/>
        </w:numPr>
        <w:rPr>
          <w:rFonts w:ascii="Arial" w:cs="Arial" w:eastAsia="Arial" w:hAnsi="Arial"/>
          <w:sz w:val="21"/>
          <w:szCs w:val="21"/>
          <w:color w:val="auto"/>
          <w:vertAlign w:val="superscript"/>
        </w:rPr>
      </w:pPr>
      <w:r>
        <w:rPr>
          <w:rFonts w:ascii="Arial" w:cs="Arial" w:eastAsia="Arial" w:hAnsi="Arial"/>
          <w:sz w:val="17"/>
          <w:szCs w:val="17"/>
          <w:color w:val="auto"/>
        </w:rPr>
        <w:t>The exercise prices relate to the equivalent price for an ordinary share, calculated as one eighth of the ADS price.</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summarizes the aggregate intrinsic value and cash receipts related to stock option exercise activity for the years ended December 31: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60" w:type="dxa"/>
            <w:vAlign w:val="bottom"/>
            <w:tcBorders>
              <w:bottom w:val="single" w:sz="8" w:color="E6E6E6"/>
            </w:tcBorders>
          </w:tcPr>
          <w:p>
            <w:pPr>
              <w:ind w:left="60"/>
              <w:spacing w:after="0"/>
              <w:rPr>
                <w:sz w:val="20"/>
                <w:szCs w:val="20"/>
                <w:color w:val="auto"/>
              </w:rPr>
            </w:pPr>
            <w:r>
              <w:rPr>
                <w:rFonts w:ascii="Arial" w:cs="Arial" w:eastAsia="Arial" w:hAnsi="Arial"/>
                <w:sz w:val="16"/>
                <w:szCs w:val="16"/>
                <w:color w:val="auto"/>
              </w:rPr>
              <w:t>($ in thousands)</w:t>
            </w: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E6E6E6"/>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6"/>
                <w:szCs w:val="16"/>
                <w:b w:val="1"/>
                <w:bCs w:val="1"/>
                <w:color w:val="auto"/>
              </w:rPr>
              <w:t>2022</w:t>
            </w:r>
          </w:p>
        </w:tc>
      </w:tr>
      <w:tr>
        <w:trPr>
          <w:trHeight w:val="274"/>
        </w:trPr>
        <w:tc>
          <w:tcPr>
            <w:tcW w:w="6960" w:type="dxa"/>
            <w:vAlign w:val="bottom"/>
            <w:shd w:val="clear" w:color="auto" w:fill="E6E6E6"/>
          </w:tcPr>
          <w:p>
            <w:pPr>
              <w:ind w:left="60"/>
              <w:spacing w:after="0"/>
              <w:rPr>
                <w:sz w:val="20"/>
                <w:szCs w:val="20"/>
                <w:color w:val="auto"/>
              </w:rPr>
            </w:pPr>
            <w:r>
              <w:rPr>
                <w:rFonts w:ascii="Arial" w:cs="Arial" w:eastAsia="Arial" w:hAnsi="Arial"/>
                <w:sz w:val="20"/>
                <w:szCs w:val="20"/>
                <w:color w:val="auto"/>
              </w:rPr>
              <w:t>Aggregate intrinsic value of stock options exercised</w:t>
            </w:r>
          </w:p>
        </w:tc>
        <w:tc>
          <w:tcPr>
            <w:tcW w:w="280" w:type="dxa"/>
            <w:vAlign w:val="bottom"/>
            <w:shd w:val="clear" w:color="auto" w:fill="E6E6E6"/>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1,861</w:t>
            </w:r>
          </w:p>
        </w:tc>
        <w:tc>
          <w:tcPr>
            <w:tcW w:w="60" w:type="dxa"/>
            <w:vAlign w:val="bottom"/>
            <w:shd w:val="clear" w:color="auto" w:fill="E6E6E6"/>
          </w:tcPr>
          <w:p>
            <w:pPr>
              <w:spacing w:after="0"/>
              <w:rPr>
                <w:sz w:val="23"/>
                <w:szCs w:val="23"/>
                <w:color w:val="auto"/>
              </w:rPr>
            </w:pPr>
          </w:p>
        </w:tc>
        <w:tc>
          <w:tcPr>
            <w:tcW w:w="30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2,413</w:t>
            </w:r>
          </w:p>
        </w:tc>
      </w:tr>
      <w:tr>
        <w:trPr>
          <w:trHeight w:val="261"/>
        </w:trPr>
        <w:tc>
          <w:tcPr>
            <w:tcW w:w="6960" w:type="dxa"/>
            <w:vAlign w:val="bottom"/>
          </w:tcPr>
          <w:p>
            <w:pPr>
              <w:ind w:left="60"/>
              <w:spacing w:after="0"/>
              <w:rPr>
                <w:sz w:val="20"/>
                <w:szCs w:val="20"/>
                <w:color w:val="auto"/>
              </w:rPr>
            </w:pPr>
            <w:r>
              <w:rPr>
                <w:rFonts w:ascii="Arial" w:cs="Arial" w:eastAsia="Arial" w:hAnsi="Arial"/>
                <w:sz w:val="20"/>
                <w:szCs w:val="20"/>
                <w:color w:val="auto"/>
              </w:rPr>
              <w:t>Cash receipts from stock options exercised</w:t>
            </w:r>
          </w:p>
        </w:tc>
        <w:tc>
          <w:tcPr>
            <w:tcW w:w="2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1,949</w:t>
            </w:r>
          </w:p>
        </w:tc>
        <w:tc>
          <w:tcPr>
            <w:tcW w:w="36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1,372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4405630</wp:posOffset>
            </wp:positionH>
            <wp:positionV relativeFrom="paragraph">
              <wp:posOffset>-357505</wp:posOffset>
            </wp:positionV>
            <wp:extent cx="152273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5">
                      <a:extLst>
                        <a:ext uri="{28A0092B-C50C-407E-A947-70E740481C1C}"/>
                      </a:extLst>
                    </a:blip>
                    <a:srcRect/>
                    <a:stretch>
                      <a:fillRect/>
                    </a:stretch>
                  </pic:blipFill>
                  <pic:spPr bwMode="auto">
                    <a:xfrm>
                      <a:off x="0" y="0"/>
                      <a:ext cx="1522730" cy="25400"/>
                    </a:xfrm>
                    <a:prstGeom prst="rect">
                      <a:avLst/>
                    </a:prstGeom>
                    <a:noFill/>
                  </pic:spPr>
                </pic:pic>
              </a:graphicData>
            </a:graphic>
          </wp:anchor>
        </w:drawing>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Determining the fair value of share options</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The total fair values of the options, estimated using the Black-Scholes option-pricing model for equity-settled compensation, amounted to $13.2 million for options granted in the year ended December 31, 2023 and $5.9 million for instruments granted in the year ended December 31, 2022. The cost is amortized over the vesting period of the options on a straight-line basis using the graded-vesting method. The following assumptions were used for the Black-Scholes valuation of share options granted in 2023 and 2022.</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Expected volatility</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Volatility is calculated using historical daily averages of the Company's share price over a period that is in line with the expected life of the options.</w:t>
      </w:r>
    </w:p>
    <w:p>
      <w:pPr>
        <w:spacing w:after="0" w:line="5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Fair value of ordinary shares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Prior to delisting from the AIM in October 2020, the fair value of ordinary shares was based on the closing share price of the Company’s shares on AIM on the evening before the date of grant. Subsequently, the fair value has been based on the closing price of ADSs traded on Nasdaq on the evening before the date of grant.</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Risk-free interest rate</w:t>
      </w:r>
    </w:p>
    <w:p>
      <w:pPr>
        <w:spacing w:after="0" w:line="1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risk-free interest rate has been based on U.K. Government debt yield for the relevant term at the time of grant up until October 20, 2020 when the company delisted from AIM. After this, appropriate U.S Treasury yield rates were used.</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Expected term</w:t>
      </w:r>
    </w:p>
    <w:p>
      <w:pPr>
        <w:spacing w:after="0" w:line="111" w:lineRule="exact"/>
        <w:rPr>
          <w:sz w:val="20"/>
          <w:szCs w:val="20"/>
          <w:color w:val="auto"/>
        </w:rPr>
      </w:pPr>
    </w:p>
    <w:p>
      <w:pPr>
        <w:jc w:val="both"/>
        <w:spacing w:after="0" w:line="315" w:lineRule="auto"/>
        <w:rPr>
          <w:sz w:val="20"/>
          <w:szCs w:val="20"/>
          <w:color w:val="auto"/>
        </w:rPr>
      </w:pPr>
      <w:r>
        <w:rPr>
          <w:rFonts w:ascii="Arial" w:cs="Arial" w:eastAsia="Arial" w:hAnsi="Arial"/>
          <w:sz w:val="18"/>
          <w:szCs w:val="18"/>
          <w:color w:val="auto"/>
        </w:rPr>
        <w:t>As the Company does not have sufficient history to estimate its expected term, the Company applied the simplified method of estimating the expected term of the options, as described in the SEC’s Staff Accounting Bulletins 107 and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F-22</w:t>
      </w:r>
    </w:p>
    <w:p>
      <w:pPr>
        <w:sectPr>
          <w:pgSz w:w="11880" w:h="15480" w:orient="portrait"/>
          <w:cols w:equalWidth="0" w:num="1">
            <w:col w:w="9320"/>
          </w:cols>
          <w:pgMar w:left="1280" w:top="324" w:right="1280" w:bottom="0" w:gutter="0" w:footer="0" w:header="0"/>
        </w:sectPr>
      </w:pPr>
    </w:p>
    <w:bookmarkStart w:id="130" w:name="page131"/>
    <w:bookmarkEnd w:id="130"/>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3"/>
        <w:spacing w:after="0" w:line="244" w:lineRule="auto"/>
        <w:tabs>
          <w:tab w:leader="none" w:pos="413"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expected term, calculated under the simplified method, is applied to all stock options which have similar contractual terms. Using this method, the expected term is determined using the average of the vesting period and the contractual life of the stock options granted.</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Expected dividend</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There are no expected dividends.</w:t>
      </w:r>
    </w:p>
    <w:p>
      <w:pPr>
        <w:spacing w:after="0" w:line="10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summary of the weighted-average assumptions applicable to the share options granted in the applicable years is as follows:</w:t>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
        <w:spacing w:after="0"/>
        <w:rPr>
          <w:sz w:val="20"/>
          <w:szCs w:val="20"/>
          <w:color w:val="auto"/>
        </w:rPr>
      </w:pPr>
      <w:r>
        <w:rPr>
          <w:rFonts w:ascii="Arial" w:cs="Arial" w:eastAsia="Arial" w:hAnsi="Arial"/>
          <w:sz w:val="20"/>
          <w:szCs w:val="20"/>
          <w:color w:val="auto"/>
        </w:rPr>
        <w:t>Risk-free interest rate</w:t>
      </w:r>
    </w:p>
    <w:p>
      <w:pPr>
        <w:spacing w:after="0" w:line="240" w:lineRule="exact"/>
        <w:rPr>
          <w:sz w:val="20"/>
          <w:szCs w:val="20"/>
          <w:color w:val="auto"/>
        </w:rPr>
      </w:pPr>
    </w:p>
    <w:p>
      <w:pPr>
        <w:ind w:left="60"/>
        <w:spacing w:after="0"/>
        <w:rPr>
          <w:sz w:val="20"/>
          <w:szCs w:val="20"/>
          <w:color w:val="auto"/>
        </w:rPr>
      </w:pPr>
      <w:r>
        <w:rPr>
          <w:rFonts w:ascii="Arial" w:cs="Arial" w:eastAsia="Arial" w:hAnsi="Arial"/>
          <w:sz w:val="20"/>
          <w:szCs w:val="20"/>
          <w:color w:val="auto"/>
        </w:rPr>
        <w:t>Expected lives, years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20"/>
          <w:szCs w:val="20"/>
          <w:color w:val="auto"/>
        </w:rPr>
        <w:t>Expected volatility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20"/>
          <w:szCs w:val="20"/>
          <w:color w:val="auto"/>
        </w:rPr>
        <w:t>Expected dividend yield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20"/>
          <w:szCs w:val="20"/>
          <w:color w:val="auto"/>
        </w:rPr>
        <w:t>Grant date fair value (per share)</w:t>
      </w: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 units activity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RSU activity:</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979"/>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624205</wp:posOffset>
                </wp:positionH>
                <wp:positionV relativeFrom="paragraph">
                  <wp:posOffset>31750</wp:posOffset>
                </wp:positionV>
                <wp:extent cx="150685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068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15pt,2.5pt" to="167.8pt,2.5pt" o:allowincell="f" strokecolor="#000000" strokeweight="1pt"/>
            </w:pict>
          </mc:Fallback>
        </mc:AlternateContent>
      </w:r>
    </w:p>
    <w:p>
      <w:pPr>
        <w:spacing w:after="0" w:line="35" w:lineRule="exact"/>
        <w:rPr>
          <w:sz w:val="20"/>
          <w:szCs w:val="20"/>
          <w:color w:val="auto"/>
        </w:rPr>
      </w:pPr>
    </w:p>
    <w:p>
      <w:pPr>
        <w:ind w:left="1400"/>
        <w:spacing w:after="0"/>
        <w:tabs>
          <w:tab w:leader="none" w:pos="2600" w:val="left"/>
        </w:tabs>
        <w:rPr>
          <w:sz w:val="20"/>
          <w:szCs w:val="20"/>
          <w:color w:val="auto"/>
        </w:rPr>
      </w:pPr>
      <w:r>
        <w:rPr>
          <w:rFonts w:ascii="Arial" w:cs="Arial" w:eastAsia="Arial" w:hAnsi="Arial"/>
          <w:sz w:val="16"/>
          <w:szCs w:val="16"/>
          <w:b w:val="1"/>
          <w:bCs w:val="1"/>
          <w:color w:val="auto"/>
        </w:rPr>
        <w:t>2023</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-3782060</wp:posOffset>
            </wp:positionH>
            <wp:positionV relativeFrom="paragraph">
              <wp:posOffset>19685</wp:posOffset>
            </wp:positionV>
            <wp:extent cx="5926455" cy="4298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6">
                      <a:extLst>
                        <a:ext uri="{28A0092B-C50C-407E-A947-70E740481C1C}"/>
                      </a:extLst>
                    </a:blip>
                    <a:srcRect/>
                    <a:stretch>
                      <a:fillRect/>
                    </a:stretch>
                  </pic:blipFill>
                  <pic:spPr bwMode="auto">
                    <a:xfrm>
                      <a:off x="0" y="0"/>
                      <a:ext cx="5926455" cy="429895"/>
                    </a:xfrm>
                    <a:prstGeom prst="rect">
                      <a:avLst/>
                    </a:prstGeom>
                    <a:noFill/>
                  </pic:spPr>
                </pic:pic>
              </a:graphicData>
            </a:graphic>
          </wp:anchor>
        </w:drawing>
      </w:r>
    </w:p>
    <w:p>
      <w:pPr>
        <w:spacing w:after="0" w:line="87" w:lineRule="exact"/>
        <w:rPr>
          <w:sz w:val="20"/>
          <w:szCs w:val="20"/>
          <w:color w:val="auto"/>
        </w:rPr>
      </w:pPr>
    </w:p>
    <w:p>
      <w:pPr>
        <w:ind w:left="1460"/>
        <w:spacing w:after="0"/>
        <w:tabs>
          <w:tab w:leader="none" w:pos="2660" w:val="left"/>
        </w:tabs>
        <w:rPr>
          <w:sz w:val="20"/>
          <w:szCs w:val="20"/>
          <w:color w:val="auto"/>
        </w:rPr>
      </w:pPr>
      <w:r>
        <w:rPr>
          <w:rFonts w:ascii="Arial" w:cs="Arial" w:eastAsia="Arial" w:hAnsi="Arial"/>
          <w:sz w:val="20"/>
          <w:szCs w:val="20"/>
          <w:color w:val="auto"/>
        </w:rPr>
        <w:t>3.40% -</w:t>
      </w:r>
      <w:r>
        <w:rPr>
          <w:sz w:val="20"/>
          <w:szCs w:val="20"/>
          <w:color w:val="auto"/>
        </w:rPr>
        <w:tab/>
      </w:r>
      <w:r>
        <w:rPr>
          <w:rFonts w:ascii="Arial" w:cs="Arial" w:eastAsia="Arial" w:hAnsi="Arial"/>
          <w:sz w:val="17"/>
          <w:szCs w:val="17"/>
          <w:color w:val="auto"/>
        </w:rPr>
        <w:t>2.09% -</w:t>
      </w:r>
    </w:p>
    <w:p>
      <w:pPr>
        <w:ind w:left="1560"/>
        <w:spacing w:after="0"/>
        <w:tabs>
          <w:tab w:leader="none" w:pos="2780" w:val="left"/>
        </w:tabs>
        <w:rPr>
          <w:sz w:val="20"/>
          <w:szCs w:val="20"/>
          <w:color w:val="auto"/>
        </w:rPr>
      </w:pPr>
      <w:r>
        <w:rPr>
          <w:rFonts w:ascii="Arial" w:cs="Arial" w:eastAsia="Arial" w:hAnsi="Arial"/>
          <w:sz w:val="20"/>
          <w:szCs w:val="20"/>
          <w:color w:val="auto"/>
        </w:rPr>
        <w:t>4.69%</w:t>
      </w:r>
      <w:r>
        <w:rPr>
          <w:sz w:val="20"/>
          <w:szCs w:val="20"/>
          <w:color w:val="auto"/>
        </w:rPr>
        <w:tab/>
      </w:r>
      <w:r>
        <w:rPr>
          <w:rFonts w:ascii="Arial" w:cs="Arial" w:eastAsia="Arial" w:hAnsi="Arial"/>
          <w:sz w:val="17"/>
          <w:szCs w:val="17"/>
          <w:color w:val="auto"/>
        </w:rPr>
        <w:t>4.20%</w:t>
      </w:r>
    </w:p>
    <w:p>
      <w:pPr>
        <w:spacing w:after="0" w:line="141" w:lineRule="exact"/>
        <w:rPr>
          <w:sz w:val="20"/>
          <w:szCs w:val="20"/>
          <w:color w:val="auto"/>
        </w:rPr>
      </w:pPr>
    </w:p>
    <w:p>
      <w:pPr>
        <w:ind w:left="1820"/>
        <w:spacing w:after="0"/>
        <w:tabs>
          <w:tab w:leader="none" w:pos="302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-3782060</wp:posOffset>
                </wp:positionH>
                <wp:positionV relativeFrom="paragraph">
                  <wp:posOffset>33655</wp:posOffset>
                </wp:positionV>
                <wp:extent cx="5913755" cy="33210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3755" cy="332105"/>
                        </a:xfrm>
                        <a:prstGeom prst="rect">
                          <a:avLst/>
                        </a:prstGeom>
                        <a:solidFill>
                          <a:srgbClr val="E6E6E6"/>
                        </a:solidFill>
                      </wps:spPr>
                      <wps:bodyPr/>
                    </wps:wsp>
                  </a:graphicData>
                </a:graphic>
              </wp:anchor>
            </w:drawing>
          </mc:Choice>
          <mc:Fallback>
            <w:pict>
              <v:rect id="Shape 90" o:spid="_x0000_s1115" style="position:absolute;margin-left:-297.7999pt;margin-top:2.65pt;width:465.65pt;height:26.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3" w:lineRule="exact"/>
        <w:rPr>
          <w:sz w:val="20"/>
          <w:szCs w:val="20"/>
          <w:color w:val="auto"/>
        </w:rPr>
      </w:pPr>
    </w:p>
    <w:p>
      <w:pPr>
        <w:ind w:left="1360"/>
        <w:spacing w:after="0"/>
        <w:tabs>
          <w:tab w:leader="none" w:pos="2560" w:val="left"/>
        </w:tabs>
        <w:rPr>
          <w:sz w:val="20"/>
          <w:szCs w:val="20"/>
          <w:color w:val="auto"/>
        </w:rPr>
      </w:pPr>
      <w:r>
        <w:rPr>
          <w:rFonts w:ascii="Arial" w:cs="Arial" w:eastAsia="Arial" w:hAnsi="Arial"/>
          <w:sz w:val="20"/>
          <w:szCs w:val="20"/>
          <w:color w:val="auto"/>
        </w:rPr>
        <w:t>80.64% -</w:t>
      </w:r>
      <w:r>
        <w:rPr>
          <w:sz w:val="20"/>
          <w:szCs w:val="20"/>
          <w:color w:val="auto"/>
        </w:rPr>
        <w:tab/>
      </w:r>
      <w:r>
        <w:rPr>
          <w:rFonts w:ascii="Arial" w:cs="Arial" w:eastAsia="Arial" w:hAnsi="Arial"/>
          <w:sz w:val="17"/>
          <w:szCs w:val="17"/>
          <w:color w:val="auto"/>
        </w:rPr>
        <w:t>82.50% -</w:t>
      </w:r>
    </w:p>
    <w:p>
      <w:pPr>
        <w:ind w:left="1460"/>
        <w:spacing w:after="0"/>
        <w:tabs>
          <w:tab w:leader="none" w:pos="2680" w:val="left"/>
        </w:tabs>
        <w:rPr>
          <w:sz w:val="20"/>
          <w:szCs w:val="20"/>
          <w:color w:val="auto"/>
        </w:rPr>
      </w:pPr>
      <w:r>
        <w:rPr>
          <w:rFonts w:ascii="Arial" w:cs="Arial" w:eastAsia="Arial" w:hAnsi="Arial"/>
          <w:sz w:val="20"/>
          <w:szCs w:val="20"/>
          <w:color w:val="auto"/>
        </w:rPr>
        <w:t>87.26%</w:t>
      </w:r>
      <w:r>
        <w:rPr>
          <w:sz w:val="20"/>
          <w:szCs w:val="20"/>
          <w:color w:val="auto"/>
        </w:rPr>
        <w:tab/>
      </w:r>
      <w:r>
        <w:rPr>
          <w:rFonts w:ascii="Arial" w:cs="Arial" w:eastAsia="Arial" w:hAnsi="Arial"/>
          <w:sz w:val="17"/>
          <w:szCs w:val="17"/>
          <w:color w:val="auto"/>
        </w:rPr>
        <w:t>84.27%</w:t>
      </w:r>
    </w:p>
    <w:p>
      <w:pPr>
        <w:spacing w:after="0" w:line="81" w:lineRule="exact"/>
        <w:rPr>
          <w:sz w:val="20"/>
          <w:szCs w:val="20"/>
          <w:color w:val="auto"/>
        </w:rPr>
      </w:pPr>
    </w:p>
    <w:p>
      <w:pPr>
        <w:jc w:val="right"/>
        <w:ind w:right="20"/>
        <w:spacing w:after="0"/>
        <w:tabs>
          <w:tab w:leader="none" w:pos="400" w:val="left"/>
        </w:tabs>
        <w:rPr>
          <w:sz w:val="20"/>
          <w:szCs w:val="20"/>
          <w:color w:val="auto"/>
        </w:rPr>
      </w:pPr>
      <w:r>
        <w:rPr>
          <w:rFonts w:ascii="Arial" w:cs="Arial" w:eastAsia="Arial" w:hAnsi="Arial"/>
          <w:sz w:val="20"/>
          <w:szCs w:val="20"/>
          <w:color w:val="auto"/>
        </w:rPr>
        <w:t>— %</w:t>
      </w:r>
      <w:r>
        <w:rPr>
          <w:sz w:val="20"/>
          <w:szCs w:val="20"/>
          <w:color w:val="auto"/>
        </w:rPr>
        <w:tab/>
      </w:r>
      <w:r>
        <w:rPr>
          <w:rFonts w:ascii="Arial" w:cs="Arial" w:eastAsia="Arial" w:hAnsi="Arial"/>
          <w:sz w:val="19"/>
          <w:szCs w:val="19"/>
          <w:color w:val="auto"/>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-3782060</wp:posOffset>
                </wp:positionH>
                <wp:positionV relativeFrom="paragraph">
                  <wp:posOffset>38735</wp:posOffset>
                </wp:positionV>
                <wp:extent cx="5913755" cy="31242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3755" cy="312420"/>
                        </a:xfrm>
                        <a:prstGeom prst="rect">
                          <a:avLst/>
                        </a:prstGeom>
                        <a:solidFill>
                          <a:srgbClr val="E6E6E6"/>
                        </a:solidFill>
                      </wps:spPr>
                      <wps:bodyPr/>
                    </wps:wsp>
                  </a:graphicData>
                </a:graphic>
              </wp:anchor>
            </w:drawing>
          </mc:Choice>
          <mc:Fallback>
            <w:pict>
              <v:rect id="Shape 91" o:spid="_x0000_s1116" style="position:absolute;margin-left:-297.7999pt;margin-top:3.05pt;width:465.65pt;height:2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5" w:lineRule="exact"/>
        <w:rPr>
          <w:sz w:val="20"/>
          <w:szCs w:val="20"/>
          <w:color w:val="auto"/>
        </w:rPr>
      </w:pPr>
    </w:p>
    <w:p>
      <w:pPr>
        <w:ind w:left="1520"/>
        <w:spacing w:after="0"/>
        <w:tabs>
          <w:tab w:leader="none" w:pos="2720" w:val="left"/>
        </w:tabs>
        <w:rPr>
          <w:sz w:val="20"/>
          <w:szCs w:val="20"/>
          <w:color w:val="auto"/>
        </w:rPr>
      </w:pPr>
      <w:r>
        <w:rPr>
          <w:rFonts w:ascii="Arial" w:cs="Arial" w:eastAsia="Arial" w:hAnsi="Arial"/>
          <w:sz w:val="20"/>
          <w:szCs w:val="20"/>
          <w:color w:val="auto"/>
        </w:rPr>
        <w:t>$1.69 -</w:t>
      </w:r>
      <w:r>
        <w:rPr>
          <w:sz w:val="20"/>
          <w:szCs w:val="20"/>
          <w:color w:val="auto"/>
        </w:rPr>
        <w:tab/>
      </w:r>
      <w:r>
        <w:rPr>
          <w:rFonts w:ascii="Arial" w:cs="Arial" w:eastAsia="Arial" w:hAnsi="Arial"/>
          <w:sz w:val="17"/>
          <w:szCs w:val="17"/>
          <w:color w:val="auto"/>
        </w:rPr>
        <w:t>$0.34 -</w:t>
      </w:r>
    </w:p>
    <w:p>
      <w:pPr>
        <w:ind w:left="1640"/>
        <w:spacing w:after="0"/>
        <w:tabs>
          <w:tab w:leader="none" w:pos="2840" w:val="left"/>
        </w:tabs>
        <w:rPr>
          <w:sz w:val="20"/>
          <w:szCs w:val="20"/>
          <w:color w:val="auto"/>
        </w:rPr>
      </w:pPr>
      <w:r>
        <w:rPr>
          <w:rFonts w:ascii="Arial" w:cs="Arial" w:eastAsia="Arial" w:hAnsi="Arial"/>
          <w:sz w:val="20"/>
          <w:szCs w:val="20"/>
          <w:color w:val="auto"/>
        </w:rPr>
        <w:t>$3.27</w:t>
      </w:r>
      <w:r>
        <w:rPr>
          <w:sz w:val="20"/>
          <w:szCs w:val="20"/>
          <w:color w:val="auto"/>
        </w:rPr>
        <w:tab/>
      </w:r>
      <w:r>
        <w:rPr>
          <w:rFonts w:ascii="Arial" w:cs="Arial" w:eastAsia="Arial" w:hAnsi="Arial"/>
          <w:sz w:val="17"/>
          <w:szCs w:val="17"/>
          <w:color w:val="auto"/>
        </w:rPr>
        <w:t>$1.33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80" w:type="dxa"/>
            <w:vAlign w:val="bottom"/>
          </w:tcPr>
          <w:p>
            <w:pPr>
              <w:jc w:val="center"/>
              <w:ind w:left="60"/>
              <w:spacing w:after="0"/>
              <w:rPr>
                <w:sz w:val="20"/>
                <w:szCs w:val="20"/>
                <w:color w:val="auto"/>
              </w:rPr>
            </w:pPr>
            <w:r>
              <w:rPr>
                <w:rFonts w:ascii="Arial" w:cs="Arial" w:eastAsia="Arial" w:hAnsi="Arial"/>
                <w:sz w:val="16"/>
                <w:szCs w:val="16"/>
                <w:b w:val="1"/>
                <w:bCs w:val="1"/>
                <w:color w:val="auto"/>
                <w:w w:val="88"/>
              </w:rPr>
              <w:t>Weighted</w:t>
            </w:r>
          </w:p>
        </w:tc>
      </w:tr>
      <w:tr>
        <w:trPr>
          <w:trHeight w:val="191"/>
        </w:trPr>
        <w:tc>
          <w:tcPr>
            <w:tcW w:w="9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80" w:type="dxa"/>
            <w:vAlign w:val="bottom"/>
          </w:tcPr>
          <w:p>
            <w:pPr>
              <w:jc w:val="center"/>
              <w:ind w:left="60"/>
              <w:spacing w:after="0"/>
              <w:rPr>
                <w:sz w:val="20"/>
                <w:szCs w:val="20"/>
                <w:color w:val="auto"/>
              </w:rPr>
            </w:pPr>
            <w:r>
              <w:rPr>
                <w:rFonts w:ascii="Arial" w:cs="Arial" w:eastAsia="Arial" w:hAnsi="Arial"/>
                <w:sz w:val="16"/>
                <w:szCs w:val="16"/>
                <w:b w:val="1"/>
                <w:bCs w:val="1"/>
                <w:color w:val="auto"/>
                <w:w w:val="85"/>
              </w:rPr>
              <w:t>average</w:t>
            </w:r>
          </w:p>
        </w:tc>
      </w:tr>
      <w:tr>
        <w:trPr>
          <w:trHeight w:val="191"/>
        </w:trPr>
        <w:tc>
          <w:tcPr>
            <w:tcW w:w="9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980" w:type="dxa"/>
            <w:vAlign w:val="bottom"/>
          </w:tcPr>
          <w:p>
            <w:pPr>
              <w:jc w:val="center"/>
              <w:ind w:left="80"/>
              <w:spacing w:after="0"/>
              <w:rPr>
                <w:sz w:val="20"/>
                <w:szCs w:val="20"/>
                <w:color w:val="auto"/>
              </w:rPr>
            </w:pPr>
            <w:r>
              <w:rPr>
                <w:rFonts w:ascii="Arial" w:cs="Arial" w:eastAsia="Arial" w:hAnsi="Arial"/>
                <w:sz w:val="16"/>
                <w:szCs w:val="16"/>
                <w:b w:val="1"/>
                <w:bCs w:val="1"/>
                <w:color w:val="auto"/>
                <w:w w:val="91"/>
              </w:rPr>
              <w:t>remaining</w:t>
            </w:r>
          </w:p>
        </w:tc>
      </w:tr>
      <w:tr>
        <w:trPr>
          <w:trHeight w:val="191"/>
        </w:trPr>
        <w:tc>
          <w:tcPr>
            <w:tcW w:w="900" w:type="dxa"/>
            <w:vAlign w:val="bottom"/>
          </w:tcPr>
          <w:p>
            <w:pPr>
              <w:jc w:val="center"/>
              <w:ind w:right="80"/>
              <w:spacing w:after="0"/>
              <w:rPr>
                <w:sz w:val="20"/>
                <w:szCs w:val="20"/>
                <w:color w:val="auto"/>
              </w:rPr>
            </w:pPr>
            <w:r>
              <w:rPr>
                <w:rFonts w:ascii="Arial" w:cs="Arial" w:eastAsia="Arial" w:hAnsi="Arial"/>
                <w:sz w:val="16"/>
                <w:szCs w:val="16"/>
                <w:b w:val="1"/>
                <w:bCs w:val="1"/>
                <w:color w:val="auto"/>
                <w:w w:val="92"/>
              </w:rPr>
              <w:t>Number of</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89"/>
              </w:rPr>
              <w:t>average grant</w:t>
            </w:r>
          </w:p>
        </w:tc>
        <w:tc>
          <w:tcPr>
            <w:tcW w:w="980" w:type="dxa"/>
            <w:vAlign w:val="bottom"/>
          </w:tcPr>
          <w:p>
            <w:pPr>
              <w:jc w:val="center"/>
              <w:ind w:left="80"/>
              <w:spacing w:after="0"/>
              <w:rPr>
                <w:sz w:val="20"/>
                <w:szCs w:val="20"/>
                <w:color w:val="auto"/>
              </w:rPr>
            </w:pPr>
            <w:r>
              <w:rPr>
                <w:rFonts w:ascii="Arial" w:cs="Arial" w:eastAsia="Arial" w:hAnsi="Arial"/>
                <w:sz w:val="16"/>
                <w:szCs w:val="16"/>
                <w:b w:val="1"/>
                <w:bCs w:val="1"/>
                <w:color w:val="auto"/>
                <w:w w:val="90"/>
              </w:rPr>
              <w:t>contractual</w:t>
            </w:r>
          </w:p>
        </w:tc>
      </w:tr>
      <w:tr>
        <w:trPr>
          <w:trHeight w:val="207"/>
        </w:trPr>
        <w:tc>
          <w:tcPr>
            <w:tcW w:w="900" w:type="dxa"/>
            <w:vAlign w:val="bottom"/>
          </w:tcPr>
          <w:p>
            <w:pPr>
              <w:jc w:val="center"/>
              <w:ind w:right="80"/>
              <w:spacing w:after="0"/>
              <w:rPr>
                <w:sz w:val="20"/>
                <w:szCs w:val="20"/>
                <w:color w:val="auto"/>
              </w:rPr>
            </w:pPr>
            <w:r>
              <w:rPr>
                <w:rFonts w:ascii="Arial" w:cs="Arial" w:eastAsia="Arial" w:hAnsi="Arial"/>
                <w:sz w:val="16"/>
                <w:szCs w:val="16"/>
                <w:b w:val="1"/>
                <w:bCs w:val="1"/>
                <w:color w:val="auto"/>
                <w:w w:val="88"/>
              </w:rPr>
              <w:t>RSUs</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1"/>
              </w:rPr>
              <w:t>date fair value</w:t>
            </w:r>
          </w:p>
        </w:tc>
        <w:tc>
          <w:tcPr>
            <w:tcW w:w="980" w:type="dxa"/>
            <w:vAlign w:val="bottom"/>
          </w:tcPr>
          <w:p>
            <w:pPr>
              <w:jc w:val="center"/>
              <w:ind w:left="60"/>
              <w:spacing w:after="0"/>
              <w:rPr>
                <w:sz w:val="20"/>
                <w:szCs w:val="20"/>
                <w:color w:val="auto"/>
              </w:rPr>
            </w:pPr>
            <w:r>
              <w:rPr>
                <w:rFonts w:ascii="Arial" w:cs="Arial" w:eastAsia="Arial" w:hAnsi="Arial"/>
                <w:sz w:val="16"/>
                <w:szCs w:val="16"/>
                <w:b w:val="1"/>
                <w:bCs w:val="1"/>
                <w:color w:val="auto"/>
                <w:w w:val="91"/>
              </w:rPr>
              <w:t>term (years)</w:t>
            </w:r>
          </w:p>
        </w:tc>
      </w:tr>
    </w:tbl>
    <w:p>
      <w:pPr>
        <w:spacing w:after="0" w:line="1" w:lineRule="exact"/>
        <w:rPr>
          <w:sz w:val="20"/>
          <w:szCs w:val="20"/>
          <w:color w:val="auto"/>
        </w:rPr>
      </w:pPr>
    </w:p>
    <w:p>
      <w:pPr>
        <w:sectPr>
          <w:pgSz w:w="11880" w:h="15480" w:orient="portrait"/>
          <w:cols w:equalWidth="0" w:num="2">
            <w:col w:w="5240" w:space="720"/>
            <w:col w:w="3360"/>
          </w:cols>
          <w:pgMar w:left="1280" w:top="324" w:right="1280" w:bottom="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740" w:type="dxa"/>
            <w:vAlign w:val="bottom"/>
            <w:tcBorders>
              <w:bottom w:val="single" w:sz="8" w:color="E6E6E6"/>
            </w:tcBorders>
          </w:tcPr>
          <w:p>
            <w:pPr>
              <w:spacing w:after="0" w:line="20" w:lineRule="exact"/>
              <w:rPr>
                <w:sz w:val="1"/>
                <w:szCs w:val="1"/>
                <w:color w:val="auto"/>
              </w:rPr>
            </w:pPr>
          </w:p>
        </w:tc>
        <w:tc>
          <w:tcPr>
            <w:tcW w:w="116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440" w:type="dxa"/>
            <w:vAlign w:val="bottom"/>
            <w:tcBorders>
              <w:bottom w:val="single" w:sz="8" w:color="auto"/>
            </w:tcBorders>
            <w:shd w:val="clear" w:color="auto" w:fill="000000"/>
          </w:tcPr>
          <w:p>
            <w:pPr>
              <w:spacing w:after="0" w:line="20" w:lineRule="exact"/>
              <w:rPr>
                <w:sz w:val="1"/>
                <w:szCs w:val="1"/>
                <w:color w:val="auto"/>
              </w:rPr>
            </w:pPr>
          </w:p>
        </w:tc>
        <w:tc>
          <w:tcPr>
            <w:tcW w:w="700" w:type="dxa"/>
            <w:vAlign w:val="bottom"/>
            <w:tcBorders>
              <w:bottom w:val="single" w:sz="8" w:color="auto"/>
            </w:tcBorders>
            <w:shd w:val="clear" w:color="auto" w:fill="000000"/>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1160" w:type="dxa"/>
            <w:vAlign w:val="bottom"/>
            <w:tcBorders>
              <w:bottom w:val="single" w:sz="8" w:color="auto"/>
            </w:tcBorders>
            <w:shd w:val="clear" w:color="auto" w:fill="000000"/>
          </w:tcPr>
          <w:p>
            <w:pPr>
              <w:spacing w:after="0" w:line="20" w:lineRule="exact"/>
              <w:rPr>
                <w:sz w:val="1"/>
                <w:szCs w:val="1"/>
                <w:color w:val="auto"/>
              </w:rPr>
            </w:pPr>
          </w:p>
        </w:tc>
      </w:tr>
      <w:tr>
        <w:trPr>
          <w:trHeight w:val="234"/>
        </w:trPr>
        <w:tc>
          <w:tcPr>
            <w:tcW w:w="574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Outstanding at January 1, 2022</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38,347,352</w:t>
            </w:r>
          </w:p>
        </w:tc>
        <w:tc>
          <w:tcPr>
            <w:tcW w:w="60" w:type="dxa"/>
            <w:vAlign w:val="bottom"/>
            <w:shd w:val="clear" w:color="auto" w:fill="E6E6E6"/>
          </w:tcPr>
          <w:p>
            <w:pPr>
              <w:spacing w:after="0"/>
              <w:rPr>
                <w:sz w:val="20"/>
                <w:szCs w:val="20"/>
                <w:color w:val="auto"/>
              </w:rPr>
            </w:pPr>
          </w:p>
        </w:tc>
        <w:tc>
          <w:tcPr>
            <w:tcW w:w="440" w:type="dxa"/>
            <w:vAlign w:val="bottom"/>
            <w:shd w:val="clear" w:color="auto" w:fill="E6E6E6"/>
          </w:tcPr>
          <w:p>
            <w:pPr>
              <w:jc w:val="right"/>
              <w:ind w:right="181"/>
              <w:spacing w:after="0"/>
              <w:rPr>
                <w:sz w:val="20"/>
                <w:szCs w:val="20"/>
                <w:color w:val="auto"/>
              </w:rPr>
            </w:pPr>
            <w:r>
              <w:rPr>
                <w:rFonts w:ascii="Arial" w:cs="Arial" w:eastAsia="Arial" w:hAnsi="Arial"/>
                <w:sz w:val="20"/>
                <w:szCs w:val="20"/>
                <w:color w:val="auto"/>
              </w:rPr>
              <w:t>$</w:t>
            </w: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0.97</w:t>
            </w:r>
          </w:p>
        </w:tc>
        <w:tc>
          <w:tcPr>
            <w:tcW w:w="60" w:type="dxa"/>
            <w:vAlign w:val="bottom"/>
            <w:shd w:val="clear" w:color="auto" w:fill="E6E6E6"/>
          </w:tcPr>
          <w:p>
            <w:pPr>
              <w:spacing w:after="0"/>
              <w:rPr>
                <w:sz w:val="20"/>
                <w:szCs w:val="20"/>
                <w:color w:val="auto"/>
              </w:rPr>
            </w:pP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1.2</w:t>
            </w:r>
          </w:p>
        </w:tc>
      </w:tr>
      <w:tr>
        <w:trPr>
          <w:trHeight w:val="254"/>
        </w:trPr>
        <w:tc>
          <w:tcPr>
            <w:tcW w:w="5740" w:type="dxa"/>
            <w:vAlign w:val="bottom"/>
          </w:tcPr>
          <w:p>
            <w:pPr>
              <w:ind w:left="60"/>
              <w:spacing w:after="0"/>
              <w:rPr>
                <w:sz w:val="20"/>
                <w:szCs w:val="20"/>
                <w:color w:val="auto"/>
              </w:rPr>
            </w:pPr>
            <w:r>
              <w:rPr>
                <w:rFonts w:ascii="Arial" w:cs="Arial" w:eastAsia="Arial" w:hAnsi="Arial"/>
                <w:sz w:val="20"/>
                <w:szCs w:val="20"/>
                <w:color w:val="auto"/>
              </w:rPr>
              <w:t>Granted</w:t>
            </w:r>
          </w:p>
        </w:tc>
        <w:tc>
          <w:tcPr>
            <w:tcW w:w="1160" w:type="dxa"/>
            <w:vAlign w:val="bottom"/>
          </w:tcPr>
          <w:p>
            <w:pPr>
              <w:jc w:val="right"/>
              <w:spacing w:after="0"/>
              <w:rPr>
                <w:sz w:val="20"/>
                <w:szCs w:val="20"/>
                <w:color w:val="auto"/>
              </w:rPr>
            </w:pPr>
            <w:r>
              <w:rPr>
                <w:rFonts w:ascii="Arial" w:cs="Arial" w:eastAsia="Arial" w:hAnsi="Arial"/>
                <w:sz w:val="20"/>
                <w:szCs w:val="20"/>
                <w:color w:val="auto"/>
              </w:rPr>
              <w:t>12,877,864</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1.07</w:t>
            </w: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4"/>
        </w:trPr>
        <w:tc>
          <w:tcPr>
            <w:tcW w:w="5740" w:type="dxa"/>
            <w:vAlign w:val="bottom"/>
            <w:shd w:val="clear" w:color="auto" w:fill="E6E6E6"/>
          </w:tcPr>
          <w:p>
            <w:pPr>
              <w:ind w:left="60"/>
              <w:spacing w:after="0"/>
              <w:rPr>
                <w:sz w:val="20"/>
                <w:szCs w:val="20"/>
                <w:color w:val="auto"/>
              </w:rPr>
            </w:pPr>
            <w:r>
              <w:rPr>
                <w:rFonts w:ascii="Arial" w:cs="Arial" w:eastAsia="Arial" w:hAnsi="Arial"/>
                <w:sz w:val="20"/>
                <w:szCs w:val="20"/>
                <w:color w:val="auto"/>
              </w:rPr>
              <w:t>Forfeited</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(1,006,264)</w:t>
            </w:r>
          </w:p>
        </w:tc>
        <w:tc>
          <w:tcPr>
            <w:tcW w:w="6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1.03</w:t>
            </w:r>
          </w:p>
        </w:tc>
        <w:tc>
          <w:tcPr>
            <w:tcW w:w="60" w:type="dxa"/>
            <w:vAlign w:val="bottom"/>
            <w:shd w:val="clear" w:color="auto" w:fill="E6E6E6"/>
          </w:tcPr>
          <w:p>
            <w:pPr>
              <w:spacing w:after="0"/>
              <w:rPr>
                <w:sz w:val="22"/>
                <w:szCs w:val="22"/>
                <w:color w:val="auto"/>
              </w:rPr>
            </w:pPr>
          </w:p>
        </w:tc>
        <w:tc>
          <w:tcPr>
            <w:tcW w:w="1160" w:type="dxa"/>
            <w:vAlign w:val="bottom"/>
            <w:shd w:val="clear" w:color="auto" w:fill="E6E6E6"/>
          </w:tcPr>
          <w:p>
            <w:pPr>
              <w:spacing w:after="0"/>
              <w:rPr>
                <w:sz w:val="22"/>
                <w:szCs w:val="22"/>
                <w:color w:val="auto"/>
              </w:rPr>
            </w:pPr>
          </w:p>
        </w:tc>
      </w:tr>
      <w:tr>
        <w:trPr>
          <w:trHeight w:val="244"/>
        </w:trPr>
        <w:tc>
          <w:tcPr>
            <w:tcW w:w="574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Vested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(15,676,608)</w:t>
            </w:r>
          </w:p>
        </w:tc>
        <w:tc>
          <w:tcPr>
            <w:tcW w:w="60" w:type="dxa"/>
            <w:vAlign w:val="bottom"/>
            <w:tcBorders>
              <w:bottom w:val="single" w:sz="8" w:color="E6E6E6"/>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0.96</w:t>
            </w:r>
          </w:p>
        </w:tc>
        <w:tc>
          <w:tcPr>
            <w:tcW w:w="60" w:type="dxa"/>
            <w:vAlign w:val="bottom"/>
            <w:tcBorders>
              <w:bottom w:val="single" w:sz="8" w:color="E6E6E6"/>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64"/>
        </w:trPr>
        <w:tc>
          <w:tcPr>
            <w:tcW w:w="5740" w:type="dxa"/>
            <w:vAlign w:val="bottom"/>
            <w:tcBorders>
              <w:bottom w:val="single" w:sz="8" w:color="E6E6E6"/>
            </w:tcBorders>
            <w:shd w:val="clear" w:color="auto" w:fill="E6E6E6"/>
          </w:tcPr>
          <w:p>
            <w:pPr>
              <w:ind w:left="60"/>
              <w:spacing w:after="0" w:line="214" w:lineRule="exact"/>
              <w:rPr>
                <w:sz w:val="20"/>
                <w:szCs w:val="20"/>
                <w:color w:val="auto"/>
              </w:rPr>
            </w:pPr>
            <w:r>
              <w:rPr>
                <w:rFonts w:ascii="Arial" w:cs="Arial" w:eastAsia="Arial" w:hAnsi="Arial"/>
                <w:sz w:val="20"/>
                <w:szCs w:val="20"/>
                <w:b w:val="1"/>
                <w:bCs w:val="1"/>
                <w:color w:val="auto"/>
              </w:rPr>
              <w:t>Outstanding at December 31, 2022</w:t>
            </w:r>
          </w:p>
        </w:tc>
        <w:tc>
          <w:tcPr>
            <w:tcW w:w="1160" w:type="dxa"/>
            <w:vAlign w:val="bottom"/>
            <w:tcBorders>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34,542,344</w:t>
            </w:r>
          </w:p>
        </w:tc>
        <w:tc>
          <w:tcPr>
            <w:tcW w:w="60" w:type="dxa"/>
            <w:vAlign w:val="bottom"/>
            <w:tcBorders>
              <w:bottom w:val="single" w:sz="8" w:color="E6E6E6"/>
            </w:tcBorders>
            <w:shd w:val="clear" w:color="auto" w:fill="E6E6E6"/>
          </w:tcPr>
          <w:p>
            <w:pPr>
              <w:spacing w:after="0"/>
              <w:rPr>
                <w:sz w:val="22"/>
                <w:szCs w:val="22"/>
                <w:color w:val="auto"/>
              </w:rPr>
            </w:pPr>
          </w:p>
        </w:tc>
        <w:tc>
          <w:tcPr>
            <w:tcW w:w="440" w:type="dxa"/>
            <w:vAlign w:val="bottom"/>
            <w:tcBorders>
              <w:bottom w:val="single" w:sz="8" w:color="auto"/>
            </w:tcBorders>
            <w:shd w:val="clear" w:color="auto" w:fill="E6E6E6"/>
          </w:tcPr>
          <w:p>
            <w:pPr>
              <w:jc w:val="right"/>
              <w:ind w:right="181"/>
              <w:spacing w:after="0" w:line="214" w:lineRule="exact"/>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1.01</w:t>
            </w:r>
          </w:p>
        </w:tc>
        <w:tc>
          <w:tcPr>
            <w:tcW w:w="60" w:type="dxa"/>
            <w:vAlign w:val="bottom"/>
            <w:tcBorders>
              <w:bottom w:val="single" w:sz="8" w:color="E6E6E6"/>
            </w:tcBorders>
            <w:shd w:val="clear" w:color="auto" w:fill="E6E6E6"/>
          </w:tcPr>
          <w:p>
            <w:pPr>
              <w:spacing w:after="0"/>
              <w:rPr>
                <w:sz w:val="22"/>
                <w:szCs w:val="22"/>
                <w:color w:val="auto"/>
              </w:rPr>
            </w:pPr>
          </w:p>
        </w:tc>
        <w:tc>
          <w:tcPr>
            <w:tcW w:w="1160" w:type="dxa"/>
            <w:vAlign w:val="bottom"/>
            <w:tcBorders>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1.2</w:t>
            </w:r>
          </w:p>
        </w:tc>
      </w:tr>
      <w:tr>
        <w:trPr>
          <w:trHeight w:val="214"/>
        </w:trPr>
        <w:tc>
          <w:tcPr>
            <w:tcW w:w="5740" w:type="dxa"/>
            <w:vAlign w:val="bottom"/>
          </w:tcPr>
          <w:p>
            <w:pPr>
              <w:ind w:left="60"/>
              <w:spacing w:after="0" w:line="214" w:lineRule="exact"/>
              <w:rPr>
                <w:sz w:val="20"/>
                <w:szCs w:val="20"/>
                <w:color w:val="auto"/>
              </w:rPr>
            </w:pPr>
            <w:r>
              <w:rPr>
                <w:rFonts w:ascii="Arial" w:cs="Arial" w:eastAsia="Arial" w:hAnsi="Arial"/>
                <w:sz w:val="20"/>
                <w:szCs w:val="20"/>
                <w:color w:val="auto"/>
              </w:rPr>
              <w:t>Granted</w:t>
            </w:r>
          </w:p>
        </w:tc>
        <w:tc>
          <w:tcPr>
            <w:tcW w:w="1160" w:type="dxa"/>
            <w:vAlign w:val="bottom"/>
          </w:tcPr>
          <w:p>
            <w:pPr>
              <w:jc w:val="right"/>
              <w:spacing w:after="0" w:line="214" w:lineRule="exact"/>
              <w:rPr>
                <w:sz w:val="20"/>
                <w:szCs w:val="20"/>
                <w:color w:val="auto"/>
              </w:rPr>
            </w:pPr>
            <w:r>
              <w:rPr>
                <w:rFonts w:ascii="Arial" w:cs="Arial" w:eastAsia="Arial" w:hAnsi="Arial"/>
                <w:sz w:val="20"/>
                <w:szCs w:val="20"/>
                <w:color w:val="auto"/>
              </w:rPr>
              <w:t>3,596,872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line="214" w:lineRule="exact"/>
              <w:rPr>
                <w:sz w:val="20"/>
                <w:szCs w:val="20"/>
                <w:color w:val="auto"/>
              </w:rPr>
            </w:pPr>
            <w:r>
              <w:rPr>
                <w:rFonts w:ascii="Arial" w:cs="Arial" w:eastAsia="Arial" w:hAnsi="Arial"/>
                <w:sz w:val="20"/>
                <w:szCs w:val="20"/>
                <w:color w:val="auto"/>
              </w:rPr>
              <w:t>1.66</w:t>
            </w: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4"/>
        </w:trPr>
        <w:tc>
          <w:tcPr>
            <w:tcW w:w="5740" w:type="dxa"/>
            <w:vAlign w:val="bottom"/>
            <w:shd w:val="clear" w:color="auto" w:fill="E6E6E6"/>
          </w:tcPr>
          <w:p>
            <w:pPr>
              <w:ind w:left="60"/>
              <w:spacing w:after="0"/>
              <w:rPr>
                <w:sz w:val="20"/>
                <w:szCs w:val="20"/>
                <w:color w:val="auto"/>
              </w:rPr>
            </w:pPr>
            <w:r>
              <w:rPr>
                <w:rFonts w:ascii="Arial" w:cs="Arial" w:eastAsia="Arial" w:hAnsi="Arial"/>
                <w:sz w:val="20"/>
                <w:szCs w:val="20"/>
                <w:color w:val="auto"/>
              </w:rPr>
              <w:t>Forfeited</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(303,648)</w:t>
            </w:r>
          </w:p>
        </w:tc>
        <w:tc>
          <w:tcPr>
            <w:tcW w:w="60" w:type="dxa"/>
            <w:vAlign w:val="bottom"/>
            <w:shd w:val="clear" w:color="auto" w:fill="E6E6E6"/>
          </w:tcPr>
          <w:p>
            <w:pPr>
              <w:spacing w:after="0"/>
              <w:rPr>
                <w:sz w:val="22"/>
                <w:szCs w:val="22"/>
                <w:color w:val="auto"/>
              </w:rPr>
            </w:pPr>
          </w:p>
        </w:tc>
        <w:tc>
          <w:tcPr>
            <w:tcW w:w="440" w:type="dxa"/>
            <w:vAlign w:val="bottom"/>
            <w:shd w:val="clear" w:color="auto" w:fill="E6E6E6"/>
          </w:tcPr>
          <w:p>
            <w:pPr>
              <w:spacing w:after="0"/>
              <w:rPr>
                <w:sz w:val="22"/>
                <w:szCs w:val="22"/>
                <w:color w:val="auto"/>
              </w:rPr>
            </w:pPr>
          </w:p>
        </w:tc>
        <w:tc>
          <w:tcPr>
            <w:tcW w:w="7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1.10</w:t>
            </w:r>
          </w:p>
        </w:tc>
        <w:tc>
          <w:tcPr>
            <w:tcW w:w="60" w:type="dxa"/>
            <w:vAlign w:val="bottom"/>
            <w:shd w:val="clear" w:color="auto" w:fill="E6E6E6"/>
          </w:tcPr>
          <w:p>
            <w:pPr>
              <w:spacing w:after="0"/>
              <w:rPr>
                <w:sz w:val="22"/>
                <w:szCs w:val="22"/>
                <w:color w:val="auto"/>
              </w:rPr>
            </w:pPr>
          </w:p>
        </w:tc>
        <w:tc>
          <w:tcPr>
            <w:tcW w:w="1160" w:type="dxa"/>
            <w:vAlign w:val="bottom"/>
            <w:shd w:val="clear" w:color="auto" w:fill="E6E6E6"/>
          </w:tcPr>
          <w:p>
            <w:pPr>
              <w:spacing w:after="0"/>
              <w:rPr>
                <w:sz w:val="22"/>
                <w:szCs w:val="22"/>
                <w:color w:val="auto"/>
              </w:rPr>
            </w:pPr>
          </w:p>
        </w:tc>
      </w:tr>
      <w:tr>
        <w:trPr>
          <w:trHeight w:val="244"/>
        </w:trPr>
        <w:tc>
          <w:tcPr>
            <w:tcW w:w="574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Vested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(18,332,944)</w:t>
            </w:r>
          </w:p>
        </w:tc>
        <w:tc>
          <w:tcPr>
            <w:tcW w:w="60" w:type="dxa"/>
            <w:vAlign w:val="bottom"/>
            <w:tcBorders>
              <w:bottom w:val="single" w:sz="8" w:color="E6E6E6"/>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0.99</w:t>
            </w:r>
          </w:p>
        </w:tc>
        <w:tc>
          <w:tcPr>
            <w:tcW w:w="60" w:type="dxa"/>
            <w:vAlign w:val="bottom"/>
            <w:tcBorders>
              <w:bottom w:val="single" w:sz="8" w:color="E6E6E6"/>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r>
      <w:tr>
        <w:trPr>
          <w:trHeight w:val="254"/>
        </w:trPr>
        <w:tc>
          <w:tcPr>
            <w:tcW w:w="5740" w:type="dxa"/>
            <w:vAlign w:val="bottom"/>
            <w:tcBorders>
              <w:bottom w:val="single" w:sz="8" w:color="E6E6E6"/>
            </w:tcBorders>
            <w:shd w:val="clear" w:color="auto" w:fill="E6E6E6"/>
          </w:tcPr>
          <w:p>
            <w:pPr>
              <w:ind w:left="60"/>
              <w:spacing w:after="0" w:line="214" w:lineRule="exact"/>
              <w:rPr>
                <w:sz w:val="20"/>
                <w:szCs w:val="20"/>
                <w:color w:val="auto"/>
              </w:rPr>
            </w:pPr>
            <w:r>
              <w:rPr>
                <w:rFonts w:ascii="Arial" w:cs="Arial" w:eastAsia="Arial" w:hAnsi="Arial"/>
                <w:sz w:val="20"/>
                <w:szCs w:val="20"/>
                <w:b w:val="1"/>
                <w:bCs w:val="1"/>
                <w:color w:val="auto"/>
              </w:rPr>
              <w:t>Outstanding at December 31, 2023</w:t>
            </w:r>
          </w:p>
        </w:tc>
        <w:tc>
          <w:tcPr>
            <w:tcW w:w="1160" w:type="dxa"/>
            <w:vAlign w:val="bottom"/>
            <w:tcBorders>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19,502,624</w:t>
            </w:r>
          </w:p>
        </w:tc>
        <w:tc>
          <w:tcPr>
            <w:tcW w:w="60" w:type="dxa"/>
            <w:vAlign w:val="bottom"/>
            <w:tcBorders>
              <w:bottom w:val="single" w:sz="8" w:color="E6E6E6"/>
            </w:tcBorders>
            <w:shd w:val="clear" w:color="auto" w:fill="E6E6E6"/>
          </w:tcPr>
          <w:p>
            <w:pPr>
              <w:spacing w:after="0"/>
              <w:rPr>
                <w:sz w:val="22"/>
                <w:szCs w:val="22"/>
                <w:color w:val="auto"/>
              </w:rPr>
            </w:pPr>
          </w:p>
        </w:tc>
        <w:tc>
          <w:tcPr>
            <w:tcW w:w="440" w:type="dxa"/>
            <w:vAlign w:val="bottom"/>
            <w:tcBorders>
              <w:bottom w:val="single" w:sz="8" w:color="auto"/>
            </w:tcBorders>
            <w:shd w:val="clear" w:color="auto" w:fill="E6E6E6"/>
          </w:tcPr>
          <w:p>
            <w:pPr>
              <w:jc w:val="right"/>
              <w:ind w:right="181"/>
              <w:spacing w:after="0" w:line="214" w:lineRule="exact"/>
              <w:rPr>
                <w:sz w:val="20"/>
                <w:szCs w:val="20"/>
                <w:color w:val="auto"/>
              </w:rPr>
            </w:pPr>
            <w:r>
              <w:rPr>
                <w:rFonts w:ascii="Arial" w:cs="Arial" w:eastAsia="Arial" w:hAnsi="Arial"/>
                <w:sz w:val="20"/>
                <w:szCs w:val="20"/>
                <w:color w:val="auto"/>
              </w:rPr>
              <w:t>$</w:t>
            </w:r>
          </w:p>
        </w:tc>
        <w:tc>
          <w:tcPr>
            <w:tcW w:w="700" w:type="dxa"/>
            <w:vAlign w:val="bottom"/>
            <w:tcBorders>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1.14</w:t>
            </w:r>
          </w:p>
        </w:tc>
        <w:tc>
          <w:tcPr>
            <w:tcW w:w="60" w:type="dxa"/>
            <w:vAlign w:val="bottom"/>
            <w:tcBorders>
              <w:bottom w:val="single" w:sz="8" w:color="E6E6E6"/>
            </w:tcBorders>
            <w:shd w:val="clear" w:color="auto" w:fill="E6E6E6"/>
          </w:tcPr>
          <w:p>
            <w:pPr>
              <w:spacing w:after="0"/>
              <w:rPr>
                <w:sz w:val="22"/>
                <w:szCs w:val="22"/>
                <w:color w:val="auto"/>
              </w:rPr>
            </w:pPr>
          </w:p>
        </w:tc>
        <w:tc>
          <w:tcPr>
            <w:tcW w:w="1160" w:type="dxa"/>
            <w:vAlign w:val="bottom"/>
            <w:tcBorders>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-1480820</wp:posOffset>
            </wp:positionV>
            <wp:extent cx="229044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7">
                      <a:extLst>
                        <a:ext uri="{28A0092B-C50C-407E-A947-70E740481C1C}"/>
                      </a:extLst>
                    </a:blip>
                    <a:srcRect/>
                    <a:stretch>
                      <a:fillRect/>
                    </a:stretch>
                  </pic:blipFill>
                  <pic:spPr bwMode="auto">
                    <a:xfrm>
                      <a:off x="0" y="0"/>
                      <a:ext cx="2290445" cy="2540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-836930</wp:posOffset>
            </wp:positionV>
            <wp:extent cx="229044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8">
                      <a:extLst>
                        <a:ext uri="{28A0092B-C50C-407E-A947-70E740481C1C}"/>
                      </a:extLst>
                    </a:blip>
                    <a:srcRect/>
                    <a:stretch>
                      <a:fillRect/>
                    </a:stretch>
                  </pic:blipFill>
                  <pic:spPr bwMode="auto">
                    <a:xfrm>
                      <a:off x="0" y="0"/>
                      <a:ext cx="2290445" cy="2540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-688340</wp:posOffset>
            </wp:positionV>
            <wp:extent cx="2290445"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9">
                      <a:extLst>
                        <a:ext uri="{28A0092B-C50C-407E-A947-70E740481C1C}"/>
                      </a:extLst>
                    </a:blip>
                    <a:srcRect/>
                    <a:stretch>
                      <a:fillRect/>
                    </a:stretch>
                  </pic:blipFill>
                  <pic:spPr bwMode="auto">
                    <a:xfrm>
                      <a:off x="0" y="0"/>
                      <a:ext cx="2290445" cy="5080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-192405</wp:posOffset>
            </wp:positionV>
            <wp:extent cx="229044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0">
                      <a:extLst>
                        <a:ext uri="{28A0092B-C50C-407E-A947-70E740481C1C}"/>
                      </a:extLst>
                    </a:blip>
                    <a:srcRect/>
                    <a:stretch>
                      <a:fillRect/>
                    </a:stretch>
                  </pic:blipFill>
                  <pic:spPr bwMode="auto">
                    <a:xfrm>
                      <a:off x="0" y="0"/>
                      <a:ext cx="2290445" cy="2540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-43815</wp:posOffset>
            </wp:positionV>
            <wp:extent cx="2290445"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1">
                      <a:extLst>
                        <a:ext uri="{28A0092B-C50C-407E-A947-70E740481C1C}"/>
                      </a:extLst>
                    </a:blip>
                    <a:srcRect/>
                    <a:stretch>
                      <a:fillRect/>
                    </a:stretch>
                  </pic:blipFill>
                  <pic:spPr bwMode="auto">
                    <a:xfrm>
                      <a:off x="0" y="0"/>
                      <a:ext cx="2290445" cy="508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intrinsic value of RSUs that vested in the years ended December 31, 2023 and 2022, was $41.5 million and $14.3 million, respectively.</w:t>
      </w:r>
    </w:p>
    <w:p>
      <w:pPr>
        <w:spacing w:after="0" w:line="5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of December 31, 2023, total compensation cost related to share options and RSUs granted but not yet recognized was $20.0 million. This cost will be amortized to expense over a weighted average remaining period of 1.9 years and will be adjusted for subsequent forfeitures.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Performance Restricted Stock Units (“PRSUs”)</w:t>
      </w:r>
    </w:p>
    <w:p>
      <w:pPr>
        <w:spacing w:after="0" w:line="111"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The Company began issuing PRSUs during 2023. PRSUs will begin to vest upon achievement of certain performance goals and are subject to continued service. The fair value of PRSUs will be recognized over the remaining service period using the graded-vesting method once the performance conditions are determined to be probable of occurring. Due to the presence of the performance conditions, which are not yet considered probable under the applicable accounting framework, the Company recognized no compensation expense for the PRSUs in 2023.</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Company’s PRSU activity for the year ended December 31, 2023 is as follows:</w:t>
      </w:r>
    </w:p>
    <w:p>
      <w:pPr>
        <w:sectPr>
          <w:pgSz w:w="11880" w:h="15480" w:orient="portrait"/>
          <w:cols w:equalWidth="0" w:num="1">
            <w:col w:w="9320"/>
          </w:cols>
          <w:pgMar w:left="1280" w:top="324" w:right="1280" w:bottom="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F-23</w:t>
      </w:r>
    </w:p>
    <w:p>
      <w:pPr>
        <w:sectPr>
          <w:pgSz w:w="11880" w:h="15480" w:orient="portrait"/>
          <w:cols w:equalWidth="0" w:num="1">
            <w:col w:w="9320"/>
          </w:cols>
          <w:pgMar w:left="1280" w:top="324" w:right="1280" w:bottom="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104"/>
              <w:spacing w:after="0"/>
              <w:rPr>
                <w:sz w:val="20"/>
                <w:szCs w:val="20"/>
                <w:color w:val="auto"/>
              </w:rPr>
            </w:pPr>
            <w:r>
              <w:rPr>
                <w:rFonts w:ascii="Arial" w:cs="Arial" w:eastAsia="Arial" w:hAnsi="Arial"/>
                <w:sz w:val="16"/>
                <w:szCs w:val="16"/>
                <w:b w:val="1"/>
                <w:bCs w:val="1"/>
                <w:color w:val="auto"/>
                <w:w w:val="91"/>
              </w:rPr>
              <w:t>Weighted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Aggregate</w:t>
            </w:r>
          </w:p>
        </w:tc>
      </w:tr>
      <w:tr>
        <w:trPr>
          <w:trHeight w:val="191"/>
        </w:trPr>
        <w:tc>
          <w:tcPr>
            <w:tcW w:w="5740" w:type="dxa"/>
            <w:vAlign w:val="bottom"/>
          </w:tcPr>
          <w:p>
            <w:pPr>
              <w:spacing w:after="0"/>
              <w:rPr>
                <w:sz w:val="16"/>
                <w:szCs w:val="16"/>
                <w:color w:val="auto"/>
              </w:rPr>
            </w:pPr>
          </w:p>
        </w:tc>
        <w:tc>
          <w:tcPr>
            <w:tcW w:w="1160" w:type="dxa"/>
            <w:vAlign w:val="bottom"/>
          </w:tcPr>
          <w:p>
            <w:pPr>
              <w:jc w:val="right"/>
              <w:ind w:right="107"/>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average grant</w:t>
            </w:r>
          </w:p>
        </w:tc>
        <w:tc>
          <w:tcPr>
            <w:tcW w:w="6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Intrinsic Value</w:t>
            </w:r>
          </w:p>
        </w:tc>
      </w:tr>
      <w:tr>
        <w:trPr>
          <w:trHeight w:val="217"/>
        </w:trPr>
        <w:tc>
          <w:tcPr>
            <w:tcW w:w="5740" w:type="dxa"/>
            <w:vAlign w:val="bottom"/>
            <w:tcBorders>
              <w:bottom w:val="single" w:sz="8" w:color="E6E6E6"/>
            </w:tcBorders>
          </w:tcPr>
          <w:p>
            <w:pPr>
              <w:spacing w:after="0"/>
              <w:rPr>
                <w:sz w:val="18"/>
                <w:szCs w:val="18"/>
                <w:color w:val="auto"/>
              </w:rPr>
            </w:pPr>
          </w:p>
        </w:tc>
        <w:tc>
          <w:tcPr>
            <w:tcW w:w="1160" w:type="dxa"/>
            <w:vAlign w:val="bottom"/>
            <w:tcBorders>
              <w:bottom w:val="single" w:sz="8" w:color="auto"/>
            </w:tcBorders>
          </w:tcPr>
          <w:p>
            <w:pPr>
              <w:jc w:val="right"/>
              <w:ind w:right="247"/>
              <w:spacing w:after="0"/>
              <w:rPr>
                <w:sz w:val="20"/>
                <w:szCs w:val="20"/>
                <w:color w:val="auto"/>
              </w:rPr>
            </w:pPr>
            <w:r>
              <w:rPr>
                <w:rFonts w:ascii="Arial" w:cs="Arial" w:eastAsia="Arial" w:hAnsi="Arial"/>
                <w:sz w:val="16"/>
                <w:szCs w:val="16"/>
                <w:b w:val="1"/>
                <w:bCs w:val="1"/>
                <w:color w:val="auto"/>
              </w:rPr>
              <w:t>PRSUs</w:t>
            </w:r>
          </w:p>
        </w:tc>
        <w:tc>
          <w:tcPr>
            <w:tcW w:w="60" w:type="dxa"/>
            <w:vAlign w:val="bottom"/>
            <w:tcBorders>
              <w:bottom w:val="single" w:sz="8" w:color="E6E6E6"/>
            </w:tcBorders>
          </w:tcPr>
          <w:p>
            <w:pPr>
              <w:spacing w:after="0"/>
              <w:rPr>
                <w:sz w:val="18"/>
                <w:szCs w:val="18"/>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date fair value</w:t>
            </w:r>
          </w:p>
        </w:tc>
        <w:tc>
          <w:tcPr>
            <w:tcW w:w="60" w:type="dxa"/>
            <w:vAlign w:val="bottom"/>
            <w:tcBorders>
              <w:bottom w:val="single" w:sz="8" w:color="E6E6E6"/>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87"/>
              </w:rPr>
              <w:t>(thousands)</w:t>
            </w:r>
          </w:p>
        </w:tc>
      </w:tr>
      <w:tr>
        <w:trPr>
          <w:trHeight w:val="244"/>
        </w:trPr>
        <w:tc>
          <w:tcPr>
            <w:tcW w:w="574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Outstanding at January 1, 2023</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1"/>
                <w:szCs w:val="21"/>
                <w:color w:val="auto"/>
              </w:rPr>
            </w:pPr>
          </w:p>
        </w:tc>
        <w:tc>
          <w:tcPr>
            <w:tcW w:w="20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980" w:type="dxa"/>
            <w:vAlign w:val="bottom"/>
            <w:shd w:val="clear" w:color="auto" w:fill="E6E6E6"/>
          </w:tcPr>
          <w:p>
            <w:pPr>
              <w:spacing w:after="0"/>
              <w:rPr>
                <w:sz w:val="21"/>
                <w:szCs w:val="21"/>
                <w:color w:val="auto"/>
              </w:rPr>
            </w:pPr>
          </w:p>
        </w:tc>
      </w:tr>
      <w:tr>
        <w:trPr>
          <w:trHeight w:val="254"/>
        </w:trPr>
        <w:tc>
          <w:tcPr>
            <w:tcW w:w="5740" w:type="dxa"/>
            <w:vAlign w:val="bottom"/>
          </w:tcPr>
          <w:p>
            <w:pPr>
              <w:ind w:left="60"/>
              <w:spacing w:after="0"/>
              <w:rPr>
                <w:sz w:val="20"/>
                <w:szCs w:val="20"/>
                <w:color w:val="auto"/>
              </w:rPr>
            </w:pPr>
            <w:r>
              <w:rPr>
                <w:rFonts w:ascii="Arial" w:cs="Arial" w:eastAsia="Arial" w:hAnsi="Arial"/>
                <w:sz w:val="20"/>
                <w:szCs w:val="20"/>
                <w:color w:val="auto"/>
              </w:rPr>
              <w:t>Granted</w:t>
            </w:r>
          </w:p>
        </w:tc>
        <w:tc>
          <w:tcPr>
            <w:tcW w:w="1160" w:type="dxa"/>
            <w:vAlign w:val="bottom"/>
          </w:tcPr>
          <w:p>
            <w:pPr>
              <w:jc w:val="right"/>
              <w:spacing w:after="0"/>
              <w:rPr>
                <w:sz w:val="20"/>
                <w:szCs w:val="20"/>
                <w:color w:val="auto"/>
              </w:rPr>
            </w:pPr>
            <w:r>
              <w:rPr>
                <w:rFonts w:ascii="Arial" w:cs="Arial" w:eastAsia="Arial" w:hAnsi="Arial"/>
                <w:sz w:val="20"/>
                <w:szCs w:val="20"/>
                <w:color w:val="auto"/>
              </w:rPr>
              <w:t>10,790,144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4"/>
        </w:trPr>
        <w:tc>
          <w:tcPr>
            <w:tcW w:w="57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Forfeited</w:t>
            </w:r>
          </w:p>
        </w:tc>
        <w:tc>
          <w:tcPr>
            <w:tcW w:w="11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(60,000)</w:t>
            </w:r>
          </w:p>
        </w:tc>
        <w:tc>
          <w:tcPr>
            <w:tcW w:w="60" w:type="dxa"/>
            <w:vAlign w:val="bottom"/>
            <w:tcBorders>
              <w:bottom w:val="single" w:sz="8" w:color="E6E6E6"/>
            </w:tcBorders>
            <w:shd w:val="clear" w:color="auto" w:fill="E6E6E6"/>
          </w:tcPr>
          <w:p>
            <w:pPr>
              <w:spacing w:after="0"/>
              <w:rPr>
                <w:sz w:val="22"/>
                <w:szCs w:val="22"/>
                <w:color w:val="auto"/>
              </w:rPr>
            </w:pPr>
          </w:p>
        </w:tc>
        <w:tc>
          <w:tcPr>
            <w:tcW w:w="200" w:type="dxa"/>
            <w:vAlign w:val="bottom"/>
            <w:tcBorders>
              <w:bottom w:val="single" w:sz="8" w:color="auto"/>
            </w:tcBorders>
            <w:shd w:val="clear" w:color="auto" w:fill="E6E6E6"/>
          </w:tcPr>
          <w:p>
            <w:pPr>
              <w:spacing w:after="0"/>
              <w:rPr>
                <w:sz w:val="22"/>
                <w:szCs w:val="22"/>
                <w:color w:val="auto"/>
              </w:rPr>
            </w:pPr>
          </w:p>
        </w:tc>
        <w:tc>
          <w:tcPr>
            <w:tcW w:w="94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1.66</w:t>
            </w:r>
          </w:p>
        </w:tc>
        <w:tc>
          <w:tcPr>
            <w:tcW w:w="60" w:type="dxa"/>
            <w:vAlign w:val="bottom"/>
            <w:tcBorders>
              <w:bottom w:val="single" w:sz="8" w:color="E6E6E6"/>
            </w:tcBorders>
            <w:shd w:val="clear" w:color="auto" w:fill="E6E6E6"/>
          </w:tcPr>
          <w:p>
            <w:pPr>
              <w:spacing w:after="0"/>
              <w:rPr>
                <w:sz w:val="22"/>
                <w:szCs w:val="22"/>
                <w:color w:val="auto"/>
              </w:rPr>
            </w:pPr>
          </w:p>
        </w:tc>
        <w:tc>
          <w:tcPr>
            <w:tcW w:w="180" w:type="dxa"/>
            <w:vAlign w:val="bottom"/>
            <w:tcBorders>
              <w:bottom w:val="single" w:sz="8" w:color="auto"/>
            </w:tcBorders>
            <w:shd w:val="clear" w:color="auto" w:fill="E6E6E6"/>
          </w:tcPr>
          <w:p>
            <w:pPr>
              <w:spacing w:after="0"/>
              <w:rPr>
                <w:sz w:val="22"/>
                <w:szCs w:val="22"/>
                <w:color w:val="auto"/>
              </w:rPr>
            </w:pPr>
          </w:p>
        </w:tc>
        <w:tc>
          <w:tcPr>
            <w:tcW w:w="980" w:type="dxa"/>
            <w:vAlign w:val="bottom"/>
            <w:tcBorders>
              <w:bottom w:val="single" w:sz="8" w:color="auto"/>
            </w:tcBorders>
            <w:shd w:val="clear" w:color="auto" w:fill="E6E6E6"/>
          </w:tcPr>
          <w:p>
            <w:pPr>
              <w:spacing w:after="0"/>
              <w:rPr>
                <w:sz w:val="22"/>
                <w:szCs w:val="22"/>
                <w:color w:val="auto"/>
              </w:rPr>
            </w:pPr>
          </w:p>
        </w:tc>
      </w:tr>
      <w:tr>
        <w:trPr>
          <w:trHeight w:val="194"/>
        </w:trPr>
        <w:tc>
          <w:tcPr>
            <w:tcW w:w="5740" w:type="dxa"/>
            <w:vAlign w:val="bottom"/>
          </w:tcPr>
          <w:p>
            <w:pPr>
              <w:ind w:left="60"/>
              <w:spacing w:after="0" w:line="194" w:lineRule="exact"/>
              <w:rPr>
                <w:sz w:val="20"/>
                <w:szCs w:val="20"/>
                <w:color w:val="auto"/>
              </w:rPr>
            </w:pPr>
            <w:r>
              <w:rPr>
                <w:rFonts w:ascii="Arial" w:cs="Arial" w:eastAsia="Arial" w:hAnsi="Arial"/>
                <w:sz w:val="20"/>
                <w:szCs w:val="20"/>
                <w:b w:val="1"/>
                <w:bCs w:val="1"/>
                <w:color w:val="auto"/>
              </w:rPr>
              <w:t>Outstanding at December 31, 2023</w:t>
            </w:r>
          </w:p>
        </w:tc>
        <w:tc>
          <w:tcPr>
            <w:tcW w:w="11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20"/>
                <w:szCs w:val="20"/>
                <w:color w:val="auto"/>
              </w:rPr>
              <w:t>10,730,144</w:t>
            </w:r>
          </w:p>
        </w:tc>
        <w:tc>
          <w:tcPr>
            <w:tcW w:w="60" w:type="dxa"/>
            <w:vAlign w:val="bottom"/>
          </w:tcPr>
          <w:p>
            <w:pPr>
              <w:spacing w:after="0"/>
              <w:rPr>
                <w:sz w:val="16"/>
                <w:szCs w:val="16"/>
                <w:color w:val="auto"/>
              </w:rPr>
            </w:pPr>
          </w:p>
        </w:tc>
        <w:tc>
          <w:tcPr>
            <w:tcW w:w="2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20"/>
                <w:szCs w:val="20"/>
                <w:color w:val="auto"/>
              </w:rPr>
              <w:t>1.66</w:t>
            </w:r>
          </w:p>
        </w:tc>
        <w:tc>
          <w:tcPr>
            <w:tcW w:w="6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20"/>
                <w:szCs w:val="20"/>
                <w:color w:val="auto"/>
              </w:rPr>
              <w:t>26,665</w:t>
            </w:r>
          </w:p>
        </w:tc>
      </w:tr>
      <w:tr>
        <w:trPr>
          <w:trHeight w:val="20"/>
        </w:trPr>
        <w:tc>
          <w:tcPr>
            <w:tcW w:w="5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-675640</wp:posOffset>
            </wp:positionV>
            <wp:extent cx="229044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2">
                      <a:extLst>
                        <a:ext uri="{28A0092B-C50C-407E-A947-70E740481C1C}"/>
                      </a:extLst>
                    </a:blip>
                    <a:srcRect/>
                    <a:stretch>
                      <a:fillRect/>
                    </a:stretch>
                  </pic:blipFill>
                  <pic:spPr bwMode="auto">
                    <a:xfrm>
                      <a:off x="0" y="0"/>
                      <a:ext cx="2290445" cy="25400"/>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-192405</wp:posOffset>
            </wp:positionV>
            <wp:extent cx="229044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3">
                      <a:extLst>
                        <a:ext uri="{28A0092B-C50C-407E-A947-70E740481C1C}"/>
                      </a:extLst>
                    </a:blip>
                    <a:srcRect/>
                    <a:stretch>
                      <a:fillRect/>
                    </a:stretch>
                  </pic:blipFill>
                  <pic:spPr bwMode="auto">
                    <a:xfrm>
                      <a:off x="0" y="0"/>
                      <a:ext cx="2290445" cy="25400"/>
                    </a:xfrm>
                    <a:prstGeom prst="rect">
                      <a:avLst/>
                    </a:prstGeom>
                    <a:noFill/>
                  </pic:spPr>
                </pic:pic>
              </a:graphicData>
            </a:graphic>
          </wp:anchor>
        </w:drawing>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total compensation cost not yet recognized as of December 31, 2023 related to non-vested PRSUs was $17.8 million, which will be recognized over a weighted-average period of approximately one year, once the performance condition is achieved.</w:t>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F-24</w:t>
      </w:r>
    </w:p>
    <w:p>
      <w:pPr>
        <w:sectPr>
          <w:pgSz w:w="11880" w:h="15480" w:orient="portrait"/>
          <w:cols w:equalWidth="0" w:num="1">
            <w:col w:w="9320"/>
          </w:cols>
          <w:pgMar w:left="1280" w:top="324" w:right="1280" w:bottom="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 Benefit plans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maintains a 401(k) defined contribution retirement plan in the U.S. and a defined contribution plan in the U.K. for its employees and executive directors. The assets of the plans are held separately from those of the Company in independently administered funds.</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retirement plan cost represents the contributions payable by the Company to the plans during the year. Defined contribution costs during the years ended December 31, 2023 and 2022 amounted to $0.6 million and $0.3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 Taxation</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Verona Pharma plc operates in the United Kingdom and Verona Pharma, Inc. in the United States and they are subject to income taxes in those countries. For the year ended December 31, 2023 the U.K. corporation tax is charged at 23.5% and the U.S. Federal Income tax rate is 21%.</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(profit)/loss before income taxes are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jc w:val="right"/>
              <w:ind w:right="624"/>
              <w:spacing w:after="0"/>
              <w:rPr>
                <w:sz w:val="20"/>
                <w:szCs w:val="20"/>
                <w:color w:val="auto"/>
              </w:rPr>
            </w:pPr>
            <w:r>
              <w:rPr>
                <w:rFonts w:ascii="Arial" w:cs="Arial" w:eastAsia="Arial" w:hAnsi="Arial"/>
                <w:sz w:val="16"/>
                <w:szCs w:val="16"/>
                <w:b w:val="1"/>
                <w:bCs w:val="1"/>
                <w:color w:val="auto"/>
              </w:rPr>
              <w:t>December 31,</w:t>
            </w:r>
          </w:p>
        </w:tc>
      </w:tr>
      <w:tr>
        <w:trPr>
          <w:trHeight w:val="219"/>
        </w:trPr>
        <w:tc>
          <w:tcPr>
            <w:tcW w:w="694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2022</w:t>
            </w:r>
          </w:p>
        </w:tc>
      </w:tr>
      <w:tr>
        <w:trPr>
          <w:trHeight w:val="244"/>
        </w:trPr>
        <w:tc>
          <w:tcPr>
            <w:tcW w:w="6940" w:type="dxa"/>
            <w:vAlign w:val="bottom"/>
            <w:shd w:val="clear" w:color="auto" w:fill="E6E6E6"/>
          </w:tcPr>
          <w:p>
            <w:pPr>
              <w:ind w:left="60"/>
              <w:spacing w:after="0"/>
              <w:rPr>
                <w:sz w:val="20"/>
                <w:szCs w:val="20"/>
                <w:color w:val="auto"/>
              </w:rPr>
            </w:pPr>
            <w:r>
              <w:rPr>
                <w:rFonts w:ascii="Arial" w:cs="Arial" w:eastAsia="Arial" w:hAnsi="Arial"/>
                <w:sz w:val="20"/>
                <w:szCs w:val="20"/>
                <w:color w:val="auto"/>
              </w:rPr>
              <w:t>United States</w:t>
            </w:r>
          </w:p>
        </w:tc>
        <w:tc>
          <w:tcPr>
            <w:tcW w:w="280" w:type="dxa"/>
            <w:vAlign w:val="bottom"/>
            <w:shd w:val="clear" w:color="auto" w:fill="E6E6E6"/>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(7,429)</w:t>
            </w: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(3,868)</w:t>
            </w:r>
          </w:p>
        </w:tc>
      </w:tr>
      <w:tr>
        <w:trPr>
          <w:trHeight w:val="24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United Kingdom</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61,324</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E6E6E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72,316</w:t>
            </w:r>
          </w:p>
        </w:tc>
      </w:tr>
      <w:tr>
        <w:trPr>
          <w:trHeight w:val="269"/>
        </w:trPr>
        <w:tc>
          <w:tcPr>
            <w:tcW w:w="6940" w:type="dxa"/>
            <w:vAlign w:val="bottom"/>
            <w:tcBorders>
              <w:bottom w:val="single" w:sz="8" w:color="E6E6E6"/>
            </w:tcBorders>
            <w:shd w:val="clear" w:color="auto" w:fill="E6E6E6"/>
          </w:tcPr>
          <w:p>
            <w:pPr>
              <w:ind w:left="60"/>
              <w:spacing w:after="0" w:line="229" w:lineRule="exact"/>
              <w:rPr>
                <w:sz w:val="20"/>
                <w:szCs w:val="20"/>
                <w:color w:val="auto"/>
              </w:rPr>
            </w:pPr>
            <w:r>
              <w:rPr>
                <w:rFonts w:ascii="Arial" w:cs="Arial" w:eastAsia="Arial" w:hAnsi="Arial"/>
                <w:sz w:val="20"/>
                <w:szCs w:val="20"/>
                <w:b w:val="1"/>
                <w:bCs w:val="1"/>
                <w:color w:val="auto"/>
              </w:rPr>
              <w:t>Total</w:t>
            </w:r>
          </w:p>
        </w:tc>
        <w:tc>
          <w:tcPr>
            <w:tcW w:w="280" w:type="dxa"/>
            <w:vAlign w:val="bottom"/>
            <w:tcBorders>
              <w:bottom w:val="single" w:sz="8" w:color="auto"/>
            </w:tcBorders>
            <w:shd w:val="clear" w:color="auto" w:fill="E6E6E6"/>
          </w:tcPr>
          <w:p>
            <w:pPr>
              <w:jc w:val="right"/>
              <w:ind w:right="21"/>
              <w:spacing w:after="0" w:line="229"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53,895</w:t>
            </w:r>
          </w:p>
        </w:tc>
        <w:tc>
          <w:tcPr>
            <w:tcW w:w="20" w:type="dxa"/>
            <w:vAlign w:val="bottom"/>
            <w:tcBorders>
              <w:bottom w:val="single" w:sz="8" w:color="auto"/>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jc w:val="right"/>
              <w:ind w:right="41"/>
              <w:spacing w:after="0" w:line="229" w:lineRule="exact"/>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68,448</w:t>
            </w:r>
          </w:p>
        </w:tc>
      </w:tr>
      <w:tr>
        <w:trPr>
          <w:trHeight w:val="387"/>
        </w:trPr>
        <w:tc>
          <w:tcPr>
            <w:tcW w:w="6940" w:type="dxa"/>
            <w:vAlign w:val="bottom"/>
          </w:tcPr>
          <w:p>
            <w:pPr>
              <w:spacing w:after="0"/>
              <w:rPr>
                <w:sz w:val="20"/>
                <w:szCs w:val="20"/>
                <w:color w:val="auto"/>
              </w:rPr>
            </w:pPr>
            <w:r>
              <w:rPr>
                <w:rFonts w:ascii="Arial" w:cs="Arial" w:eastAsia="Arial" w:hAnsi="Arial"/>
                <w:sz w:val="20"/>
                <w:szCs w:val="20"/>
                <w:color w:val="auto"/>
              </w:rPr>
              <w:t>The components of income tax expense are as follows (in thousands):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9"/>
        </w:trPr>
        <w:tc>
          <w:tcPr>
            <w:tcW w:w="6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624"/>
              <w:spacing w:after="0"/>
              <w:rPr>
                <w:sz w:val="20"/>
                <w:szCs w:val="20"/>
                <w:color w:val="auto"/>
              </w:rPr>
            </w:pPr>
            <w:r>
              <w:rPr>
                <w:rFonts w:ascii="Arial" w:cs="Arial" w:eastAsia="Arial" w:hAnsi="Arial"/>
                <w:sz w:val="16"/>
                <w:szCs w:val="16"/>
                <w:b w:val="1"/>
                <w:bCs w:val="1"/>
                <w:color w:val="auto"/>
              </w:rPr>
              <w:t>December 31,</w:t>
            </w:r>
          </w:p>
        </w:tc>
      </w:tr>
      <w:tr>
        <w:trPr>
          <w:trHeight w:val="219"/>
        </w:trPr>
        <w:tc>
          <w:tcPr>
            <w:tcW w:w="694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6"/>
                <w:szCs w:val="16"/>
                <w:b w:val="1"/>
                <w:bCs w:val="1"/>
                <w:color w:val="auto"/>
              </w:rPr>
              <w:t>2022</w:t>
            </w:r>
          </w:p>
        </w:tc>
      </w:tr>
      <w:tr>
        <w:trPr>
          <w:trHeight w:val="244"/>
        </w:trPr>
        <w:tc>
          <w:tcPr>
            <w:tcW w:w="6940" w:type="dxa"/>
            <w:vAlign w:val="bottom"/>
            <w:shd w:val="clear" w:color="auto" w:fill="E6E6E6"/>
          </w:tcPr>
          <w:p>
            <w:pPr>
              <w:ind w:left="60"/>
              <w:spacing w:after="0"/>
              <w:rPr>
                <w:sz w:val="20"/>
                <w:szCs w:val="20"/>
                <w:color w:val="auto"/>
              </w:rPr>
            </w:pPr>
            <w:r>
              <w:rPr>
                <w:rFonts w:ascii="Arial" w:cs="Arial" w:eastAsia="Arial" w:hAnsi="Arial"/>
                <w:sz w:val="20"/>
                <w:szCs w:val="20"/>
                <w:color w:val="auto"/>
              </w:rPr>
              <w:t>United States</w:t>
            </w:r>
          </w:p>
        </w:tc>
        <w:tc>
          <w:tcPr>
            <w:tcW w:w="280" w:type="dxa"/>
            <w:vAlign w:val="bottom"/>
            <w:shd w:val="clear" w:color="auto" w:fill="E6E6E6"/>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474</w:t>
            </w:r>
          </w:p>
        </w:tc>
        <w:tc>
          <w:tcPr>
            <w:tcW w:w="2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300" w:type="dxa"/>
            <w:vAlign w:val="bottom"/>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253</w:t>
            </w:r>
          </w:p>
        </w:tc>
      </w:tr>
      <w:tr>
        <w:trPr>
          <w:trHeight w:val="244"/>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United Kingdom</w:t>
            </w: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40" w:type="dxa"/>
            <w:vAlign w:val="bottom"/>
            <w:tcBorders>
              <w:bottom w:val="single" w:sz="8" w:color="E6E6E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69"/>
        </w:trPr>
        <w:tc>
          <w:tcPr>
            <w:tcW w:w="6940" w:type="dxa"/>
            <w:vAlign w:val="bottom"/>
            <w:tcBorders>
              <w:bottom w:val="single" w:sz="8" w:color="E6E6E6"/>
            </w:tcBorders>
            <w:shd w:val="clear" w:color="auto" w:fill="E6E6E6"/>
          </w:tcPr>
          <w:p>
            <w:pPr>
              <w:ind w:left="60"/>
              <w:spacing w:after="0" w:line="229" w:lineRule="exact"/>
              <w:rPr>
                <w:sz w:val="20"/>
                <w:szCs w:val="20"/>
                <w:color w:val="auto"/>
              </w:rPr>
            </w:pPr>
            <w:r>
              <w:rPr>
                <w:rFonts w:ascii="Arial" w:cs="Arial" w:eastAsia="Arial" w:hAnsi="Arial"/>
                <w:sz w:val="20"/>
                <w:szCs w:val="20"/>
                <w:b w:val="1"/>
                <w:bCs w:val="1"/>
                <w:color w:val="auto"/>
              </w:rPr>
              <w:t>Total current tax expense</w:t>
            </w:r>
          </w:p>
        </w:tc>
        <w:tc>
          <w:tcPr>
            <w:tcW w:w="280" w:type="dxa"/>
            <w:vAlign w:val="bottom"/>
            <w:tcBorders>
              <w:bottom w:val="single" w:sz="8" w:color="auto"/>
            </w:tcBorders>
            <w:shd w:val="clear" w:color="auto" w:fill="E6E6E6"/>
          </w:tcPr>
          <w:p>
            <w:pPr>
              <w:jc w:val="right"/>
              <w:ind w:right="21"/>
              <w:spacing w:after="0" w:line="229"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474</w:t>
            </w:r>
          </w:p>
        </w:tc>
        <w:tc>
          <w:tcPr>
            <w:tcW w:w="20" w:type="dxa"/>
            <w:vAlign w:val="bottom"/>
            <w:tcBorders>
              <w:bottom w:val="single" w:sz="8" w:color="auto"/>
            </w:tcBorders>
            <w:shd w:val="clear" w:color="auto" w:fill="E6E6E6"/>
          </w:tcPr>
          <w:p>
            <w:pPr>
              <w:spacing w:after="0"/>
              <w:rPr>
                <w:sz w:val="23"/>
                <w:szCs w:val="23"/>
                <w:color w:val="auto"/>
              </w:rPr>
            </w:pPr>
          </w:p>
        </w:tc>
        <w:tc>
          <w:tcPr>
            <w:tcW w:w="4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jc w:val="right"/>
              <w:ind w:right="41"/>
              <w:spacing w:after="0" w:line="229" w:lineRule="exact"/>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253</w:t>
            </w:r>
          </w:p>
        </w:tc>
      </w:tr>
      <w:tr>
        <w:trPr>
          <w:trHeight w:val="239"/>
        </w:trPr>
        <w:tc>
          <w:tcPr>
            <w:tcW w:w="6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4"/>
        </w:trPr>
        <w:tc>
          <w:tcPr>
            <w:tcW w:w="6940" w:type="dxa"/>
            <w:vAlign w:val="bottom"/>
            <w:shd w:val="clear" w:color="auto" w:fill="E6E6E6"/>
          </w:tcPr>
          <w:p>
            <w:pPr>
              <w:ind w:left="60"/>
              <w:spacing w:after="0"/>
              <w:rPr>
                <w:sz w:val="20"/>
                <w:szCs w:val="20"/>
                <w:color w:val="auto"/>
              </w:rPr>
            </w:pPr>
            <w:r>
              <w:rPr>
                <w:rFonts w:ascii="Arial" w:cs="Arial" w:eastAsia="Arial" w:hAnsi="Arial"/>
                <w:sz w:val="20"/>
                <w:szCs w:val="20"/>
                <w:color w:val="auto"/>
              </w:rPr>
              <w:t>United States</w:t>
            </w:r>
          </w:p>
        </w:tc>
        <w:tc>
          <w:tcPr>
            <w:tcW w:w="280" w:type="dxa"/>
            <w:vAlign w:val="bottom"/>
            <w:shd w:val="clear" w:color="auto" w:fill="E6E6E6"/>
          </w:tcPr>
          <w:p>
            <w:pPr>
              <w:jc w:val="right"/>
              <w:ind w:right="21"/>
              <w:spacing w:after="0"/>
              <w:rPr>
                <w:sz w:val="20"/>
                <w:szCs w:val="20"/>
                <w:color w:val="auto"/>
              </w:rPr>
            </w:pPr>
            <w:r>
              <w:rPr>
                <w:rFonts w:ascii="Arial" w:cs="Arial" w:eastAsia="Arial" w:hAnsi="Arial"/>
                <w:sz w:val="20"/>
                <w:szCs w:val="20"/>
                <w:color w:val="auto"/>
              </w:rPr>
              <w:t>$</w:t>
            </w:r>
          </w:p>
        </w:tc>
        <w:tc>
          <w:tcPr>
            <w:tcW w:w="900" w:type="dxa"/>
            <w:vAlign w:val="bottom"/>
            <w:gridSpan w:val="2"/>
            <w:shd w:val="clear" w:color="auto" w:fill="E6E6E6"/>
          </w:tcPr>
          <w:p>
            <w:pPr>
              <w:jc w:val="right"/>
              <w:ind w:right="100"/>
              <w:spacing w:after="0"/>
              <w:rPr>
                <w:sz w:val="20"/>
                <w:szCs w:val="20"/>
                <w:color w:val="auto"/>
              </w:rPr>
            </w:pPr>
            <w:r>
              <w:rPr>
                <w:rFonts w:ascii="Arial" w:cs="Arial" w:eastAsia="Arial" w:hAnsi="Arial"/>
                <w:sz w:val="20"/>
                <w:szCs w:val="20"/>
                <w:color w:val="auto"/>
              </w:rPr>
              <w:t>—</w:t>
            </w:r>
          </w:p>
        </w:tc>
        <w:tc>
          <w:tcPr>
            <w:tcW w:w="340" w:type="dxa"/>
            <w:vAlign w:val="bottom"/>
            <w:gridSpan w:val="2"/>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44"/>
        </w:trPr>
        <w:tc>
          <w:tcPr>
            <w:tcW w:w="6940" w:type="dxa"/>
            <w:vAlign w:val="bottom"/>
          </w:tcPr>
          <w:p>
            <w:pPr>
              <w:ind w:left="60"/>
              <w:spacing w:after="0"/>
              <w:rPr>
                <w:sz w:val="20"/>
                <w:szCs w:val="20"/>
                <w:color w:val="auto"/>
              </w:rPr>
            </w:pPr>
            <w:r>
              <w:rPr>
                <w:rFonts w:ascii="Arial" w:cs="Arial" w:eastAsia="Arial" w:hAnsi="Arial"/>
                <w:sz w:val="20"/>
                <w:szCs w:val="20"/>
                <w:color w:val="auto"/>
              </w:rPr>
              <w:t>United Kingdom</w:t>
            </w:r>
          </w:p>
        </w:tc>
        <w:tc>
          <w:tcPr>
            <w:tcW w:w="2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4"/>
        </w:trPr>
        <w:tc>
          <w:tcPr>
            <w:tcW w:w="6940" w:type="dxa"/>
            <w:vAlign w:val="bottom"/>
            <w:tcBorders>
              <w:top w:val="single" w:sz="8" w:color="E6E6E6"/>
              <w:bottom w:val="single" w:sz="8" w:color="E6E6E6"/>
            </w:tcBorders>
            <w:shd w:val="clear" w:color="auto" w:fill="E6E6E6"/>
          </w:tcPr>
          <w:p>
            <w:pPr>
              <w:ind w:left="60"/>
              <w:spacing w:after="0"/>
              <w:rPr>
                <w:sz w:val="20"/>
                <w:szCs w:val="20"/>
                <w:color w:val="auto"/>
              </w:rPr>
            </w:pPr>
            <w:r>
              <w:rPr>
                <w:rFonts w:ascii="Arial" w:cs="Arial" w:eastAsia="Arial" w:hAnsi="Arial"/>
                <w:sz w:val="20"/>
                <w:szCs w:val="20"/>
                <w:b w:val="1"/>
                <w:bCs w:val="1"/>
                <w:color w:val="auto"/>
              </w:rPr>
              <w:t>Total deferred tax expense</w:t>
            </w:r>
          </w:p>
        </w:tc>
        <w:tc>
          <w:tcPr>
            <w:tcW w:w="280" w:type="dxa"/>
            <w:vAlign w:val="bottom"/>
            <w:tcBorders>
              <w:top w:val="single" w:sz="8" w:color="auto"/>
              <w:bottom w:val="single" w:sz="8" w:color="auto"/>
            </w:tcBorders>
            <w:shd w:val="clear" w:color="auto" w:fill="E6E6E6"/>
          </w:tcPr>
          <w:p>
            <w:pPr>
              <w:spacing w:after="0"/>
              <w:rPr>
                <w:sz w:val="22"/>
                <w:szCs w:val="22"/>
                <w:color w:val="auto"/>
              </w:rPr>
            </w:pPr>
          </w:p>
        </w:tc>
        <w:tc>
          <w:tcPr>
            <w:tcW w:w="8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c>
          <w:tcPr>
            <w:tcW w:w="20" w:type="dxa"/>
            <w:vAlign w:val="bottom"/>
            <w:tcBorders>
              <w:top w:val="single" w:sz="8" w:color="E6E6E6"/>
              <w:bottom w:val="single" w:sz="8" w:color="E6E6E6"/>
            </w:tcBorders>
            <w:shd w:val="clear" w:color="auto" w:fill="E6E6E6"/>
          </w:tcPr>
          <w:p>
            <w:pPr>
              <w:spacing w:after="0"/>
              <w:rPr>
                <w:sz w:val="22"/>
                <w:szCs w:val="22"/>
                <w:color w:val="auto"/>
              </w:rPr>
            </w:pPr>
          </w:p>
        </w:tc>
        <w:tc>
          <w:tcPr>
            <w:tcW w:w="40" w:type="dxa"/>
            <w:vAlign w:val="bottom"/>
            <w:tcBorders>
              <w:top w:val="single" w:sz="8" w:color="E6E6E6"/>
              <w:bottom w:val="single" w:sz="8" w:color="E6E6E6"/>
            </w:tcBorders>
            <w:shd w:val="clear" w:color="auto" w:fill="E6E6E6"/>
          </w:tcPr>
          <w:p>
            <w:pPr>
              <w:spacing w:after="0"/>
              <w:rPr>
                <w:sz w:val="22"/>
                <w:szCs w:val="22"/>
                <w:color w:val="auto"/>
              </w:rPr>
            </w:pPr>
          </w:p>
        </w:tc>
        <w:tc>
          <w:tcPr>
            <w:tcW w:w="300" w:type="dxa"/>
            <w:vAlign w:val="bottom"/>
            <w:tcBorders>
              <w:top w:val="single" w:sz="8" w:color="auto"/>
              <w:bottom w:val="single" w:sz="8" w:color="auto"/>
            </w:tcBorders>
            <w:shd w:val="clear" w:color="auto" w:fill="E6E6E6"/>
          </w:tcPr>
          <w:p>
            <w:pPr>
              <w:spacing w:after="0"/>
              <w:rPr>
                <w:sz w:val="22"/>
                <w:szCs w:val="22"/>
                <w:color w:val="auto"/>
              </w:rPr>
            </w:pPr>
          </w:p>
        </w:tc>
        <w:tc>
          <w:tcPr>
            <w:tcW w:w="8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09"/>
        </w:trPr>
        <w:tc>
          <w:tcPr>
            <w:tcW w:w="6940" w:type="dxa"/>
            <w:vAlign w:val="bottom"/>
          </w:tcPr>
          <w:p>
            <w:pPr>
              <w:ind w:left="60"/>
              <w:spacing w:after="0" w:line="208" w:lineRule="exact"/>
              <w:rPr>
                <w:sz w:val="20"/>
                <w:szCs w:val="20"/>
                <w:color w:val="auto"/>
              </w:rPr>
            </w:pPr>
            <w:r>
              <w:rPr>
                <w:rFonts w:ascii="Arial" w:cs="Arial" w:eastAsia="Arial" w:hAnsi="Arial"/>
                <w:sz w:val="20"/>
                <w:szCs w:val="20"/>
                <w:b w:val="1"/>
                <w:bCs w:val="1"/>
                <w:color w:val="auto"/>
              </w:rPr>
              <w:t>Total income tax expense</w:t>
            </w:r>
          </w:p>
        </w:tc>
        <w:tc>
          <w:tcPr>
            <w:tcW w:w="280" w:type="dxa"/>
            <w:vAlign w:val="bottom"/>
            <w:tcBorders>
              <w:bottom w:val="single" w:sz="8" w:color="auto"/>
            </w:tcBorders>
          </w:tcPr>
          <w:p>
            <w:pPr>
              <w:jc w:val="right"/>
              <w:ind w:right="21"/>
              <w:spacing w:after="0" w:line="208"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20"/>
                <w:szCs w:val="20"/>
                <w:color w:val="auto"/>
              </w:rPr>
              <w:t>474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jc w:val="right"/>
              <w:ind w:right="41"/>
              <w:spacing w:after="0" w:line="208" w:lineRule="exact"/>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line="208" w:lineRule="exact"/>
              <w:rPr>
                <w:sz w:val="20"/>
                <w:szCs w:val="20"/>
                <w:color w:val="auto"/>
              </w:rPr>
            </w:pPr>
            <w:r>
              <w:rPr>
                <w:rFonts w:ascii="Arial" w:cs="Arial" w:eastAsia="Arial" w:hAnsi="Arial"/>
                <w:sz w:val="20"/>
                <w:szCs w:val="20"/>
                <w:color w:val="auto"/>
              </w:rPr>
              <w:t>253</w:t>
            </w:r>
          </w:p>
        </w:tc>
      </w:tr>
      <w:tr>
        <w:trPr>
          <w:trHeight w:val="20"/>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-2498090</wp:posOffset>
            </wp:positionV>
            <wp:extent cx="153225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4">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-2176145</wp:posOffset>
            </wp:positionV>
            <wp:extent cx="153225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5">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-2018030</wp:posOffset>
            </wp:positionV>
            <wp:extent cx="1532255"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6">
                      <a:extLst>
                        <a:ext uri="{28A0092B-C50C-407E-A947-70E740481C1C}"/>
                      </a:extLst>
                    </a:blip>
                    <a:srcRect/>
                    <a:stretch>
                      <a:fillRect/>
                    </a:stretch>
                  </pic:blipFill>
                  <pic:spPr bwMode="auto">
                    <a:xfrm>
                      <a:off x="0" y="0"/>
                      <a:ext cx="1532255" cy="508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-1348105</wp:posOffset>
            </wp:positionV>
            <wp:extent cx="153225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7">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-1026160</wp:posOffset>
            </wp:positionV>
            <wp:extent cx="153225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8">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-868045</wp:posOffset>
            </wp:positionV>
            <wp:extent cx="1532255" cy="508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9">
                      <a:extLst>
                        <a:ext uri="{28A0092B-C50C-407E-A947-70E740481C1C}"/>
                      </a:extLst>
                    </a:blip>
                    <a:srcRect/>
                    <a:stretch>
                      <a:fillRect/>
                    </a:stretch>
                  </pic:blipFill>
                  <pic:spPr bwMode="auto">
                    <a:xfrm>
                      <a:off x="0" y="0"/>
                      <a:ext cx="1532255" cy="508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-362585</wp:posOffset>
            </wp:positionV>
            <wp:extent cx="153225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0">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-201930</wp:posOffset>
            </wp:positionV>
            <wp:extent cx="153225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1">
                      <a:extLst>
                        <a:ext uri="{28A0092B-C50C-407E-A947-70E740481C1C}"/>
                      </a:extLst>
                    </a:blip>
                    <a:srcRect/>
                    <a:stretch>
                      <a:fillRect/>
                    </a:stretch>
                  </pic:blipFill>
                  <pic:spPr bwMode="auto">
                    <a:xfrm>
                      <a:off x="0" y="0"/>
                      <a:ext cx="1532255" cy="2540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U.K. statutory income tax rate to our effective income tax rate is as follows (in percentages):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238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6"/>
                <w:szCs w:val="16"/>
                <w:b w:val="1"/>
                <w:bCs w:val="1"/>
                <w:color w:val="auto"/>
              </w:rPr>
              <w:t>December 31,</w:t>
            </w:r>
          </w:p>
        </w:tc>
      </w:tr>
      <w:tr>
        <w:trPr>
          <w:trHeight w:val="219"/>
        </w:trPr>
        <w:tc>
          <w:tcPr>
            <w:tcW w:w="6940" w:type="dxa"/>
            <w:vAlign w:val="bottom"/>
          </w:tcPr>
          <w:p>
            <w:pPr>
              <w:spacing w:after="0"/>
              <w:rPr>
                <w:sz w:val="19"/>
                <w:szCs w:val="19"/>
                <w:color w:val="auto"/>
              </w:rPr>
            </w:pPr>
          </w:p>
        </w:tc>
        <w:tc>
          <w:tcPr>
            <w:tcW w:w="1160" w:type="dxa"/>
            <w:vAlign w:val="bottom"/>
          </w:tcPr>
          <w:p>
            <w:pPr>
              <w:jc w:val="right"/>
              <w:ind w:right="325"/>
              <w:spacing w:after="0"/>
              <w:rPr>
                <w:sz w:val="20"/>
                <w:szCs w:val="20"/>
                <w:color w:val="auto"/>
              </w:rPr>
            </w:pPr>
            <w:r>
              <w:rPr>
                <w:rFonts w:ascii="Arial" w:cs="Arial" w:eastAsia="Arial" w:hAnsi="Arial"/>
                <w:sz w:val="16"/>
                <w:szCs w:val="16"/>
                <w:b w:val="1"/>
                <w:bCs w:val="1"/>
                <w:color w:val="auto"/>
              </w:rPr>
              <w:t>2023</w:t>
            </w:r>
          </w:p>
        </w:tc>
        <w:tc>
          <w:tcPr>
            <w:tcW w:w="1220" w:type="dxa"/>
            <w:vAlign w:val="bottom"/>
            <w:gridSpan w:val="2"/>
          </w:tcPr>
          <w:p>
            <w:pPr>
              <w:jc w:val="right"/>
              <w:ind w:right="321"/>
              <w:spacing w:after="0"/>
              <w:rPr>
                <w:sz w:val="20"/>
                <w:szCs w:val="20"/>
                <w:color w:val="auto"/>
              </w:rPr>
            </w:pPr>
            <w:r>
              <w:rPr>
                <w:rFonts w:ascii="Arial" w:cs="Arial" w:eastAsia="Arial" w:hAnsi="Arial"/>
                <w:sz w:val="16"/>
                <w:szCs w:val="16"/>
                <w:b w:val="1"/>
                <w:bCs w:val="1"/>
                <w:color w:val="auto"/>
              </w:rPr>
              <w:t>2022</w:t>
            </w:r>
          </w:p>
        </w:tc>
      </w:tr>
      <w:tr>
        <w:trPr>
          <w:trHeight w:val="244"/>
        </w:trPr>
        <w:tc>
          <w:tcPr>
            <w:tcW w:w="6940" w:type="dxa"/>
            <w:vAlign w:val="bottom"/>
            <w:tcBorders>
              <w:top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U.K. tax rate</w:t>
            </w:r>
          </w:p>
        </w:tc>
        <w:tc>
          <w:tcPr>
            <w:tcW w:w="11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23.5 %</w:t>
            </w:r>
          </w:p>
        </w:tc>
        <w:tc>
          <w:tcPr>
            <w:tcW w:w="60" w:type="dxa"/>
            <w:vAlign w:val="bottom"/>
            <w:tcBorders>
              <w:top w:val="single" w:sz="8" w:color="E6E6E6"/>
            </w:tcBorders>
            <w:shd w:val="clear" w:color="auto" w:fill="E6E6E6"/>
          </w:tcPr>
          <w:p>
            <w:pPr>
              <w:spacing w:after="0"/>
              <w:rPr>
                <w:sz w:val="21"/>
                <w:szCs w:val="21"/>
                <w:color w:val="auto"/>
              </w:rPr>
            </w:pPr>
          </w:p>
        </w:tc>
        <w:tc>
          <w:tcPr>
            <w:tcW w:w="1160" w:type="dxa"/>
            <w:vAlign w:val="bottom"/>
            <w:tcBorders>
              <w:top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19.0 %</w:t>
            </w:r>
          </w:p>
        </w:tc>
      </w:tr>
      <w:tr>
        <w:trPr>
          <w:trHeight w:val="254"/>
        </w:trPr>
        <w:tc>
          <w:tcPr>
            <w:tcW w:w="6940" w:type="dxa"/>
            <w:vAlign w:val="bottom"/>
          </w:tcPr>
          <w:p>
            <w:pPr>
              <w:ind w:left="60"/>
              <w:spacing w:after="0"/>
              <w:rPr>
                <w:sz w:val="20"/>
                <w:szCs w:val="20"/>
                <w:color w:val="auto"/>
              </w:rPr>
            </w:pPr>
            <w:r>
              <w:rPr>
                <w:rFonts w:ascii="Arial" w:cs="Arial" w:eastAsia="Arial" w:hAnsi="Arial"/>
                <w:sz w:val="20"/>
                <w:szCs w:val="20"/>
                <w:color w:val="auto"/>
              </w:rPr>
              <w:t>Non-deductible expenses</w:t>
            </w:r>
          </w:p>
        </w:tc>
        <w:tc>
          <w:tcPr>
            <w:tcW w:w="1160" w:type="dxa"/>
            <w:vAlign w:val="bottom"/>
          </w:tcPr>
          <w:p>
            <w:pPr>
              <w:jc w:val="right"/>
              <w:spacing w:after="0"/>
              <w:rPr>
                <w:sz w:val="20"/>
                <w:szCs w:val="20"/>
                <w:color w:val="auto"/>
              </w:rPr>
            </w:pPr>
            <w:r>
              <w:rPr>
                <w:rFonts w:ascii="Arial" w:cs="Arial" w:eastAsia="Arial" w:hAnsi="Arial"/>
                <w:sz w:val="20"/>
                <w:szCs w:val="20"/>
                <w:color w:val="auto"/>
              </w:rPr>
              <w:t>(8.0)%</w:t>
            </w: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(1.8)%</w:t>
            </w:r>
          </w:p>
        </w:tc>
      </w:tr>
      <w:tr>
        <w:trPr>
          <w:trHeight w:val="254"/>
        </w:trPr>
        <w:tc>
          <w:tcPr>
            <w:tcW w:w="6940" w:type="dxa"/>
            <w:vAlign w:val="bottom"/>
            <w:shd w:val="clear" w:color="auto" w:fill="E6E6E6"/>
          </w:tcPr>
          <w:p>
            <w:pPr>
              <w:ind w:left="60"/>
              <w:spacing w:after="0"/>
              <w:rPr>
                <w:sz w:val="20"/>
                <w:szCs w:val="20"/>
                <w:color w:val="auto"/>
              </w:rPr>
            </w:pPr>
            <w:r>
              <w:rPr>
                <w:rFonts w:ascii="Arial" w:cs="Arial" w:eastAsia="Arial" w:hAnsi="Arial"/>
                <w:sz w:val="20"/>
                <w:szCs w:val="20"/>
                <w:color w:val="auto"/>
              </w:rPr>
              <w:t>Research and development incentive</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(4.1)%</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(8.0)%</w:t>
            </w:r>
          </w:p>
        </w:tc>
      </w:tr>
      <w:tr>
        <w:trPr>
          <w:trHeight w:val="254"/>
        </w:trPr>
        <w:tc>
          <w:tcPr>
            <w:tcW w:w="6940" w:type="dxa"/>
            <w:vAlign w:val="bottom"/>
          </w:tcPr>
          <w:p>
            <w:pPr>
              <w:ind w:left="60"/>
              <w:spacing w:after="0"/>
              <w:rPr>
                <w:sz w:val="20"/>
                <w:szCs w:val="20"/>
                <w:color w:val="auto"/>
              </w:rPr>
            </w:pPr>
            <w:r>
              <w:rPr>
                <w:rFonts w:ascii="Arial" w:cs="Arial" w:eastAsia="Arial" w:hAnsi="Arial"/>
                <w:sz w:val="20"/>
                <w:szCs w:val="20"/>
                <w:color w:val="auto"/>
              </w:rPr>
              <w:t>Share options exercised</w:t>
            </w:r>
          </w:p>
        </w:tc>
        <w:tc>
          <w:tcPr>
            <w:tcW w:w="1160" w:type="dxa"/>
            <w:vAlign w:val="bottom"/>
          </w:tcPr>
          <w:p>
            <w:pPr>
              <w:jc w:val="right"/>
              <w:spacing w:after="0"/>
              <w:rPr>
                <w:sz w:val="20"/>
                <w:szCs w:val="20"/>
                <w:color w:val="auto"/>
              </w:rPr>
            </w:pPr>
            <w:r>
              <w:rPr>
                <w:rFonts w:ascii="Arial" w:cs="Arial" w:eastAsia="Arial" w:hAnsi="Arial"/>
                <w:sz w:val="20"/>
                <w:szCs w:val="20"/>
                <w:color w:val="auto"/>
              </w:rPr>
              <w:t>5.4 %</w:t>
            </w: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2.1 %</w:t>
            </w:r>
          </w:p>
        </w:tc>
      </w:tr>
      <w:tr>
        <w:trPr>
          <w:trHeight w:val="254"/>
        </w:trPr>
        <w:tc>
          <w:tcPr>
            <w:tcW w:w="6940" w:type="dxa"/>
            <w:vAlign w:val="bottom"/>
            <w:shd w:val="clear" w:color="auto" w:fill="E6E6E6"/>
          </w:tcPr>
          <w:p>
            <w:pPr>
              <w:ind w:left="60"/>
              <w:spacing w:after="0"/>
              <w:rPr>
                <w:sz w:val="20"/>
                <w:szCs w:val="20"/>
                <w:color w:val="auto"/>
              </w:rPr>
            </w:pPr>
            <w:r>
              <w:rPr>
                <w:rFonts w:ascii="Arial" w:cs="Arial" w:eastAsia="Arial" w:hAnsi="Arial"/>
                <w:sz w:val="20"/>
                <w:szCs w:val="20"/>
                <w:color w:val="auto"/>
              </w:rPr>
              <w:t>Change in deferred tax valuation allowance</w:t>
            </w:r>
          </w:p>
        </w:tc>
        <w:tc>
          <w:tcPr>
            <w:tcW w:w="11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(18.1)%</w:t>
            </w:r>
          </w:p>
        </w:tc>
        <w:tc>
          <w:tcPr>
            <w:tcW w:w="1220" w:type="dxa"/>
            <w:vAlign w:val="bottom"/>
            <w:gridSpan w:val="2"/>
            <w:shd w:val="clear" w:color="auto" w:fill="E6E6E6"/>
          </w:tcPr>
          <w:p>
            <w:pPr>
              <w:jc w:val="right"/>
              <w:spacing w:after="0"/>
              <w:rPr>
                <w:sz w:val="20"/>
                <w:szCs w:val="20"/>
                <w:color w:val="auto"/>
              </w:rPr>
            </w:pPr>
            <w:r>
              <w:rPr>
                <w:rFonts w:ascii="Arial" w:cs="Arial" w:eastAsia="Arial" w:hAnsi="Arial"/>
                <w:sz w:val="20"/>
                <w:szCs w:val="20"/>
                <w:color w:val="auto"/>
              </w:rPr>
              <w:t>(11.6)%</w:t>
            </w:r>
          </w:p>
        </w:tc>
      </w:tr>
      <w:tr>
        <w:trPr>
          <w:trHeight w:val="244"/>
        </w:trPr>
        <w:tc>
          <w:tcPr>
            <w:tcW w:w="6940" w:type="dxa"/>
            <w:vAlign w:val="bottom"/>
          </w:tcPr>
          <w:p>
            <w:pPr>
              <w:ind w:left="60"/>
              <w:spacing w:after="0"/>
              <w:rPr>
                <w:sz w:val="20"/>
                <w:szCs w:val="20"/>
                <w:color w:val="auto"/>
              </w:rPr>
            </w:pPr>
            <w:r>
              <w:rPr>
                <w:rFonts w:ascii="Arial" w:cs="Arial" w:eastAsia="Arial" w:hAnsi="Arial"/>
                <w:sz w:val="20"/>
                <w:szCs w:val="20"/>
                <w:color w:val="auto"/>
              </w:rPr>
              <w:t>Other differences</w:t>
            </w:r>
          </w:p>
        </w:tc>
        <w:tc>
          <w:tcPr>
            <w:tcW w:w="1160" w:type="dxa"/>
            <w:vAlign w:val="bottom"/>
          </w:tcPr>
          <w:p>
            <w:pPr>
              <w:jc w:val="right"/>
              <w:spacing w:after="0"/>
              <w:rPr>
                <w:sz w:val="20"/>
                <w:szCs w:val="20"/>
                <w:color w:val="auto"/>
              </w:rPr>
            </w:pPr>
            <w:r>
              <w:rPr>
                <w:rFonts w:ascii="Arial" w:cs="Arial" w:eastAsia="Arial" w:hAnsi="Arial"/>
                <w:sz w:val="20"/>
                <w:szCs w:val="20"/>
                <w:color w:val="auto"/>
              </w:rPr>
              <w:t>0.4 %</w:t>
            </w:r>
          </w:p>
        </w:tc>
        <w:tc>
          <w:tcPr>
            <w:tcW w:w="1220" w:type="dxa"/>
            <w:vAlign w:val="bottom"/>
            <w:gridSpan w:val="2"/>
          </w:tcPr>
          <w:p>
            <w:pPr>
              <w:jc w:val="right"/>
              <w:spacing w:after="0"/>
              <w:rPr>
                <w:sz w:val="20"/>
                <w:szCs w:val="20"/>
                <w:color w:val="auto"/>
              </w:rPr>
            </w:pPr>
            <w:r>
              <w:rPr>
                <w:rFonts w:ascii="Arial" w:cs="Arial" w:eastAsia="Arial" w:hAnsi="Arial"/>
                <w:sz w:val="20"/>
                <w:szCs w:val="20"/>
                <w:color w:val="auto"/>
              </w:rPr>
              <w:t>(0.1)%</w:t>
            </w:r>
          </w:p>
        </w:tc>
      </w:tr>
      <w:tr>
        <w:trPr>
          <w:trHeight w:val="254"/>
        </w:trPr>
        <w:tc>
          <w:tcPr>
            <w:tcW w:w="6940" w:type="dxa"/>
            <w:vAlign w:val="bottom"/>
            <w:tcBorders>
              <w:top w:val="single" w:sz="8" w:color="E6E6E6"/>
              <w:bottom w:val="single" w:sz="8" w:color="E6E6E6"/>
            </w:tcBorders>
            <w:shd w:val="clear" w:color="auto" w:fill="E6E6E6"/>
          </w:tcPr>
          <w:p>
            <w:pPr>
              <w:ind w:left="60"/>
              <w:spacing w:after="0" w:line="214" w:lineRule="exact"/>
              <w:rPr>
                <w:sz w:val="20"/>
                <w:szCs w:val="20"/>
                <w:color w:val="auto"/>
              </w:rPr>
            </w:pPr>
            <w:r>
              <w:rPr>
                <w:rFonts w:ascii="Arial" w:cs="Arial" w:eastAsia="Arial" w:hAnsi="Arial"/>
                <w:sz w:val="20"/>
                <w:szCs w:val="20"/>
                <w:b w:val="1"/>
                <w:bCs w:val="1"/>
                <w:color w:val="auto"/>
              </w:rPr>
              <w:t>Effective income tax rate</w:t>
            </w:r>
          </w:p>
        </w:tc>
        <w:tc>
          <w:tcPr>
            <w:tcW w:w="1160" w:type="dxa"/>
            <w:vAlign w:val="bottom"/>
            <w:tcBorders>
              <w:top w:val="single" w:sz="8" w:color="auto"/>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(0.9)%</w:t>
            </w:r>
          </w:p>
        </w:tc>
        <w:tc>
          <w:tcPr>
            <w:tcW w:w="60" w:type="dxa"/>
            <w:vAlign w:val="bottom"/>
            <w:tcBorders>
              <w:top w:val="single" w:sz="8" w:color="E6E6E6"/>
              <w:bottom w:val="single" w:sz="8" w:color="E6E6E6"/>
            </w:tcBorders>
            <w:shd w:val="clear" w:color="auto" w:fill="E6E6E6"/>
          </w:tcPr>
          <w:p>
            <w:pPr>
              <w:spacing w:after="0"/>
              <w:rPr>
                <w:sz w:val="22"/>
                <w:szCs w:val="22"/>
                <w:color w:val="auto"/>
              </w:rPr>
            </w:pPr>
          </w:p>
        </w:tc>
        <w:tc>
          <w:tcPr>
            <w:tcW w:w="1160" w:type="dxa"/>
            <w:vAlign w:val="bottom"/>
            <w:tcBorders>
              <w:top w:val="single" w:sz="8" w:color="auto"/>
              <w:bottom w:val="single" w:sz="8" w:color="auto"/>
            </w:tcBorders>
            <w:shd w:val="clear" w:color="auto" w:fill="E6E6E6"/>
          </w:tcPr>
          <w:p>
            <w:pPr>
              <w:jc w:val="right"/>
              <w:spacing w:after="0" w:line="214" w:lineRule="exact"/>
              <w:rPr>
                <w:sz w:val="20"/>
                <w:szCs w:val="20"/>
                <w:color w:val="auto"/>
              </w:rPr>
            </w:pPr>
            <w:r>
              <w:rPr>
                <w:rFonts w:ascii="Arial" w:cs="Arial" w:eastAsia="Arial" w:hAnsi="Arial"/>
                <w:sz w:val="20"/>
                <w:szCs w:val="20"/>
                <w:color w:val="auto"/>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-1158875</wp:posOffset>
            </wp:positionV>
            <wp:extent cx="153225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2">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-192405</wp:posOffset>
            </wp:positionV>
            <wp:extent cx="153225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3">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-43815</wp:posOffset>
            </wp:positionV>
            <wp:extent cx="1532255"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4">
                      <a:extLst>
                        <a:ext uri="{28A0092B-C50C-407E-A947-70E740481C1C}"/>
                      </a:extLst>
                    </a:blip>
                    <a:srcRect/>
                    <a:stretch>
                      <a:fillRect/>
                    </a:stretch>
                  </pic:blipFill>
                  <pic:spPr bwMode="auto">
                    <a:xfrm>
                      <a:off x="0" y="0"/>
                      <a:ext cx="1532255" cy="50800"/>
                    </a:xfrm>
                    <a:prstGeom prst="rect">
                      <a:avLst/>
                    </a:prstGeom>
                    <a:noFill/>
                  </pic:spPr>
                </pic:pic>
              </a:graphicData>
            </a:graphic>
          </wp:anchor>
        </w:drawing>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F-25</w:t>
      </w:r>
    </w:p>
    <w:p>
      <w:pPr>
        <w:sectPr>
          <w:pgSz w:w="11880" w:h="15480" w:orient="portrait"/>
          <w:cols w:equalWidth="0" w:num="1">
            <w:col w:w="9320"/>
          </w:cols>
          <w:pgMar w:left="1280" w:top="324" w:right="1280" w:bottom="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Components of the Company’s deferred tax assets and liabilities are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4"/>
          </w:tcPr>
          <w:p>
            <w:pPr>
              <w:jc w:val="right"/>
              <w:ind w:right="622"/>
              <w:spacing w:after="0"/>
              <w:rPr>
                <w:sz w:val="20"/>
                <w:szCs w:val="20"/>
                <w:color w:val="auto"/>
              </w:rPr>
            </w:pPr>
            <w:r>
              <w:rPr>
                <w:rFonts w:ascii="Arial" w:cs="Arial" w:eastAsia="Arial" w:hAnsi="Arial"/>
                <w:sz w:val="16"/>
                <w:szCs w:val="16"/>
                <w:b w:val="1"/>
                <w:bCs w:val="1"/>
                <w:color w:val="auto"/>
              </w:rPr>
              <w:t>December 31,</w:t>
            </w:r>
          </w:p>
        </w:tc>
      </w:tr>
      <w:tr>
        <w:trPr>
          <w:trHeight w:val="21"/>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3"/>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23"/>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22"/>
              <w:spacing w:after="0"/>
              <w:rPr>
                <w:sz w:val="20"/>
                <w:szCs w:val="20"/>
                <w:color w:val="auto"/>
              </w:rPr>
            </w:pPr>
            <w:r>
              <w:rPr>
                <w:rFonts w:ascii="Arial" w:cs="Arial" w:eastAsia="Arial" w:hAnsi="Arial"/>
                <w:sz w:val="16"/>
                <w:szCs w:val="16"/>
                <w:b w:val="1"/>
                <w:bCs w:val="1"/>
                <w:color w:val="auto"/>
              </w:rPr>
              <w:t>2022</w:t>
            </w:r>
          </w:p>
        </w:tc>
      </w:tr>
      <w:tr>
        <w:trPr>
          <w:trHeight w:val="21"/>
        </w:trPr>
        <w:tc>
          <w:tcPr>
            <w:tcW w:w="6940" w:type="dxa"/>
            <w:vAlign w:val="bottom"/>
            <w:tcBorders>
              <w:bottom w:val="single" w:sz="8" w:color="E6E6E6"/>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E6E6E6"/>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694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Deferred tax liabilities:</w:t>
            </w:r>
          </w:p>
        </w:tc>
        <w:tc>
          <w:tcPr>
            <w:tcW w:w="280" w:type="dxa"/>
            <w:vAlign w:val="bottom"/>
            <w:shd w:val="clear" w:color="auto" w:fill="E6E6E6"/>
          </w:tcPr>
          <w:p>
            <w:pPr>
              <w:spacing w:after="0"/>
              <w:rPr>
                <w:sz w:val="21"/>
                <w:szCs w:val="21"/>
                <w:color w:val="auto"/>
              </w:rPr>
            </w:pPr>
          </w:p>
        </w:tc>
        <w:tc>
          <w:tcPr>
            <w:tcW w:w="8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860" w:type="dxa"/>
            <w:vAlign w:val="bottom"/>
            <w:shd w:val="clear" w:color="auto" w:fill="E6E6E6"/>
          </w:tcPr>
          <w:p>
            <w:pPr>
              <w:spacing w:after="0"/>
              <w:rPr>
                <w:sz w:val="21"/>
                <w:szCs w:val="21"/>
                <w:color w:val="auto"/>
              </w:rPr>
            </w:pPr>
          </w:p>
        </w:tc>
      </w:tr>
      <w:tr>
        <w:trPr>
          <w:trHeight w:val="244"/>
        </w:trPr>
        <w:tc>
          <w:tcPr>
            <w:tcW w:w="6940" w:type="dxa"/>
            <w:vAlign w:val="bottom"/>
          </w:tcPr>
          <w:p>
            <w:pPr>
              <w:ind w:left="60"/>
              <w:spacing w:after="0" w:line="244" w:lineRule="exact"/>
              <w:rPr>
                <w:sz w:val="20"/>
                <w:szCs w:val="20"/>
                <w:color w:val="auto"/>
              </w:rPr>
            </w:pPr>
            <w:r>
              <w:rPr>
                <w:rFonts w:ascii="Arial" w:cs="Arial" w:eastAsia="Arial" w:hAnsi="Arial"/>
                <w:sz w:val="20"/>
                <w:szCs w:val="20"/>
                <w:color w:val="auto"/>
              </w:rPr>
              <w:t xml:space="preserve">Contingent liability </w:t>
            </w:r>
            <w:r>
              <w:rPr>
                <w:rFonts w:ascii="Arial" w:cs="Arial" w:eastAsia="Arial" w:hAnsi="Arial"/>
                <w:sz w:val="25"/>
                <w:szCs w:val="25"/>
                <w:color w:val="auto"/>
                <w:vertAlign w:val="superscript"/>
              </w:rPr>
              <w:t>(1)</w:t>
            </w:r>
          </w:p>
        </w:tc>
        <w:tc>
          <w:tcPr>
            <w:tcW w:w="2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(53,851)</w:t>
            </w:r>
          </w:p>
        </w:tc>
        <w:tc>
          <w:tcPr>
            <w:tcW w:w="36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(34,565)</w:t>
            </w:r>
          </w:p>
        </w:tc>
      </w:tr>
      <w:tr>
        <w:trPr>
          <w:trHeight w:val="234"/>
        </w:trPr>
        <w:tc>
          <w:tcPr>
            <w:tcW w:w="6940" w:type="dxa"/>
            <w:vAlign w:val="bottom"/>
            <w:tcBorders>
              <w:top w:val="single" w:sz="8" w:color="E6E6E6"/>
              <w:bottom w:val="single" w:sz="8" w:color="E6E6E6"/>
            </w:tcBorders>
            <w:shd w:val="clear" w:color="auto" w:fill="E6E6E6"/>
          </w:tcPr>
          <w:p>
            <w:pPr>
              <w:ind w:left="60"/>
              <w:spacing w:after="0"/>
              <w:rPr>
                <w:sz w:val="20"/>
                <w:szCs w:val="20"/>
                <w:color w:val="auto"/>
              </w:rPr>
            </w:pPr>
            <w:r>
              <w:rPr>
                <w:rFonts w:ascii="Arial" w:cs="Arial" w:eastAsia="Arial" w:hAnsi="Arial"/>
                <w:sz w:val="20"/>
                <w:szCs w:val="20"/>
                <w:b w:val="1"/>
                <w:bCs w:val="1"/>
                <w:color w:val="auto"/>
              </w:rPr>
              <w:t>Total deferred tax liabilities</w:t>
            </w:r>
          </w:p>
        </w:tc>
        <w:tc>
          <w:tcPr>
            <w:tcW w:w="280" w:type="dxa"/>
            <w:vAlign w:val="bottom"/>
            <w:tcBorders>
              <w:top w:val="single" w:sz="8" w:color="auto"/>
              <w:bottom w:val="single" w:sz="8" w:color="auto"/>
            </w:tcBorders>
            <w:shd w:val="clear" w:color="auto" w:fill="E6E6E6"/>
          </w:tcPr>
          <w:p>
            <w:pPr>
              <w:spacing w:after="0"/>
              <w:rPr>
                <w:sz w:val="20"/>
                <w:szCs w:val="20"/>
                <w:color w:val="auto"/>
              </w:rPr>
            </w:pPr>
          </w:p>
        </w:tc>
        <w:tc>
          <w:tcPr>
            <w:tcW w:w="8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(53,851)</w:t>
            </w:r>
          </w:p>
        </w:tc>
        <w:tc>
          <w:tcPr>
            <w:tcW w:w="60" w:type="dxa"/>
            <w:vAlign w:val="bottom"/>
            <w:tcBorders>
              <w:top w:val="single" w:sz="8" w:color="E6E6E6"/>
              <w:bottom w:val="single" w:sz="8" w:color="E6E6E6"/>
            </w:tcBorders>
            <w:shd w:val="clear" w:color="auto" w:fill="E6E6E6"/>
          </w:tcPr>
          <w:p>
            <w:pPr>
              <w:spacing w:after="0"/>
              <w:rPr>
                <w:sz w:val="20"/>
                <w:szCs w:val="20"/>
                <w:color w:val="auto"/>
              </w:rPr>
            </w:pPr>
          </w:p>
        </w:tc>
        <w:tc>
          <w:tcPr>
            <w:tcW w:w="300" w:type="dxa"/>
            <w:vAlign w:val="bottom"/>
            <w:tcBorders>
              <w:top w:val="single" w:sz="8" w:color="auto"/>
              <w:bottom w:val="single" w:sz="8" w:color="auto"/>
            </w:tcBorders>
            <w:shd w:val="clear" w:color="auto" w:fill="E6E6E6"/>
          </w:tcPr>
          <w:p>
            <w:pPr>
              <w:spacing w:after="0"/>
              <w:rPr>
                <w:sz w:val="20"/>
                <w:szCs w:val="20"/>
                <w:color w:val="auto"/>
              </w:rPr>
            </w:pPr>
          </w:p>
        </w:tc>
        <w:tc>
          <w:tcPr>
            <w:tcW w:w="8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(34,565)</w:t>
            </w:r>
          </w:p>
        </w:tc>
      </w:tr>
      <w:tr>
        <w:trPr>
          <w:trHeight w:val="244"/>
        </w:trPr>
        <w:tc>
          <w:tcPr>
            <w:tcW w:w="6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9"/>
        </w:trPr>
        <w:tc>
          <w:tcPr>
            <w:tcW w:w="6940" w:type="dxa"/>
            <w:vAlign w:val="bottom"/>
            <w:shd w:val="clear" w:color="auto" w:fill="E6E6E6"/>
          </w:tcPr>
          <w:p>
            <w:pPr>
              <w:ind w:left="60"/>
              <w:spacing w:after="0"/>
              <w:rPr>
                <w:sz w:val="20"/>
                <w:szCs w:val="20"/>
                <w:color w:val="auto"/>
              </w:rPr>
            </w:pPr>
            <w:r>
              <w:rPr>
                <w:rFonts w:ascii="Arial" w:cs="Arial" w:eastAsia="Arial" w:hAnsi="Arial"/>
                <w:sz w:val="20"/>
                <w:szCs w:val="20"/>
                <w:b w:val="1"/>
                <w:bCs w:val="1"/>
                <w:color w:val="auto"/>
              </w:rPr>
              <w:t>Deferred tax assets:</w:t>
            </w:r>
          </w:p>
        </w:tc>
        <w:tc>
          <w:tcPr>
            <w:tcW w:w="280" w:type="dxa"/>
            <w:vAlign w:val="bottom"/>
            <w:shd w:val="clear" w:color="auto" w:fill="E6E6E6"/>
          </w:tcPr>
          <w:p>
            <w:pPr>
              <w:spacing w:after="0"/>
              <w:rPr>
                <w:sz w:val="23"/>
                <w:szCs w:val="23"/>
                <w:color w:val="auto"/>
              </w:rPr>
            </w:pPr>
          </w:p>
        </w:tc>
        <w:tc>
          <w:tcPr>
            <w:tcW w:w="88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860" w:type="dxa"/>
            <w:vAlign w:val="bottom"/>
            <w:shd w:val="clear" w:color="auto" w:fill="E6E6E6"/>
          </w:tcPr>
          <w:p>
            <w:pPr>
              <w:spacing w:after="0"/>
              <w:rPr>
                <w:sz w:val="23"/>
                <w:szCs w:val="23"/>
                <w:color w:val="auto"/>
              </w:rPr>
            </w:pPr>
          </w:p>
        </w:tc>
      </w:tr>
      <w:tr>
        <w:trPr>
          <w:trHeight w:val="265"/>
        </w:trPr>
        <w:tc>
          <w:tcPr>
            <w:tcW w:w="6940" w:type="dxa"/>
            <w:vAlign w:val="bottom"/>
          </w:tcPr>
          <w:p>
            <w:pPr>
              <w:ind w:left="60"/>
              <w:spacing w:after="0"/>
              <w:rPr>
                <w:sz w:val="20"/>
                <w:szCs w:val="20"/>
                <w:color w:val="auto"/>
              </w:rPr>
            </w:pPr>
            <w:r>
              <w:rPr>
                <w:rFonts w:ascii="Arial" w:cs="Arial" w:eastAsia="Arial" w:hAnsi="Arial"/>
                <w:sz w:val="20"/>
                <w:szCs w:val="20"/>
                <w:color w:val="auto"/>
              </w:rPr>
              <w:t>Net operating losses</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54,012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38,893</w:t>
            </w:r>
          </w:p>
        </w:tc>
      </w:tr>
      <w:tr>
        <w:trPr>
          <w:trHeight w:val="258"/>
        </w:trPr>
        <w:tc>
          <w:tcPr>
            <w:tcW w:w="6940" w:type="dxa"/>
            <w:vAlign w:val="bottom"/>
            <w:shd w:val="clear" w:color="auto" w:fill="E6E6E6"/>
          </w:tcPr>
          <w:p>
            <w:pPr>
              <w:ind w:left="60"/>
              <w:spacing w:after="0" w:line="258" w:lineRule="exact"/>
              <w:rPr>
                <w:sz w:val="20"/>
                <w:szCs w:val="20"/>
                <w:color w:val="auto"/>
              </w:rPr>
            </w:pPr>
            <w:r>
              <w:rPr>
                <w:rFonts w:ascii="Arial" w:cs="Arial" w:eastAsia="Arial" w:hAnsi="Arial"/>
                <w:sz w:val="20"/>
                <w:szCs w:val="20"/>
                <w:color w:val="auto"/>
              </w:rPr>
              <w:t xml:space="preserve">IPR&amp;D asset </w:t>
            </w:r>
            <w:r>
              <w:rPr>
                <w:rFonts w:ascii="Arial" w:cs="Arial" w:eastAsia="Arial" w:hAnsi="Arial"/>
                <w:sz w:val="25"/>
                <w:szCs w:val="25"/>
                <w:color w:val="auto"/>
                <w:vertAlign w:val="superscript"/>
              </w:rPr>
              <w:t>(1)</w:t>
            </w:r>
          </w:p>
        </w:tc>
        <w:tc>
          <w:tcPr>
            <w:tcW w:w="280" w:type="dxa"/>
            <w:vAlign w:val="bottom"/>
            <w:shd w:val="clear" w:color="auto" w:fill="E6E6E6"/>
          </w:tcPr>
          <w:p>
            <w:pPr>
              <w:spacing w:after="0"/>
              <w:rPr>
                <w:sz w:val="22"/>
                <w:szCs w:val="22"/>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47,793</w:t>
            </w:r>
          </w:p>
        </w:tc>
        <w:tc>
          <w:tcPr>
            <w:tcW w:w="60" w:type="dxa"/>
            <w:vAlign w:val="bottom"/>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32,700</w:t>
            </w:r>
          </w:p>
        </w:tc>
      </w:tr>
      <w:tr>
        <w:trPr>
          <w:trHeight w:val="254"/>
        </w:trPr>
        <w:tc>
          <w:tcPr>
            <w:tcW w:w="6940" w:type="dxa"/>
            <w:vAlign w:val="bottom"/>
          </w:tcPr>
          <w:p>
            <w:pPr>
              <w:ind w:left="60"/>
              <w:spacing w:after="0"/>
              <w:rPr>
                <w:sz w:val="20"/>
                <w:szCs w:val="20"/>
                <w:color w:val="auto"/>
              </w:rPr>
            </w:pPr>
            <w:r>
              <w:rPr>
                <w:rFonts w:ascii="Arial" w:cs="Arial" w:eastAsia="Arial" w:hAnsi="Arial"/>
                <w:sz w:val="20"/>
                <w:szCs w:val="20"/>
                <w:color w:val="auto"/>
              </w:rPr>
              <w:t>Future exercisable shares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7,548</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11,964</w:t>
            </w:r>
          </w:p>
        </w:tc>
      </w:tr>
      <w:tr>
        <w:trPr>
          <w:trHeight w:val="264"/>
        </w:trPr>
        <w:tc>
          <w:tcPr>
            <w:tcW w:w="6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Other</w:t>
            </w:r>
          </w:p>
        </w:tc>
        <w:tc>
          <w:tcPr>
            <w:tcW w:w="280" w:type="dxa"/>
            <w:vAlign w:val="bottom"/>
            <w:tcBorders>
              <w:bottom w:val="single" w:sz="8" w:color="auto"/>
            </w:tcBorders>
            <w:shd w:val="clear" w:color="auto" w:fill="E6E6E6"/>
          </w:tcPr>
          <w:p>
            <w:pPr>
              <w:spacing w:after="0"/>
              <w:rPr>
                <w:sz w:val="22"/>
                <w:szCs w:val="22"/>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21</w:t>
            </w:r>
          </w:p>
        </w:tc>
        <w:tc>
          <w:tcPr>
            <w:tcW w:w="60" w:type="dxa"/>
            <w:vAlign w:val="bottom"/>
            <w:tcBorders>
              <w:bottom w:val="single" w:sz="8" w:color="E6E6E6"/>
            </w:tcBorders>
            <w:shd w:val="clear" w:color="auto" w:fill="E6E6E6"/>
          </w:tcPr>
          <w:p>
            <w:pPr>
              <w:spacing w:after="0"/>
              <w:rPr>
                <w:sz w:val="22"/>
                <w:szCs w:val="22"/>
                <w:color w:val="auto"/>
              </w:rPr>
            </w:pPr>
          </w:p>
        </w:tc>
        <w:tc>
          <w:tcPr>
            <w:tcW w:w="300" w:type="dxa"/>
            <w:vAlign w:val="bottom"/>
            <w:tcBorders>
              <w:bottom w:val="single" w:sz="8" w:color="auto"/>
            </w:tcBorders>
            <w:shd w:val="clear" w:color="auto" w:fill="E6E6E6"/>
          </w:tcPr>
          <w:p>
            <w:pPr>
              <w:spacing w:after="0"/>
              <w:rPr>
                <w:sz w:val="22"/>
                <w:szCs w:val="22"/>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(516)</w:t>
            </w:r>
          </w:p>
        </w:tc>
      </w:tr>
      <w:tr>
        <w:trPr>
          <w:trHeight w:val="262"/>
        </w:trPr>
        <w:tc>
          <w:tcPr>
            <w:tcW w:w="6940" w:type="dxa"/>
            <w:vAlign w:val="bottom"/>
          </w:tcPr>
          <w:p>
            <w:pPr>
              <w:ind w:left="60"/>
              <w:spacing w:after="0"/>
              <w:rPr>
                <w:sz w:val="20"/>
                <w:szCs w:val="20"/>
                <w:color w:val="auto"/>
              </w:rPr>
            </w:pPr>
            <w:r>
              <w:rPr>
                <w:rFonts w:ascii="Arial" w:cs="Arial" w:eastAsia="Arial" w:hAnsi="Arial"/>
                <w:sz w:val="20"/>
                <w:szCs w:val="20"/>
                <w:b w:val="1"/>
                <w:bCs w:val="1"/>
                <w:color w:val="auto"/>
              </w:rPr>
              <w:t>Total deferred tax assets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109,374</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83,041</w:t>
            </w:r>
          </w:p>
        </w:tc>
      </w:tr>
      <w:tr>
        <w:trPr>
          <w:trHeight w:val="270"/>
        </w:trPr>
        <w:tc>
          <w:tcPr>
            <w:tcW w:w="6940" w:type="dxa"/>
            <w:vAlign w:val="bottom"/>
            <w:tcBorders>
              <w:bottom w:val="single" w:sz="8" w:color="E6E6E6"/>
            </w:tcBorders>
            <w:shd w:val="clear" w:color="auto" w:fill="E6E6E6"/>
          </w:tcPr>
          <w:p>
            <w:pPr>
              <w:ind w:left="60"/>
              <w:spacing w:after="0"/>
              <w:rPr>
                <w:sz w:val="20"/>
                <w:szCs w:val="20"/>
                <w:color w:val="auto"/>
              </w:rPr>
            </w:pPr>
            <w:r>
              <w:rPr>
                <w:rFonts w:ascii="Arial" w:cs="Arial" w:eastAsia="Arial" w:hAnsi="Arial"/>
                <w:sz w:val="20"/>
                <w:szCs w:val="20"/>
                <w:color w:val="auto"/>
              </w:rPr>
              <w:t>Less: valuation allowance</w:t>
            </w:r>
          </w:p>
        </w:tc>
        <w:tc>
          <w:tcPr>
            <w:tcW w:w="280" w:type="dxa"/>
            <w:vAlign w:val="bottom"/>
            <w:tcBorders>
              <w:bottom w:val="single" w:sz="8" w:color="auto"/>
            </w:tcBorders>
            <w:shd w:val="clear" w:color="auto" w:fill="E6E6E6"/>
          </w:tcPr>
          <w:p>
            <w:pPr>
              <w:spacing w:after="0"/>
              <w:rPr>
                <w:sz w:val="23"/>
                <w:szCs w:val="23"/>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(55,523)</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spacing w:after="0"/>
              <w:rPr>
                <w:sz w:val="23"/>
                <w:szCs w:val="23"/>
                <w:color w:val="auto"/>
              </w:rPr>
            </w:pPr>
          </w:p>
        </w:tc>
        <w:tc>
          <w:tcPr>
            <w:tcW w:w="860" w:type="dxa"/>
            <w:vAlign w:val="bottom"/>
            <w:tcBorders>
              <w:bottom w:val="single" w:sz="8" w:color="auto"/>
            </w:tcBorders>
            <w:shd w:val="clear" w:color="auto" w:fill="E6E6E6"/>
          </w:tcPr>
          <w:p>
            <w:pPr>
              <w:jc w:val="right"/>
              <w:spacing w:after="0"/>
              <w:rPr>
                <w:sz w:val="20"/>
                <w:szCs w:val="20"/>
                <w:color w:val="auto"/>
              </w:rPr>
            </w:pPr>
            <w:r>
              <w:rPr>
                <w:rFonts w:ascii="Arial" w:cs="Arial" w:eastAsia="Arial" w:hAnsi="Arial"/>
                <w:sz w:val="20"/>
                <w:szCs w:val="20"/>
                <w:color w:val="auto"/>
              </w:rPr>
              <w:t>(48,476)</w:t>
            </w:r>
          </w:p>
        </w:tc>
      </w:tr>
      <w:tr>
        <w:trPr>
          <w:trHeight w:val="234"/>
        </w:trPr>
        <w:tc>
          <w:tcPr>
            <w:tcW w:w="6940" w:type="dxa"/>
            <w:vAlign w:val="bottom"/>
            <w:tcBorders>
              <w:bottom w:val="single" w:sz="8" w:color="E6E6E6"/>
            </w:tcBorders>
          </w:tcPr>
          <w:p>
            <w:pPr>
              <w:ind w:left="60"/>
              <w:spacing w:after="0" w:line="194" w:lineRule="exact"/>
              <w:rPr>
                <w:sz w:val="20"/>
                <w:szCs w:val="20"/>
                <w:color w:val="auto"/>
              </w:rPr>
            </w:pPr>
            <w:r>
              <w:rPr>
                <w:rFonts w:ascii="Arial" w:cs="Arial" w:eastAsia="Arial" w:hAnsi="Arial"/>
                <w:sz w:val="20"/>
                <w:szCs w:val="20"/>
                <w:b w:val="1"/>
                <w:bCs w:val="1"/>
                <w:color w:val="auto"/>
              </w:rPr>
              <w:t>Deferred tax assets, net of valuation allowance</w:t>
            </w:r>
          </w:p>
        </w:tc>
        <w:tc>
          <w:tcPr>
            <w:tcW w:w="280" w:type="dxa"/>
            <w:vAlign w:val="bottom"/>
            <w:tcBorders>
              <w:bottom w:val="single" w:sz="8" w:color="auto"/>
            </w:tcBorders>
          </w:tcPr>
          <w:p>
            <w:pPr>
              <w:jc w:val="right"/>
              <w:ind w:right="21"/>
              <w:spacing w:after="0" w:line="194"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20"/>
                <w:szCs w:val="20"/>
                <w:color w:val="auto"/>
              </w:rPr>
              <w:t>—</w:t>
            </w:r>
          </w:p>
        </w:tc>
        <w:tc>
          <w:tcPr>
            <w:tcW w:w="60" w:type="dxa"/>
            <w:vAlign w:val="bottom"/>
            <w:tcBorders>
              <w:bottom w:val="single" w:sz="8" w:color="E6E6E6"/>
            </w:tcBorders>
          </w:tcPr>
          <w:p>
            <w:pPr>
              <w:spacing w:after="0"/>
              <w:rPr>
                <w:sz w:val="20"/>
                <w:szCs w:val="20"/>
                <w:color w:val="auto"/>
              </w:rPr>
            </w:pPr>
          </w:p>
        </w:tc>
        <w:tc>
          <w:tcPr>
            <w:tcW w:w="300" w:type="dxa"/>
            <w:vAlign w:val="bottom"/>
            <w:tcBorders>
              <w:bottom w:val="single" w:sz="8" w:color="auto"/>
            </w:tcBorders>
          </w:tcPr>
          <w:p>
            <w:pPr>
              <w:jc w:val="right"/>
              <w:ind w:right="41"/>
              <w:spacing w:after="0" w:line="194" w:lineRule="exact"/>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20"/>
                <w:szCs w:val="20"/>
                <w:color w:val="auto"/>
              </w:rPr>
              <w:t>—</w:t>
            </w:r>
          </w:p>
        </w:tc>
      </w:tr>
      <w:tr>
        <w:trPr>
          <w:trHeight w:val="224"/>
        </w:trPr>
        <w:tc>
          <w:tcPr>
            <w:tcW w:w="694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88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860" w:type="dxa"/>
            <w:vAlign w:val="bottom"/>
            <w:shd w:val="clear" w:color="auto" w:fill="E6E6E6"/>
          </w:tcPr>
          <w:p>
            <w:pPr>
              <w:spacing w:after="0"/>
              <w:rPr>
                <w:sz w:val="19"/>
                <w:szCs w:val="19"/>
                <w:color w:val="auto"/>
              </w:rPr>
            </w:pPr>
          </w:p>
        </w:tc>
      </w:tr>
      <w:tr>
        <w:trPr>
          <w:trHeight w:val="265"/>
        </w:trPr>
        <w:tc>
          <w:tcPr>
            <w:tcW w:w="6940" w:type="dxa"/>
            <w:vAlign w:val="bottom"/>
          </w:tcPr>
          <w:p>
            <w:pPr>
              <w:ind w:left="60"/>
              <w:spacing w:after="0"/>
              <w:rPr>
                <w:sz w:val="20"/>
                <w:szCs w:val="20"/>
                <w:color w:val="auto"/>
              </w:rPr>
            </w:pPr>
            <w:r>
              <w:rPr>
                <w:rFonts w:ascii="Arial" w:cs="Arial" w:eastAsia="Arial" w:hAnsi="Arial"/>
                <w:sz w:val="20"/>
                <w:szCs w:val="20"/>
                <w:color w:val="auto"/>
              </w:rPr>
              <w:t>Movements in the deferred tax valuation allowance</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3"/>
        </w:trPr>
        <w:tc>
          <w:tcPr>
            <w:tcW w:w="6940" w:type="dxa"/>
            <w:vAlign w:val="bottom"/>
            <w:shd w:val="clear" w:color="auto" w:fill="E6E6E6"/>
          </w:tcPr>
          <w:p>
            <w:pPr>
              <w:spacing w:after="0"/>
              <w:rPr>
                <w:sz w:val="23"/>
                <w:szCs w:val="23"/>
                <w:color w:val="auto"/>
              </w:rPr>
            </w:pPr>
          </w:p>
        </w:tc>
        <w:tc>
          <w:tcPr>
            <w:tcW w:w="280" w:type="dxa"/>
            <w:vAlign w:val="bottom"/>
            <w:shd w:val="clear" w:color="auto" w:fill="E6E6E6"/>
          </w:tcPr>
          <w:p>
            <w:pPr>
              <w:spacing w:after="0"/>
              <w:rPr>
                <w:sz w:val="23"/>
                <w:szCs w:val="23"/>
                <w:color w:val="auto"/>
              </w:rPr>
            </w:pPr>
          </w:p>
        </w:tc>
        <w:tc>
          <w:tcPr>
            <w:tcW w:w="880" w:type="dxa"/>
            <w:vAlign w:val="bottom"/>
            <w:shd w:val="clear" w:color="auto" w:fill="E6E6E6"/>
          </w:tcPr>
          <w:p>
            <w:pPr>
              <w:spacing w:after="0"/>
              <w:rPr>
                <w:sz w:val="23"/>
                <w:szCs w:val="23"/>
                <w:color w:val="auto"/>
              </w:rPr>
            </w:pPr>
          </w:p>
        </w:tc>
        <w:tc>
          <w:tcPr>
            <w:tcW w:w="6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860" w:type="dxa"/>
            <w:vAlign w:val="bottom"/>
            <w:shd w:val="clear" w:color="auto" w:fill="E6E6E6"/>
          </w:tcPr>
          <w:p>
            <w:pPr>
              <w:spacing w:after="0"/>
              <w:rPr>
                <w:sz w:val="23"/>
                <w:szCs w:val="23"/>
                <w:color w:val="auto"/>
              </w:rPr>
            </w:pPr>
          </w:p>
        </w:tc>
      </w:tr>
      <w:tr>
        <w:trPr>
          <w:trHeight w:val="266"/>
        </w:trPr>
        <w:tc>
          <w:tcPr>
            <w:tcW w:w="6940" w:type="dxa"/>
            <w:vAlign w:val="bottom"/>
          </w:tcPr>
          <w:p>
            <w:pPr>
              <w:ind w:left="60"/>
              <w:spacing w:after="0"/>
              <w:rPr>
                <w:sz w:val="20"/>
                <w:szCs w:val="20"/>
                <w:color w:val="auto"/>
              </w:rPr>
            </w:pPr>
            <w:r>
              <w:rPr>
                <w:rFonts w:ascii="Arial" w:cs="Arial" w:eastAsia="Arial" w:hAnsi="Arial"/>
                <w:sz w:val="20"/>
                <w:szCs w:val="20"/>
                <w:b w:val="1"/>
                <w:bCs w:val="1"/>
                <w:color w:val="auto"/>
              </w:rPr>
              <w:t>Valuation allowance at January 1</w:t>
            </w:r>
          </w:p>
        </w:tc>
        <w:tc>
          <w:tcPr>
            <w:tcW w:w="28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48,476</w:t>
            </w:r>
          </w:p>
        </w:tc>
        <w:tc>
          <w:tcPr>
            <w:tcW w:w="36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30,252</w:t>
            </w:r>
          </w:p>
        </w:tc>
      </w:tr>
      <w:tr>
        <w:trPr>
          <w:trHeight w:val="271"/>
        </w:trPr>
        <w:tc>
          <w:tcPr>
            <w:tcW w:w="6940" w:type="dxa"/>
            <w:vAlign w:val="bottom"/>
            <w:shd w:val="clear" w:color="auto" w:fill="E6E6E6"/>
          </w:tcPr>
          <w:p>
            <w:pPr>
              <w:ind w:left="60"/>
              <w:spacing w:after="0"/>
              <w:rPr>
                <w:sz w:val="20"/>
                <w:szCs w:val="20"/>
                <w:color w:val="auto"/>
              </w:rPr>
            </w:pPr>
            <w:r>
              <w:rPr>
                <w:rFonts w:ascii="Arial" w:cs="Arial" w:eastAsia="Arial" w:hAnsi="Arial"/>
                <w:sz w:val="20"/>
                <w:szCs w:val="20"/>
                <w:color w:val="auto"/>
              </w:rPr>
              <w:t>Change in tax rates</w:t>
            </w:r>
          </w:p>
        </w:tc>
        <w:tc>
          <w:tcPr>
            <w:tcW w:w="280" w:type="dxa"/>
            <w:vAlign w:val="bottom"/>
            <w:shd w:val="clear" w:color="auto" w:fill="E6E6E6"/>
          </w:tcPr>
          <w:p>
            <w:pPr>
              <w:spacing w:after="0"/>
              <w:rPr>
                <w:sz w:val="23"/>
                <w:szCs w:val="23"/>
                <w:color w:val="auto"/>
              </w:rPr>
            </w:pP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(851)</w:t>
            </w:r>
          </w:p>
        </w:tc>
        <w:tc>
          <w:tcPr>
            <w:tcW w:w="60" w:type="dxa"/>
            <w:vAlign w:val="bottom"/>
            <w:shd w:val="clear" w:color="auto" w:fill="E6E6E6"/>
          </w:tcPr>
          <w:p>
            <w:pPr>
              <w:spacing w:after="0"/>
              <w:rPr>
                <w:sz w:val="23"/>
                <w:szCs w:val="23"/>
                <w:color w:val="auto"/>
              </w:rPr>
            </w:pPr>
          </w:p>
        </w:tc>
        <w:tc>
          <w:tcPr>
            <w:tcW w:w="300" w:type="dxa"/>
            <w:vAlign w:val="bottom"/>
            <w:shd w:val="clear" w:color="auto" w:fill="E6E6E6"/>
          </w:tcPr>
          <w:p>
            <w:pPr>
              <w:spacing w:after="0"/>
              <w:rPr>
                <w:sz w:val="23"/>
                <w:szCs w:val="23"/>
                <w:color w:val="auto"/>
              </w:rPr>
            </w:pP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6940" w:type="dxa"/>
            <w:vAlign w:val="bottom"/>
            <w:tcBorders>
              <w:bottom w:val="single" w:sz="8" w:color="E6E6E6"/>
            </w:tcBorders>
          </w:tcPr>
          <w:p>
            <w:pPr>
              <w:ind w:left="60"/>
              <w:spacing w:after="0"/>
              <w:rPr>
                <w:sz w:val="20"/>
                <w:szCs w:val="20"/>
                <w:color w:val="auto"/>
              </w:rPr>
            </w:pPr>
            <w:r>
              <w:rPr>
                <w:rFonts w:ascii="Arial" w:cs="Arial" w:eastAsia="Arial" w:hAnsi="Arial"/>
                <w:sz w:val="20"/>
                <w:szCs w:val="20"/>
                <w:color w:val="auto"/>
              </w:rPr>
              <w:t>Increase in valuation allowance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7,898</w:t>
            </w:r>
          </w:p>
        </w:tc>
        <w:tc>
          <w:tcPr>
            <w:tcW w:w="60" w:type="dxa"/>
            <w:vAlign w:val="bottom"/>
            <w:tcBorders>
              <w:bottom w:val="single" w:sz="8" w:color="E6E6E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18,224</w:t>
            </w:r>
          </w:p>
        </w:tc>
      </w:tr>
      <w:tr>
        <w:trPr>
          <w:trHeight w:val="269"/>
        </w:trPr>
        <w:tc>
          <w:tcPr>
            <w:tcW w:w="6940" w:type="dxa"/>
            <w:vAlign w:val="bottom"/>
            <w:tcBorders>
              <w:bottom w:val="single" w:sz="8" w:color="E6E6E6"/>
            </w:tcBorders>
            <w:shd w:val="clear" w:color="auto" w:fill="E6E6E6"/>
          </w:tcPr>
          <w:p>
            <w:pPr>
              <w:ind w:left="60"/>
              <w:spacing w:after="0" w:line="229" w:lineRule="exact"/>
              <w:rPr>
                <w:sz w:val="20"/>
                <w:szCs w:val="20"/>
                <w:color w:val="auto"/>
              </w:rPr>
            </w:pPr>
            <w:r>
              <w:rPr>
                <w:rFonts w:ascii="Arial" w:cs="Arial" w:eastAsia="Arial" w:hAnsi="Arial"/>
                <w:sz w:val="20"/>
                <w:szCs w:val="20"/>
                <w:b w:val="1"/>
                <w:bCs w:val="1"/>
                <w:color w:val="auto"/>
              </w:rPr>
              <w:t>Valuation allowance at December 31</w:t>
            </w:r>
          </w:p>
        </w:tc>
        <w:tc>
          <w:tcPr>
            <w:tcW w:w="280" w:type="dxa"/>
            <w:vAlign w:val="bottom"/>
            <w:tcBorders>
              <w:bottom w:val="single" w:sz="8" w:color="auto"/>
            </w:tcBorders>
            <w:shd w:val="clear" w:color="auto" w:fill="E6E6E6"/>
          </w:tcPr>
          <w:p>
            <w:pPr>
              <w:jc w:val="right"/>
              <w:ind w:right="21"/>
              <w:spacing w:after="0" w:line="229"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55,523</w:t>
            </w:r>
          </w:p>
        </w:tc>
        <w:tc>
          <w:tcPr>
            <w:tcW w:w="60" w:type="dxa"/>
            <w:vAlign w:val="bottom"/>
            <w:tcBorders>
              <w:bottom w:val="single" w:sz="8" w:color="E6E6E6"/>
            </w:tcBorders>
            <w:shd w:val="clear" w:color="auto" w:fill="E6E6E6"/>
          </w:tcPr>
          <w:p>
            <w:pPr>
              <w:spacing w:after="0"/>
              <w:rPr>
                <w:sz w:val="23"/>
                <w:szCs w:val="23"/>
                <w:color w:val="auto"/>
              </w:rPr>
            </w:pPr>
          </w:p>
        </w:tc>
        <w:tc>
          <w:tcPr>
            <w:tcW w:w="300" w:type="dxa"/>
            <w:vAlign w:val="bottom"/>
            <w:tcBorders>
              <w:bottom w:val="single" w:sz="8" w:color="auto"/>
            </w:tcBorders>
            <w:shd w:val="clear" w:color="auto" w:fill="E6E6E6"/>
          </w:tcPr>
          <w:p>
            <w:pPr>
              <w:jc w:val="right"/>
              <w:ind w:right="41"/>
              <w:spacing w:after="0" w:line="229" w:lineRule="exact"/>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shd w:val="clear" w:color="auto" w:fill="E6E6E6"/>
          </w:tcPr>
          <w:p>
            <w:pPr>
              <w:jc w:val="right"/>
              <w:spacing w:after="0" w:line="229" w:lineRule="exact"/>
              <w:rPr>
                <w:sz w:val="20"/>
                <w:szCs w:val="20"/>
                <w:color w:val="auto"/>
              </w:rPr>
            </w:pPr>
            <w:r>
              <w:rPr>
                <w:rFonts w:ascii="Arial" w:cs="Arial" w:eastAsia="Arial" w:hAnsi="Arial"/>
                <w:sz w:val="20"/>
                <w:szCs w:val="20"/>
                <w:color w:val="auto"/>
              </w:rPr>
              <w:t>48,476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-3196590</wp:posOffset>
            </wp:positionV>
            <wp:extent cx="153225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5">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-2874010</wp:posOffset>
            </wp:positionV>
            <wp:extent cx="153225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6">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-2713355</wp:posOffset>
            </wp:positionV>
            <wp:extent cx="153225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7">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-1727200</wp:posOffset>
            </wp:positionV>
            <wp:extent cx="153225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8">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-1376680</wp:posOffset>
            </wp:positionV>
            <wp:extent cx="153225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9">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-1228090</wp:posOffset>
            </wp:positionV>
            <wp:extent cx="1532255"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0">
                      <a:extLst>
                        <a:ext uri="{28A0092B-C50C-407E-A947-70E740481C1C}"/>
                      </a:extLst>
                    </a:blip>
                    <a:srcRect/>
                    <a:stretch>
                      <a:fillRect/>
                    </a:stretch>
                  </pic:blipFill>
                  <pic:spPr bwMode="auto">
                    <a:xfrm>
                      <a:off x="0" y="0"/>
                      <a:ext cx="1532255" cy="508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-201930</wp:posOffset>
            </wp:positionV>
            <wp:extent cx="153225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1">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-43815</wp:posOffset>
            </wp:positionV>
            <wp:extent cx="153225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2">
                      <a:extLst>
                        <a:ext uri="{28A0092B-C50C-407E-A947-70E740481C1C}"/>
                      </a:extLst>
                    </a:blip>
                    <a:srcRect/>
                    <a:stretch>
                      <a:fillRect/>
                    </a:stretch>
                  </pic:blipFill>
                  <pic:spPr bwMode="auto">
                    <a:xfrm>
                      <a:off x="0" y="0"/>
                      <a:ext cx="1532255" cy="50800"/>
                    </a:xfrm>
                    <a:prstGeom prst="rect">
                      <a:avLst/>
                    </a:prstGeom>
                    <a:noFill/>
                  </pic:spPr>
                </pic:pic>
              </a:graphicData>
            </a:graphic>
          </wp:anchor>
        </w:drawing>
      </w:r>
    </w:p>
    <w:p>
      <w:pPr>
        <w:spacing w:after="0" w:line="107" w:lineRule="exact"/>
        <w:rPr>
          <w:sz w:val="20"/>
          <w:szCs w:val="20"/>
          <w:color w:val="auto"/>
        </w:rPr>
      </w:pPr>
    </w:p>
    <w:p>
      <w:pPr>
        <w:ind w:firstLine="3"/>
        <w:spacing w:after="0" w:line="217" w:lineRule="auto"/>
        <w:tabs>
          <w:tab w:leader="none" w:pos="218" w:val="left"/>
        </w:tabs>
        <w:numPr>
          <w:ilvl w:val="0"/>
          <w:numId w:val="64"/>
        </w:numPr>
        <w:rPr>
          <w:rFonts w:ascii="Arial" w:cs="Arial" w:eastAsia="Arial" w:hAnsi="Arial"/>
          <w:sz w:val="26"/>
          <w:szCs w:val="26"/>
          <w:color w:val="auto"/>
          <w:vertAlign w:val="superscript"/>
        </w:rPr>
      </w:pPr>
      <w:r>
        <w:rPr>
          <w:rFonts w:ascii="Arial" w:cs="Arial" w:eastAsia="Arial" w:hAnsi="Arial"/>
          <w:sz w:val="20"/>
          <w:szCs w:val="20"/>
          <w:color w:val="auto"/>
        </w:rPr>
        <w:t>These relate to the difference in the tax base of the IP R&amp;D asset and assumed contingent liability and the financial reporting base, which is nil under U.S. GAAP.</w:t>
      </w:r>
    </w:p>
    <w:p>
      <w:pPr>
        <w:spacing w:after="0" w:line="7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Management has reviewed cumulative tax losses and projections of future taxable losses and determined that it is not more likely than not that they will be realized. Accordingly, valuation allowances have been provided over deferred tax assets.</w:t>
      </w:r>
    </w:p>
    <w:p>
      <w:pPr>
        <w:spacing w:after="0" w:line="7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At December 31, 2023 and December 31, 2022, the Company had U.K. net operating losses (“NOLs”) of $216.0 million and $155.6 million, respectively. The NOLs can be carried forward indefinitely to be offset against future taxable profits, but this is restricted to an annual £5 million allowance after which there will be a 50% restriction in the profits that can be covered by losses brought forward.</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Company files separate income tax returns in the U.K. and the U.S. All necessary income tax filings have been completed for all years up to and including December 31, 2022. The Company’s R&amp;D Tax Incentive Claim for the year ended December 31, 2022 is currently under routine review by HMRC. No material adjustments are expected to be made to the claimed amount as a result of this review. No interest or penalties were recognized in the Consolidated Statements of Operations and Comprehensive Loss or Consolidated Balance Sheets. As of December 31, 2023, the Company has no uncertain tax positions.</w:t>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F-26</w:t>
      </w:r>
    </w:p>
    <w:p>
      <w:pPr>
        <w:sectPr>
          <w:pgSz w:w="11880" w:h="15480" w:orient="portrait"/>
          <w:cols w:equalWidth="0" w:num="1">
            <w:col w:w="9320"/>
          </w:cols>
          <w:pgMar w:left="1280" w:top="324" w:right="1280" w:bottom="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20"/>
          <w:szCs w:val="20"/>
          <w:b w:val="1"/>
          <w:bCs w:val="1"/>
          <w:color w:val="auto"/>
        </w:rPr>
        <w:t>Verona Pharma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 Net loss per share</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Net loss per share is calculated on an ordinary share basis. The Company’s ADSs that are listed on the Nasdaq Global Market each represent eight ordinary shares. The following table shows the computation of basic and diluted earnings per share for 2023 and 2022 (in thousands, except share and per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6"/>
                <w:szCs w:val="16"/>
                <w:b w:val="1"/>
                <w:bCs w:val="1"/>
                <w:color w:val="auto"/>
              </w:rPr>
              <w:t>December 31,</w:t>
            </w:r>
          </w:p>
        </w:tc>
      </w:tr>
      <w:tr>
        <w:trPr>
          <w:trHeight w:val="219"/>
        </w:trPr>
        <w:tc>
          <w:tcPr>
            <w:tcW w:w="6940" w:type="dxa"/>
            <w:vAlign w:val="bottom"/>
            <w:tcBorders>
              <w:bottom w:val="single" w:sz="8" w:color="E6E6E6"/>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5"/>
              <w:spacing w:after="0"/>
              <w:rPr>
                <w:sz w:val="20"/>
                <w:szCs w:val="20"/>
                <w:color w:val="auto"/>
              </w:rPr>
            </w:pPr>
            <w:r>
              <w:rPr>
                <w:rFonts w:ascii="Arial" w:cs="Arial" w:eastAsia="Arial" w:hAnsi="Arial"/>
                <w:sz w:val="16"/>
                <w:szCs w:val="16"/>
                <w:b w:val="1"/>
                <w:bCs w:val="1"/>
                <w:color w:val="auto"/>
              </w:rPr>
              <w:t>2022</w:t>
            </w:r>
          </w:p>
        </w:tc>
      </w:tr>
      <w:tr>
        <w:trPr>
          <w:trHeight w:val="244"/>
        </w:trPr>
        <w:tc>
          <w:tcPr>
            <w:tcW w:w="6940" w:type="dxa"/>
            <w:vAlign w:val="bottom"/>
            <w:shd w:val="clear" w:color="auto" w:fill="E6E6E6"/>
          </w:tcPr>
          <w:p>
            <w:pPr>
              <w:ind w:left="60"/>
              <w:spacing w:after="0"/>
              <w:rPr>
                <w:sz w:val="20"/>
                <w:szCs w:val="20"/>
                <w:color w:val="auto"/>
              </w:rPr>
            </w:pPr>
            <w:r>
              <w:rPr>
                <w:rFonts w:ascii="Arial" w:cs="Arial" w:eastAsia="Arial" w:hAnsi="Arial"/>
                <w:sz w:val="20"/>
                <w:szCs w:val="20"/>
                <w:color w:val="auto"/>
              </w:rPr>
              <w:t>Numerator:</w:t>
            </w:r>
          </w:p>
        </w:tc>
        <w:tc>
          <w:tcPr>
            <w:tcW w:w="20" w:type="dxa"/>
            <w:vAlign w:val="bottom"/>
            <w:shd w:val="clear" w:color="auto" w:fill="E6E6E6"/>
          </w:tcPr>
          <w:p>
            <w:pPr>
              <w:spacing w:after="0"/>
              <w:rPr>
                <w:sz w:val="21"/>
                <w:szCs w:val="21"/>
                <w:color w:val="auto"/>
              </w:rPr>
            </w:pPr>
          </w:p>
        </w:tc>
        <w:tc>
          <w:tcPr>
            <w:tcW w:w="260" w:type="dxa"/>
            <w:vAlign w:val="bottom"/>
            <w:shd w:val="clear" w:color="auto" w:fill="E6E6E6"/>
          </w:tcPr>
          <w:p>
            <w:pPr>
              <w:spacing w:after="0"/>
              <w:rPr>
                <w:sz w:val="21"/>
                <w:szCs w:val="21"/>
                <w:color w:val="auto"/>
              </w:rPr>
            </w:pPr>
          </w:p>
        </w:tc>
        <w:tc>
          <w:tcPr>
            <w:tcW w:w="88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860" w:type="dxa"/>
            <w:vAlign w:val="bottom"/>
            <w:shd w:val="clear" w:color="auto" w:fill="E6E6E6"/>
          </w:tcPr>
          <w:p>
            <w:pPr>
              <w:spacing w:after="0"/>
              <w:rPr>
                <w:sz w:val="21"/>
                <w:szCs w:val="21"/>
                <w:color w:val="auto"/>
              </w:rPr>
            </w:pPr>
          </w:p>
        </w:tc>
      </w:tr>
      <w:tr>
        <w:trPr>
          <w:trHeight w:val="254"/>
        </w:trPr>
        <w:tc>
          <w:tcPr>
            <w:tcW w:w="6940" w:type="dxa"/>
            <w:vAlign w:val="bottom"/>
          </w:tcPr>
          <w:p>
            <w:pPr>
              <w:ind w:left="60"/>
              <w:spacing w:after="0"/>
              <w:rPr>
                <w:sz w:val="20"/>
                <w:szCs w:val="20"/>
                <w:color w:val="auto"/>
              </w:rPr>
            </w:pPr>
            <w:r>
              <w:rPr>
                <w:rFonts w:ascii="Arial" w:cs="Arial" w:eastAsia="Arial" w:hAnsi="Arial"/>
                <w:sz w:val="20"/>
                <w:szCs w:val="20"/>
                <w:color w:val="auto"/>
              </w:rPr>
              <w:t>Net loss</w:t>
            </w:r>
          </w:p>
        </w:tc>
        <w:tc>
          <w:tcPr>
            <w:tcW w:w="28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(54,369)</w:t>
            </w:r>
          </w:p>
        </w:tc>
        <w:tc>
          <w:tcPr>
            <w:tcW w:w="36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(68,701)</w:t>
            </w:r>
          </w:p>
        </w:tc>
      </w:tr>
      <w:tr>
        <w:trPr>
          <w:trHeight w:val="254"/>
        </w:trPr>
        <w:tc>
          <w:tcPr>
            <w:tcW w:w="6940" w:type="dxa"/>
            <w:vAlign w:val="bottom"/>
            <w:shd w:val="clear" w:color="auto" w:fill="E6E6E6"/>
          </w:tcPr>
          <w:p>
            <w:pPr>
              <w:ind w:left="60"/>
              <w:spacing w:after="0"/>
              <w:rPr>
                <w:sz w:val="20"/>
                <w:szCs w:val="20"/>
                <w:color w:val="auto"/>
              </w:rPr>
            </w:pPr>
            <w:r>
              <w:rPr>
                <w:rFonts w:ascii="Arial" w:cs="Arial" w:eastAsia="Arial" w:hAnsi="Arial"/>
                <w:sz w:val="20"/>
                <w:szCs w:val="20"/>
                <w:color w:val="auto"/>
              </w:rPr>
              <w:t>Net loss available to ordinary shareholders - basic and diluted</w:t>
            </w:r>
          </w:p>
        </w:tc>
        <w:tc>
          <w:tcPr>
            <w:tcW w:w="280" w:type="dxa"/>
            <w:vAlign w:val="bottom"/>
            <w:gridSpan w:val="2"/>
            <w:shd w:val="clear" w:color="auto" w:fill="E6E6E6"/>
          </w:tcPr>
          <w:p>
            <w:pPr>
              <w:jc w:val="right"/>
              <w:ind w:right="21"/>
              <w:spacing w:after="0"/>
              <w:rPr>
                <w:sz w:val="20"/>
                <w:szCs w:val="20"/>
                <w:color w:val="auto"/>
              </w:rPr>
            </w:pPr>
            <w:r>
              <w:rPr>
                <w:rFonts w:ascii="Arial" w:cs="Arial" w:eastAsia="Arial" w:hAnsi="Arial"/>
                <w:sz w:val="20"/>
                <w:szCs w:val="20"/>
                <w:color w:val="auto"/>
              </w:rPr>
              <w:t>$</w:t>
            </w:r>
          </w:p>
        </w:tc>
        <w:tc>
          <w:tcPr>
            <w:tcW w:w="880" w:type="dxa"/>
            <w:vAlign w:val="bottom"/>
            <w:shd w:val="clear" w:color="auto" w:fill="E6E6E6"/>
          </w:tcPr>
          <w:p>
            <w:pPr>
              <w:jc w:val="right"/>
              <w:spacing w:after="0"/>
              <w:rPr>
                <w:sz w:val="20"/>
                <w:szCs w:val="20"/>
                <w:color w:val="auto"/>
              </w:rPr>
            </w:pPr>
            <w:r>
              <w:rPr>
                <w:rFonts w:ascii="Arial" w:cs="Arial" w:eastAsia="Arial" w:hAnsi="Arial"/>
                <w:sz w:val="20"/>
                <w:szCs w:val="20"/>
                <w:color w:val="auto"/>
              </w:rPr>
              <w:t>(54,369)</w:t>
            </w:r>
          </w:p>
        </w:tc>
        <w:tc>
          <w:tcPr>
            <w:tcW w:w="360" w:type="dxa"/>
            <w:vAlign w:val="bottom"/>
            <w:gridSpan w:val="2"/>
            <w:shd w:val="clear" w:color="auto" w:fill="E6E6E6"/>
          </w:tcPr>
          <w:p>
            <w:pPr>
              <w:jc w:val="right"/>
              <w:ind w:right="41"/>
              <w:spacing w:after="0"/>
              <w:rPr>
                <w:sz w:val="20"/>
                <w:szCs w:val="20"/>
                <w:color w:val="auto"/>
              </w:rPr>
            </w:pPr>
            <w:r>
              <w:rPr>
                <w:rFonts w:ascii="Arial" w:cs="Arial" w:eastAsia="Arial" w:hAnsi="Arial"/>
                <w:sz w:val="20"/>
                <w:szCs w:val="20"/>
                <w:color w:val="auto"/>
              </w:rPr>
              <w:t>$</w:t>
            </w:r>
          </w:p>
        </w:tc>
        <w:tc>
          <w:tcPr>
            <w:tcW w:w="860" w:type="dxa"/>
            <w:vAlign w:val="bottom"/>
            <w:shd w:val="clear" w:color="auto" w:fill="E6E6E6"/>
          </w:tcPr>
          <w:p>
            <w:pPr>
              <w:jc w:val="right"/>
              <w:spacing w:after="0"/>
              <w:rPr>
                <w:sz w:val="20"/>
                <w:szCs w:val="20"/>
                <w:color w:val="auto"/>
              </w:rPr>
            </w:pPr>
            <w:r>
              <w:rPr>
                <w:rFonts w:ascii="Arial" w:cs="Arial" w:eastAsia="Arial" w:hAnsi="Arial"/>
                <w:sz w:val="20"/>
                <w:szCs w:val="20"/>
                <w:color w:val="auto"/>
              </w:rPr>
              <w:t>(68,701)</w:t>
            </w:r>
          </w:p>
        </w:tc>
      </w:tr>
      <w:tr>
        <w:trPr>
          <w:trHeight w:val="254"/>
        </w:trPr>
        <w:tc>
          <w:tcPr>
            <w:tcW w:w="6940" w:type="dxa"/>
            <w:vAlign w:val="bottom"/>
          </w:tcPr>
          <w:p>
            <w:pPr>
              <w:ind w:left="60"/>
              <w:spacing w:after="0"/>
              <w:rPr>
                <w:sz w:val="20"/>
                <w:szCs w:val="20"/>
                <w:color w:val="auto"/>
              </w:rPr>
            </w:pPr>
            <w:r>
              <w:rPr>
                <w:rFonts w:ascii="Arial" w:cs="Arial" w:eastAsia="Arial" w:hAnsi="Arial"/>
                <w:sz w:val="20"/>
                <w:szCs w:val="20"/>
                <w:color w:val="auto"/>
              </w:rPr>
              <w:t>Denominator:</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4"/>
        </w:trPr>
        <w:tc>
          <w:tcPr>
            <w:tcW w:w="6940" w:type="dxa"/>
            <w:vAlign w:val="bottom"/>
            <w:shd w:val="clear" w:color="auto" w:fill="E6E6E6"/>
          </w:tcPr>
          <w:p>
            <w:pPr>
              <w:ind w:left="60"/>
              <w:spacing w:after="0"/>
              <w:rPr>
                <w:sz w:val="20"/>
                <w:szCs w:val="20"/>
                <w:color w:val="auto"/>
              </w:rPr>
            </w:pPr>
            <w:r>
              <w:rPr>
                <w:rFonts w:ascii="Arial" w:cs="Arial" w:eastAsia="Arial" w:hAnsi="Arial"/>
                <w:sz w:val="20"/>
                <w:szCs w:val="20"/>
                <w:color w:val="auto"/>
              </w:rPr>
              <w:t>Weighted-average shares outstanding - basic and diluted</w:t>
            </w:r>
          </w:p>
        </w:tc>
        <w:tc>
          <w:tcPr>
            <w:tcW w:w="1160" w:type="dxa"/>
            <w:vAlign w:val="bottom"/>
            <w:gridSpan w:val="3"/>
            <w:shd w:val="clear" w:color="auto" w:fill="E6E6E6"/>
          </w:tcPr>
          <w:p>
            <w:pPr>
              <w:jc w:val="right"/>
              <w:spacing w:after="0"/>
              <w:rPr>
                <w:sz w:val="20"/>
                <w:szCs w:val="20"/>
                <w:color w:val="auto"/>
              </w:rPr>
            </w:pPr>
            <w:r>
              <w:rPr>
                <w:rFonts w:ascii="Arial" w:cs="Arial" w:eastAsia="Arial" w:hAnsi="Arial"/>
                <w:sz w:val="20"/>
                <w:szCs w:val="20"/>
                <w:color w:val="auto"/>
                <w:w w:val="95"/>
              </w:rPr>
              <w:t>634,142,660</w:t>
            </w:r>
          </w:p>
        </w:tc>
        <w:tc>
          <w:tcPr>
            <w:tcW w:w="1220" w:type="dxa"/>
            <w:vAlign w:val="bottom"/>
            <w:gridSpan w:val="3"/>
            <w:shd w:val="clear" w:color="auto" w:fill="E6E6E6"/>
          </w:tcPr>
          <w:p>
            <w:pPr>
              <w:jc w:val="right"/>
              <w:spacing w:after="0"/>
              <w:rPr>
                <w:sz w:val="20"/>
                <w:szCs w:val="20"/>
                <w:color w:val="auto"/>
              </w:rPr>
            </w:pPr>
            <w:r>
              <w:rPr>
                <w:rFonts w:ascii="Arial" w:cs="Arial" w:eastAsia="Arial" w:hAnsi="Arial"/>
                <w:sz w:val="20"/>
                <w:szCs w:val="20"/>
                <w:color w:val="auto"/>
              </w:rPr>
              <w:t>529,071,526</w:t>
            </w:r>
          </w:p>
        </w:tc>
      </w:tr>
      <w:tr>
        <w:trPr>
          <w:trHeight w:val="224"/>
        </w:trPr>
        <w:tc>
          <w:tcPr>
            <w:tcW w:w="6940" w:type="dxa"/>
            <w:vAlign w:val="bottom"/>
            <w:tcBorders>
              <w:top w:val="single" w:sz="8" w:color="E6E6E6"/>
            </w:tcBorders>
          </w:tcPr>
          <w:p>
            <w:pPr>
              <w:ind w:left="60"/>
              <w:spacing w:after="0" w:line="224" w:lineRule="exact"/>
              <w:rPr>
                <w:sz w:val="20"/>
                <w:szCs w:val="20"/>
                <w:color w:val="auto"/>
              </w:rPr>
            </w:pPr>
            <w:r>
              <w:rPr>
                <w:rFonts w:ascii="Arial" w:cs="Arial" w:eastAsia="Arial" w:hAnsi="Arial"/>
                <w:sz w:val="20"/>
                <w:szCs w:val="20"/>
                <w:b w:val="1"/>
                <w:bCs w:val="1"/>
                <w:color w:val="auto"/>
              </w:rPr>
              <w:t>Net loss per share - basic and diluted</w:t>
            </w:r>
          </w:p>
        </w:tc>
        <w:tc>
          <w:tcPr>
            <w:tcW w:w="20" w:type="dxa"/>
            <w:vAlign w:val="bottom"/>
            <w:tcBorders>
              <w:top w:val="single" w:sz="8" w:color="E6E6E6"/>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21"/>
              <w:spacing w:after="0" w:line="224" w:lineRule="exact"/>
              <w:rPr>
                <w:sz w:val="20"/>
                <w:szCs w:val="20"/>
                <w:color w:val="auto"/>
              </w:rPr>
            </w:pPr>
            <w:r>
              <w:rPr>
                <w:rFonts w:ascii="Arial" w:cs="Arial" w:eastAsia="Arial" w:hAnsi="Arial"/>
                <w:sz w:val="20"/>
                <w:szCs w:val="20"/>
                <w:color w:val="auto"/>
              </w:rPr>
              <w:t>$</w:t>
            </w:r>
          </w:p>
        </w:tc>
        <w:tc>
          <w:tcPr>
            <w:tcW w:w="88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(0.09)</w:t>
            </w:r>
          </w:p>
        </w:tc>
        <w:tc>
          <w:tcPr>
            <w:tcW w:w="60" w:type="dxa"/>
            <w:vAlign w:val="bottom"/>
            <w:tcBorders>
              <w:top w:val="single" w:sz="8" w:color="E6E6E6"/>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41"/>
              <w:spacing w:after="0" w:line="224" w:lineRule="exact"/>
              <w:rPr>
                <w:sz w:val="20"/>
                <w:szCs w:val="20"/>
                <w:color w:val="auto"/>
              </w:rPr>
            </w:pPr>
            <w:r>
              <w:rPr>
                <w:rFonts w:ascii="Arial" w:cs="Arial" w:eastAsia="Arial" w:hAnsi="Arial"/>
                <w:sz w:val="20"/>
                <w:szCs w:val="20"/>
                <w:color w:val="auto"/>
              </w:rPr>
              <w:t>$</w:t>
            </w:r>
          </w:p>
        </w:tc>
        <w:tc>
          <w:tcPr>
            <w:tcW w:w="86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rPr>
              <w:t>(0.13)</w:t>
            </w: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4396740</wp:posOffset>
            </wp:positionH>
            <wp:positionV relativeFrom="paragraph">
              <wp:posOffset>-1016635</wp:posOffset>
            </wp:positionV>
            <wp:extent cx="153225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3">
                      <a:extLst>
                        <a:ext uri="{28A0092B-C50C-407E-A947-70E740481C1C}"/>
                      </a:extLst>
                    </a:blip>
                    <a:srcRect/>
                    <a:stretch>
                      <a:fillRect/>
                    </a:stretch>
                  </pic:blipFill>
                  <pic:spPr bwMode="auto">
                    <a:xfrm>
                      <a:off x="0" y="0"/>
                      <a:ext cx="1532255" cy="25400"/>
                    </a:xfrm>
                    <a:prstGeom prst="rect">
                      <a:avLst/>
                    </a:prstGeom>
                    <a:noFill/>
                  </pic:spPr>
                </pic:pic>
              </a:graphicData>
            </a:graphic>
          </wp:anchor>
        </w:drawing>
        <w:drawing>
          <wp:anchor simplePos="0" relativeHeight="251657728" behindDoc="1" locked="0" layoutInCell="0" allowOverlap="1">
            <wp:simplePos x="0" y="0"/>
            <wp:positionH relativeFrom="column">
              <wp:posOffset>4396740</wp:posOffset>
            </wp:positionH>
            <wp:positionV relativeFrom="paragraph">
              <wp:posOffset>-210820</wp:posOffset>
            </wp:positionV>
            <wp:extent cx="153225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4">
                      <a:extLst>
                        <a:ext uri="{28A0092B-C50C-407E-A947-70E740481C1C}"/>
                      </a:extLst>
                    </a:blip>
                    <a:srcRect/>
                    <a:stretch>
                      <a:fillRect/>
                    </a:stretch>
                  </pic:blipFill>
                  <pic:spPr bwMode="auto">
                    <a:xfrm>
                      <a:off x="0" y="0"/>
                      <a:ext cx="1532255" cy="25400"/>
                    </a:xfrm>
                    <a:prstGeom prst="rect">
                      <a:avLst/>
                    </a:prstGeom>
                    <a:noFill/>
                  </pic:spPr>
                </pic:pic>
              </a:graphicData>
            </a:graphic>
          </wp:anchor>
        </w:drawing>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the years ended December 31, 2023 and 2022, outstanding share options, RSUs and PRSUs of 54.9 million and 53.8 million, respectively, were not included in the computation of diluted earnings per ordinary share, because to do so would be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 Commitments and contingencies</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the three months ended March 31, 2023, the Company accrued up to the maximum exposure of $6.9 million related to a matter with a supplier and also had certain invoices in the amount of $1.5 million in accounts payable to the same supplier. Both items were settled in June 2023 for $2.1 million. This resulted in a net reversal of $6.3 million in the three months ended June 30, 2023 and a net reversal of $1.5 million in the year ended December 31, 2023 in Research and development costs in the Consolidated Statement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 Related party transactions and other shareholder matters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In the years ended December 31, 2023 and 2022 there were no related party transactions.</w:t>
      </w:r>
    </w:p>
    <w:p>
      <w:pPr>
        <w:sectPr>
          <w:pgSz w:w="11880" w:h="15480" w:orient="portrait"/>
          <w:cols w:equalWidth="0" w:num="1">
            <w:col w:w="9320"/>
          </w:cols>
          <w:pgMar w:left="1280" w:top="32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F-27</w:t>
      </w:r>
    </w:p>
    <w:p>
      <w:pPr>
        <w:sectPr>
          <w:pgSz w:w="11880" w:h="15480" w:orient="portrait"/>
          <w:cols w:equalWidth="0" w:num="1">
            <w:col w:w="9320"/>
          </w:cols>
          <w:pgMar w:left="1280" w:top="324" w:right="1280" w:bottom="0" w:gutter="0" w:footer="0" w:header="0"/>
          <w:type w:val="continuous"/>
        </w:sectPr>
      </w:pPr>
    </w:p>
    <w:bookmarkStart w:id="135" w:name="page136"/>
    <w:bookmarkEnd w:id="135"/>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50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rPr>
              <w:t>CORPORATE INFORMATION</w:t>
            </w:r>
          </w:p>
        </w:tc>
        <w:tc>
          <w:tcPr>
            <w:tcW w:w="3100" w:type="dxa"/>
            <w:vAlign w:val="bottom"/>
            <w:tcBorders>
              <w:bottom w:val="single" w:sz="8" w:color="auto"/>
            </w:tcBorders>
          </w:tcPr>
          <w:p>
            <w:pPr>
              <w:ind w:left="240"/>
              <w:spacing w:after="0"/>
              <w:rPr>
                <w:sz w:val="20"/>
                <w:szCs w:val="20"/>
                <w:color w:val="auto"/>
              </w:rPr>
            </w:pPr>
            <w:r>
              <w:rPr>
                <w:rFonts w:ascii="Arial" w:cs="Arial" w:eastAsia="Arial" w:hAnsi="Arial"/>
                <w:sz w:val="22"/>
                <w:szCs w:val="22"/>
                <w:b w:val="1"/>
                <w:bCs w:val="1"/>
                <w:color w:val="auto"/>
                <w:w w:val="85"/>
              </w:rPr>
              <w:t>SHAREHOLDER INFORMATION</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9"/>
        </w:trPr>
        <w:tc>
          <w:tcPr>
            <w:tcW w:w="5500" w:type="dxa"/>
            <w:vAlign w:val="bottom"/>
            <w:gridSpan w:val="2"/>
          </w:tcPr>
          <w:p>
            <w:pPr>
              <w:spacing w:after="0"/>
              <w:rPr>
                <w:sz w:val="20"/>
                <w:szCs w:val="20"/>
                <w:color w:val="auto"/>
              </w:rPr>
            </w:pPr>
            <w:r>
              <w:rPr>
                <w:rFonts w:ascii="Arial" w:cs="Arial" w:eastAsia="Arial" w:hAnsi="Arial"/>
                <w:sz w:val="22"/>
                <w:szCs w:val="22"/>
                <w:color w:val="auto"/>
              </w:rPr>
              <w:t>EXECUTIVE OFFICERS</w:t>
            </w:r>
          </w:p>
        </w:tc>
        <w:tc>
          <w:tcPr>
            <w:tcW w:w="3240" w:type="dxa"/>
            <w:vAlign w:val="bottom"/>
            <w:gridSpan w:val="2"/>
          </w:tcPr>
          <w:p>
            <w:pPr>
              <w:ind w:left="240"/>
              <w:spacing w:after="0"/>
              <w:rPr>
                <w:sz w:val="20"/>
                <w:szCs w:val="20"/>
                <w:color w:val="auto"/>
              </w:rPr>
            </w:pPr>
            <w:r>
              <w:rPr>
                <w:rFonts w:ascii="Arial" w:cs="Arial" w:eastAsia="Arial" w:hAnsi="Arial"/>
                <w:sz w:val="22"/>
                <w:szCs w:val="22"/>
                <w:color w:val="auto"/>
              </w:rPr>
              <w:t>REGISTERED OFFICE</w:t>
            </w:r>
          </w:p>
        </w:tc>
        <w:tc>
          <w:tcPr>
            <w:tcW w:w="0" w:type="dxa"/>
            <w:vAlign w:val="bottom"/>
          </w:tcPr>
          <w:p>
            <w:pPr>
              <w:spacing w:after="0"/>
              <w:rPr>
                <w:sz w:val="1"/>
                <w:szCs w:val="1"/>
                <w:color w:val="auto"/>
              </w:rPr>
            </w:pPr>
          </w:p>
        </w:tc>
      </w:tr>
      <w:tr>
        <w:trPr>
          <w:trHeight w:val="258"/>
        </w:trPr>
        <w:tc>
          <w:tcPr>
            <w:tcW w:w="5500" w:type="dxa"/>
            <w:vAlign w:val="bottom"/>
            <w:gridSpan w:val="2"/>
          </w:tcPr>
          <w:p>
            <w:pPr>
              <w:spacing w:after="0"/>
              <w:rPr>
                <w:sz w:val="20"/>
                <w:szCs w:val="20"/>
                <w:color w:val="auto"/>
              </w:rPr>
            </w:pPr>
            <w:r>
              <w:rPr>
                <w:rFonts w:ascii="Arial" w:cs="Arial" w:eastAsia="Arial" w:hAnsi="Arial"/>
                <w:sz w:val="20"/>
                <w:szCs w:val="20"/>
                <w:color w:val="auto"/>
              </w:rPr>
              <w:t>David Zaccardelli, Pharm.D.</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Verona Pharma plc</w:t>
            </w:r>
          </w:p>
        </w:tc>
        <w:tc>
          <w:tcPr>
            <w:tcW w:w="0" w:type="dxa"/>
            <w:vAlign w:val="bottom"/>
          </w:tcPr>
          <w:p>
            <w:pPr>
              <w:spacing w:after="0"/>
              <w:rPr>
                <w:sz w:val="1"/>
                <w:szCs w:val="1"/>
                <w:color w:val="auto"/>
              </w:rPr>
            </w:pPr>
          </w:p>
        </w:tc>
      </w:tr>
      <w:tr>
        <w:trPr>
          <w:trHeight w:val="244"/>
        </w:trPr>
        <w:tc>
          <w:tcPr>
            <w:tcW w:w="5500" w:type="dxa"/>
            <w:vAlign w:val="bottom"/>
            <w:gridSpan w:val="2"/>
          </w:tcPr>
          <w:p>
            <w:pPr>
              <w:spacing w:after="0"/>
              <w:rPr>
                <w:sz w:val="20"/>
                <w:szCs w:val="20"/>
                <w:color w:val="auto"/>
              </w:rPr>
            </w:pPr>
            <w:r>
              <w:rPr>
                <w:rFonts w:ascii="Arial" w:cs="Arial" w:eastAsia="Arial" w:hAnsi="Arial"/>
                <w:sz w:val="20"/>
                <w:szCs w:val="20"/>
                <w:color w:val="auto"/>
              </w:rPr>
              <w:t>President &amp; Chief Executive Officer</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One Central Square</w:t>
            </w:r>
          </w:p>
        </w:tc>
        <w:tc>
          <w:tcPr>
            <w:tcW w:w="0" w:type="dxa"/>
            <w:vAlign w:val="bottom"/>
          </w:tcPr>
          <w:p>
            <w:pPr>
              <w:spacing w:after="0"/>
              <w:rPr>
                <w:sz w:val="1"/>
                <w:szCs w:val="1"/>
                <w:color w:val="auto"/>
              </w:rPr>
            </w:pPr>
          </w:p>
        </w:tc>
      </w:tr>
      <w:tr>
        <w:trPr>
          <w:trHeight w:val="242"/>
        </w:trPr>
        <w:tc>
          <w:tcPr>
            <w:tcW w:w="28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Cardiff CF10 1FS, Wales</w:t>
            </w:r>
          </w:p>
        </w:tc>
        <w:tc>
          <w:tcPr>
            <w:tcW w:w="0" w:type="dxa"/>
            <w:vAlign w:val="bottom"/>
          </w:tcPr>
          <w:p>
            <w:pPr>
              <w:spacing w:after="0"/>
              <w:rPr>
                <w:sz w:val="1"/>
                <w:szCs w:val="1"/>
                <w:color w:val="auto"/>
              </w:rPr>
            </w:pPr>
          </w:p>
        </w:tc>
      </w:tr>
      <w:tr>
        <w:trPr>
          <w:trHeight w:val="244"/>
        </w:trPr>
        <w:tc>
          <w:tcPr>
            <w:tcW w:w="5500" w:type="dxa"/>
            <w:vAlign w:val="bottom"/>
            <w:gridSpan w:val="2"/>
          </w:tcPr>
          <w:p>
            <w:pPr>
              <w:spacing w:after="0"/>
              <w:rPr>
                <w:sz w:val="20"/>
                <w:szCs w:val="20"/>
                <w:color w:val="auto"/>
              </w:rPr>
            </w:pPr>
            <w:r>
              <w:rPr>
                <w:rFonts w:ascii="Arial" w:cs="Arial" w:eastAsia="Arial" w:hAnsi="Arial"/>
                <w:sz w:val="20"/>
                <w:szCs w:val="20"/>
                <w:color w:val="auto"/>
              </w:rPr>
              <w:t>Mark W. Hahn</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United Kingdom</w:t>
            </w:r>
          </w:p>
        </w:tc>
        <w:tc>
          <w:tcPr>
            <w:tcW w:w="0" w:type="dxa"/>
            <w:vAlign w:val="bottom"/>
          </w:tcPr>
          <w:p>
            <w:pPr>
              <w:spacing w:after="0"/>
              <w:rPr>
                <w:sz w:val="1"/>
                <w:szCs w:val="1"/>
                <w:color w:val="auto"/>
              </w:rPr>
            </w:pPr>
          </w:p>
        </w:tc>
      </w:tr>
      <w:tr>
        <w:trPr>
          <w:trHeight w:val="242"/>
        </w:trPr>
        <w:tc>
          <w:tcPr>
            <w:tcW w:w="5500" w:type="dxa"/>
            <w:vAlign w:val="bottom"/>
            <w:gridSpan w:val="2"/>
          </w:tcPr>
          <w:p>
            <w:pPr>
              <w:spacing w:after="0"/>
              <w:rPr>
                <w:sz w:val="20"/>
                <w:szCs w:val="20"/>
                <w:color w:val="auto"/>
              </w:rPr>
            </w:pPr>
            <w:r>
              <w:rPr>
                <w:rFonts w:ascii="Arial" w:cs="Arial" w:eastAsia="Arial" w:hAnsi="Arial"/>
                <w:sz w:val="20"/>
                <w:szCs w:val="20"/>
                <w:color w:val="auto"/>
              </w:rPr>
              <w:t>Chief Financial Officer</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w w:val="98"/>
              </w:rPr>
              <w:t>T: +1-833-417-0262 for US callers</w:t>
            </w:r>
          </w:p>
        </w:tc>
        <w:tc>
          <w:tcPr>
            <w:tcW w:w="0" w:type="dxa"/>
            <w:vAlign w:val="bottom"/>
          </w:tcPr>
          <w:p>
            <w:pPr>
              <w:spacing w:after="0"/>
              <w:rPr>
                <w:sz w:val="1"/>
                <w:szCs w:val="1"/>
                <w:color w:val="auto"/>
              </w:rPr>
            </w:pPr>
          </w:p>
        </w:tc>
      </w:tr>
      <w:tr>
        <w:trPr>
          <w:trHeight w:val="244"/>
        </w:trPr>
        <w:tc>
          <w:tcPr>
            <w:tcW w:w="28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w w:val="88"/>
              </w:rPr>
              <w:t>T: +44 (0)203 283 4200 for UK callers</w:t>
            </w:r>
          </w:p>
        </w:tc>
        <w:tc>
          <w:tcPr>
            <w:tcW w:w="0" w:type="dxa"/>
            <w:vAlign w:val="bottom"/>
          </w:tcPr>
          <w:p>
            <w:pPr>
              <w:spacing w:after="0"/>
              <w:rPr>
                <w:sz w:val="1"/>
                <w:szCs w:val="1"/>
                <w:color w:val="auto"/>
              </w:rPr>
            </w:pPr>
          </w:p>
        </w:tc>
      </w:tr>
      <w:tr>
        <w:trPr>
          <w:trHeight w:val="242"/>
        </w:trPr>
        <w:tc>
          <w:tcPr>
            <w:tcW w:w="5500" w:type="dxa"/>
            <w:vAlign w:val="bottom"/>
            <w:gridSpan w:val="2"/>
          </w:tcPr>
          <w:p>
            <w:pPr>
              <w:spacing w:after="0"/>
              <w:rPr>
                <w:sz w:val="20"/>
                <w:szCs w:val="20"/>
                <w:color w:val="auto"/>
              </w:rPr>
            </w:pPr>
            <w:r>
              <w:rPr>
                <w:rFonts w:ascii="Arial" w:cs="Arial" w:eastAsia="Arial" w:hAnsi="Arial"/>
                <w:sz w:val="20"/>
                <w:szCs w:val="20"/>
                <w:color w:val="auto"/>
              </w:rPr>
              <w:t>Kathleen Rickard, M.D.</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E: info@veronapharma.com</w:t>
            </w:r>
          </w:p>
        </w:tc>
        <w:tc>
          <w:tcPr>
            <w:tcW w:w="0" w:type="dxa"/>
            <w:vAlign w:val="bottom"/>
          </w:tcPr>
          <w:p>
            <w:pPr>
              <w:spacing w:after="0"/>
              <w:rPr>
                <w:sz w:val="1"/>
                <w:szCs w:val="1"/>
                <w:color w:val="auto"/>
              </w:rPr>
            </w:pPr>
          </w:p>
        </w:tc>
      </w:tr>
      <w:tr>
        <w:trPr>
          <w:trHeight w:val="267"/>
        </w:trPr>
        <w:tc>
          <w:tcPr>
            <w:tcW w:w="5500" w:type="dxa"/>
            <w:vAlign w:val="bottom"/>
            <w:gridSpan w:val="2"/>
          </w:tcPr>
          <w:p>
            <w:pPr>
              <w:spacing w:after="0"/>
              <w:rPr>
                <w:sz w:val="20"/>
                <w:szCs w:val="20"/>
                <w:color w:val="auto"/>
              </w:rPr>
            </w:pPr>
            <w:r>
              <w:rPr>
                <w:rFonts w:ascii="Arial" w:cs="Arial" w:eastAsia="Arial" w:hAnsi="Arial"/>
                <w:sz w:val="20"/>
                <w:szCs w:val="20"/>
                <w:color w:val="auto"/>
              </w:rPr>
              <w:t>Chief Medical Officer</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W: www.veronapharma.com</w:t>
            </w:r>
          </w:p>
        </w:tc>
        <w:tc>
          <w:tcPr>
            <w:tcW w:w="0" w:type="dxa"/>
            <w:vAlign w:val="bottom"/>
          </w:tcPr>
          <w:p>
            <w:pPr>
              <w:spacing w:after="0"/>
              <w:rPr>
                <w:sz w:val="1"/>
                <w:szCs w:val="1"/>
                <w:color w:val="auto"/>
              </w:rPr>
            </w:pPr>
          </w:p>
        </w:tc>
      </w:tr>
      <w:tr>
        <w:trPr>
          <w:trHeight w:val="461"/>
        </w:trPr>
        <w:tc>
          <w:tcPr>
            <w:tcW w:w="5500" w:type="dxa"/>
            <w:vAlign w:val="bottom"/>
            <w:gridSpan w:val="2"/>
          </w:tcPr>
          <w:p>
            <w:pPr>
              <w:spacing w:after="0"/>
              <w:rPr>
                <w:sz w:val="20"/>
                <w:szCs w:val="20"/>
                <w:color w:val="auto"/>
              </w:rPr>
            </w:pPr>
            <w:r>
              <w:rPr>
                <w:rFonts w:ascii="Arial" w:cs="Arial" w:eastAsia="Arial" w:hAnsi="Arial"/>
                <w:sz w:val="20"/>
                <w:szCs w:val="20"/>
                <w:color w:val="auto"/>
              </w:rPr>
              <w:t>Andrew Fisher</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w w:val="95"/>
              </w:rPr>
              <w:t>ANNUAL GENERAL MEETING OF</w:t>
            </w:r>
          </w:p>
        </w:tc>
        <w:tc>
          <w:tcPr>
            <w:tcW w:w="0" w:type="dxa"/>
            <w:vAlign w:val="bottom"/>
          </w:tcPr>
          <w:p>
            <w:pPr>
              <w:spacing w:after="0"/>
              <w:rPr>
                <w:sz w:val="1"/>
                <w:szCs w:val="1"/>
                <w:color w:val="auto"/>
              </w:rPr>
            </w:pPr>
          </w:p>
        </w:tc>
      </w:tr>
      <w:tr>
        <w:trPr>
          <w:trHeight w:val="244"/>
        </w:trPr>
        <w:tc>
          <w:tcPr>
            <w:tcW w:w="5500" w:type="dxa"/>
            <w:vAlign w:val="bottom"/>
            <w:gridSpan w:val="2"/>
          </w:tcPr>
          <w:p>
            <w:pPr>
              <w:spacing w:after="0"/>
              <w:rPr>
                <w:sz w:val="20"/>
                <w:szCs w:val="20"/>
                <w:color w:val="auto"/>
              </w:rPr>
            </w:pPr>
            <w:r>
              <w:rPr>
                <w:rFonts w:ascii="Arial" w:cs="Arial" w:eastAsia="Arial" w:hAnsi="Arial"/>
                <w:sz w:val="20"/>
                <w:szCs w:val="20"/>
                <w:color w:val="auto"/>
              </w:rPr>
              <w:t>General Counsel</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SHAREHOLDERS</w:t>
            </w:r>
          </w:p>
        </w:tc>
        <w:tc>
          <w:tcPr>
            <w:tcW w:w="0" w:type="dxa"/>
            <w:vAlign w:val="bottom"/>
          </w:tcPr>
          <w:p>
            <w:pPr>
              <w:spacing w:after="0"/>
              <w:rPr>
                <w:sz w:val="1"/>
                <w:szCs w:val="1"/>
                <w:color w:val="auto"/>
              </w:rPr>
            </w:pPr>
          </w:p>
        </w:tc>
      </w:tr>
      <w:tr>
        <w:trPr>
          <w:trHeight w:val="227"/>
        </w:trPr>
        <w:tc>
          <w:tcPr>
            <w:tcW w:w="2860" w:type="dxa"/>
            <w:vAlign w:val="bottom"/>
            <w:tcBorders>
              <w:bottom w:val="single" w:sz="8" w:color="auto"/>
            </w:tcBorders>
          </w:tcPr>
          <w:p>
            <w:pPr>
              <w:spacing w:after="0"/>
              <w:rPr>
                <w:sz w:val="19"/>
                <w:szCs w:val="19"/>
                <w:color w:val="auto"/>
              </w:rPr>
            </w:pPr>
          </w:p>
        </w:tc>
        <w:tc>
          <w:tcPr>
            <w:tcW w:w="2640" w:type="dxa"/>
            <w:vAlign w:val="bottom"/>
          </w:tcPr>
          <w:p>
            <w:pPr>
              <w:spacing w:after="0"/>
              <w:rPr>
                <w:sz w:val="19"/>
                <w:szCs w:val="19"/>
                <w:color w:val="auto"/>
              </w:rPr>
            </w:pPr>
          </w:p>
        </w:tc>
        <w:tc>
          <w:tcPr>
            <w:tcW w:w="3240" w:type="dxa"/>
            <w:vAlign w:val="bottom"/>
            <w:gridSpan w:val="2"/>
          </w:tcPr>
          <w:p>
            <w:pPr>
              <w:ind w:left="240"/>
              <w:spacing w:after="0" w:line="227" w:lineRule="exact"/>
              <w:rPr>
                <w:sz w:val="20"/>
                <w:szCs w:val="20"/>
                <w:color w:val="auto"/>
              </w:rPr>
            </w:pPr>
            <w:r>
              <w:rPr>
                <w:rFonts w:ascii="Arial" w:cs="Arial" w:eastAsia="Arial" w:hAnsi="Arial"/>
                <w:sz w:val="20"/>
                <w:szCs w:val="20"/>
                <w:color w:val="auto"/>
              </w:rPr>
              <w:t>April 26, 2024</w:t>
            </w:r>
          </w:p>
        </w:tc>
        <w:tc>
          <w:tcPr>
            <w:tcW w:w="0" w:type="dxa"/>
            <w:vAlign w:val="bottom"/>
          </w:tcPr>
          <w:p>
            <w:pPr>
              <w:spacing w:after="0"/>
              <w:rPr>
                <w:sz w:val="1"/>
                <w:szCs w:val="1"/>
                <w:color w:val="auto"/>
              </w:rPr>
            </w:pPr>
          </w:p>
        </w:tc>
      </w:tr>
      <w:tr>
        <w:trPr>
          <w:trHeight w:val="239"/>
        </w:trPr>
        <w:tc>
          <w:tcPr>
            <w:tcW w:w="5500" w:type="dxa"/>
            <w:vAlign w:val="bottom"/>
            <w:gridSpan w:val="2"/>
          </w:tcPr>
          <w:p>
            <w:pPr>
              <w:spacing w:after="0"/>
              <w:rPr>
                <w:sz w:val="20"/>
                <w:szCs w:val="20"/>
                <w:color w:val="auto"/>
              </w:rPr>
            </w:pPr>
            <w:r>
              <w:rPr>
                <w:rFonts w:ascii="Arial" w:cs="Arial" w:eastAsia="Arial" w:hAnsi="Arial"/>
                <w:sz w:val="20"/>
                <w:szCs w:val="20"/>
                <w:color w:val="auto"/>
              </w:rPr>
              <w:t>BOARD OF DIRECTORS</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Details to be notified in the Proxy</w:t>
            </w:r>
          </w:p>
        </w:tc>
        <w:tc>
          <w:tcPr>
            <w:tcW w:w="0" w:type="dxa"/>
            <w:vAlign w:val="bottom"/>
          </w:tcPr>
          <w:p>
            <w:pPr>
              <w:spacing w:after="0"/>
              <w:rPr>
                <w:sz w:val="1"/>
                <w:szCs w:val="1"/>
                <w:color w:val="auto"/>
              </w:rPr>
            </w:pPr>
          </w:p>
        </w:tc>
      </w:tr>
      <w:tr>
        <w:trPr>
          <w:trHeight w:val="267"/>
        </w:trPr>
        <w:tc>
          <w:tcPr>
            <w:tcW w:w="5500" w:type="dxa"/>
            <w:vAlign w:val="bottom"/>
            <w:gridSpan w:val="2"/>
            <w:vMerge w:val="restart"/>
          </w:tcPr>
          <w:p>
            <w:pPr>
              <w:spacing w:after="0"/>
              <w:rPr>
                <w:sz w:val="20"/>
                <w:szCs w:val="20"/>
                <w:color w:val="auto"/>
              </w:rPr>
            </w:pPr>
            <w:r>
              <w:rPr>
                <w:rFonts w:ascii="Arial" w:cs="Arial" w:eastAsia="Arial" w:hAnsi="Arial"/>
                <w:sz w:val="20"/>
                <w:szCs w:val="20"/>
                <w:color w:val="auto"/>
              </w:rPr>
              <w:t>David Ebsworth, Ph.D</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Statement</w:t>
            </w:r>
          </w:p>
        </w:tc>
        <w:tc>
          <w:tcPr>
            <w:tcW w:w="0" w:type="dxa"/>
            <w:vAlign w:val="bottom"/>
          </w:tcPr>
          <w:p>
            <w:pPr>
              <w:spacing w:after="0"/>
              <w:rPr>
                <w:sz w:val="1"/>
                <w:szCs w:val="1"/>
                <w:color w:val="auto"/>
              </w:rPr>
            </w:pPr>
          </w:p>
        </w:tc>
      </w:tr>
      <w:tr>
        <w:trPr>
          <w:trHeight w:val="220"/>
        </w:trPr>
        <w:tc>
          <w:tcPr>
            <w:tcW w:w="5500" w:type="dxa"/>
            <w:vAlign w:val="bottom"/>
            <w:gridSpan w:val="2"/>
            <w:vMerge w:val="continue"/>
          </w:tcPr>
          <w:p>
            <w:pPr>
              <w:spacing w:after="0"/>
              <w:rPr>
                <w:sz w:val="19"/>
                <w:szCs w:val="19"/>
                <w:color w:val="auto"/>
              </w:rPr>
            </w:pPr>
          </w:p>
        </w:tc>
        <w:tc>
          <w:tcPr>
            <w:tcW w:w="3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500" w:type="dxa"/>
            <w:vAlign w:val="bottom"/>
            <w:gridSpan w:val="2"/>
          </w:tcPr>
          <w:p>
            <w:pPr>
              <w:spacing w:after="0"/>
              <w:rPr>
                <w:sz w:val="20"/>
                <w:szCs w:val="20"/>
                <w:color w:val="auto"/>
              </w:rPr>
            </w:pPr>
            <w:r>
              <w:rPr>
                <w:rFonts w:ascii="Arial" w:cs="Arial" w:eastAsia="Arial" w:hAnsi="Arial"/>
                <w:sz w:val="20"/>
                <w:szCs w:val="20"/>
                <w:color w:val="auto"/>
              </w:rPr>
              <w:t>Chairperson of the Board, Verona Pharma and</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w w:val="89"/>
              </w:rPr>
              <w:t>An Annual Report, a Proxy Statement</w:t>
            </w:r>
          </w:p>
        </w:tc>
        <w:tc>
          <w:tcPr>
            <w:tcW w:w="0" w:type="dxa"/>
            <w:vAlign w:val="bottom"/>
          </w:tcPr>
          <w:p>
            <w:pPr>
              <w:spacing w:after="0"/>
              <w:rPr>
                <w:sz w:val="1"/>
                <w:szCs w:val="1"/>
                <w:color w:val="auto"/>
              </w:rPr>
            </w:pPr>
          </w:p>
        </w:tc>
      </w:tr>
      <w:tr>
        <w:trPr>
          <w:trHeight w:val="244"/>
        </w:trPr>
        <w:tc>
          <w:tcPr>
            <w:tcW w:w="5500" w:type="dxa"/>
            <w:vAlign w:val="bottom"/>
            <w:gridSpan w:val="2"/>
          </w:tcPr>
          <w:p>
            <w:pPr>
              <w:spacing w:after="0"/>
              <w:rPr>
                <w:sz w:val="20"/>
                <w:szCs w:val="20"/>
                <w:color w:val="auto"/>
              </w:rPr>
            </w:pPr>
            <w:r>
              <w:rPr>
                <w:rFonts w:ascii="Arial" w:cs="Arial" w:eastAsia="Arial" w:hAnsi="Arial"/>
                <w:sz w:val="20"/>
                <w:szCs w:val="20"/>
                <w:color w:val="auto"/>
              </w:rPr>
              <w:t>Non-Executive Director of Sartorius AG</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w w:val="96"/>
              </w:rPr>
              <w:t>and a form of Proxy (or ADS voting</w:t>
            </w:r>
          </w:p>
        </w:tc>
        <w:tc>
          <w:tcPr>
            <w:tcW w:w="0" w:type="dxa"/>
            <w:vAlign w:val="bottom"/>
          </w:tcPr>
          <w:p>
            <w:pPr>
              <w:spacing w:after="0"/>
              <w:rPr>
                <w:sz w:val="1"/>
                <w:szCs w:val="1"/>
                <w:color w:val="auto"/>
              </w:rPr>
            </w:pPr>
          </w:p>
        </w:tc>
      </w:tr>
      <w:tr>
        <w:trPr>
          <w:trHeight w:val="242"/>
        </w:trPr>
        <w:tc>
          <w:tcPr>
            <w:tcW w:w="28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instructions) will be furnished to</w:t>
            </w:r>
          </w:p>
        </w:tc>
        <w:tc>
          <w:tcPr>
            <w:tcW w:w="0" w:type="dxa"/>
            <w:vAlign w:val="bottom"/>
          </w:tcPr>
          <w:p>
            <w:pPr>
              <w:spacing w:after="0"/>
              <w:rPr>
                <w:sz w:val="1"/>
                <w:szCs w:val="1"/>
                <w:color w:val="auto"/>
              </w:rPr>
            </w:pPr>
          </w:p>
        </w:tc>
      </w:tr>
      <w:tr>
        <w:trPr>
          <w:trHeight w:val="242"/>
        </w:trPr>
        <w:tc>
          <w:tcPr>
            <w:tcW w:w="5500" w:type="dxa"/>
            <w:vAlign w:val="bottom"/>
            <w:gridSpan w:val="2"/>
          </w:tcPr>
          <w:p>
            <w:pPr>
              <w:spacing w:after="0"/>
              <w:rPr>
                <w:sz w:val="20"/>
                <w:szCs w:val="20"/>
                <w:color w:val="auto"/>
              </w:rPr>
            </w:pPr>
            <w:r>
              <w:rPr>
                <w:rFonts w:ascii="Arial" w:cs="Arial" w:eastAsia="Arial" w:hAnsi="Arial"/>
                <w:sz w:val="20"/>
                <w:szCs w:val="20"/>
                <w:color w:val="auto"/>
              </w:rPr>
              <w:t>David Zaccardelli, Pharm.D.</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w w:val="90"/>
              </w:rPr>
              <w:t>each shareholder and ADS holder as</w:t>
            </w:r>
          </w:p>
        </w:tc>
        <w:tc>
          <w:tcPr>
            <w:tcW w:w="0" w:type="dxa"/>
            <w:vAlign w:val="bottom"/>
          </w:tcPr>
          <w:p>
            <w:pPr>
              <w:spacing w:after="0"/>
              <w:rPr>
                <w:sz w:val="1"/>
                <w:szCs w:val="1"/>
                <w:color w:val="auto"/>
              </w:rPr>
            </w:pPr>
          </w:p>
        </w:tc>
      </w:tr>
      <w:tr>
        <w:trPr>
          <w:trHeight w:val="267"/>
        </w:trPr>
        <w:tc>
          <w:tcPr>
            <w:tcW w:w="5500" w:type="dxa"/>
            <w:vAlign w:val="bottom"/>
            <w:gridSpan w:val="2"/>
          </w:tcPr>
          <w:p>
            <w:pPr>
              <w:spacing w:after="0"/>
              <w:rPr>
                <w:sz w:val="20"/>
                <w:szCs w:val="20"/>
                <w:color w:val="auto"/>
              </w:rPr>
            </w:pPr>
            <w:r>
              <w:rPr>
                <w:rFonts w:ascii="Arial" w:cs="Arial" w:eastAsia="Arial" w:hAnsi="Arial"/>
                <w:sz w:val="20"/>
                <w:szCs w:val="20"/>
                <w:color w:val="auto"/>
              </w:rPr>
              <w:t>President &amp; CEO Verona Pharma</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w w:val="92"/>
              </w:rPr>
              <w:t>of the record date of March 13, 2024</w:t>
            </w:r>
          </w:p>
        </w:tc>
        <w:tc>
          <w:tcPr>
            <w:tcW w:w="0" w:type="dxa"/>
            <w:vAlign w:val="bottom"/>
          </w:tcPr>
          <w:p>
            <w:pPr>
              <w:spacing w:after="0"/>
              <w:rPr>
                <w:sz w:val="1"/>
                <w:szCs w:val="1"/>
                <w:color w:val="auto"/>
              </w:rPr>
            </w:pPr>
          </w:p>
        </w:tc>
      </w:tr>
      <w:tr>
        <w:trPr>
          <w:trHeight w:val="463"/>
        </w:trPr>
        <w:tc>
          <w:tcPr>
            <w:tcW w:w="5500" w:type="dxa"/>
            <w:vAlign w:val="bottom"/>
            <w:gridSpan w:val="2"/>
          </w:tcPr>
          <w:p>
            <w:pPr>
              <w:spacing w:after="0"/>
              <w:rPr>
                <w:sz w:val="20"/>
                <w:szCs w:val="20"/>
                <w:color w:val="auto"/>
              </w:rPr>
            </w:pPr>
            <w:r>
              <w:rPr>
                <w:rFonts w:ascii="Arial" w:cs="Arial" w:eastAsia="Arial" w:hAnsi="Arial"/>
                <w:sz w:val="20"/>
                <w:szCs w:val="20"/>
                <w:color w:val="auto"/>
              </w:rPr>
              <w:t>Christina Ackermann</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AUDITORS</w:t>
            </w:r>
          </w:p>
        </w:tc>
        <w:tc>
          <w:tcPr>
            <w:tcW w:w="0" w:type="dxa"/>
            <w:vAlign w:val="bottom"/>
          </w:tcPr>
          <w:p>
            <w:pPr>
              <w:spacing w:after="0"/>
              <w:rPr>
                <w:sz w:val="1"/>
                <w:szCs w:val="1"/>
                <w:color w:val="auto"/>
              </w:rPr>
            </w:pPr>
          </w:p>
        </w:tc>
      </w:tr>
      <w:tr>
        <w:trPr>
          <w:trHeight w:val="242"/>
        </w:trPr>
        <w:tc>
          <w:tcPr>
            <w:tcW w:w="5500" w:type="dxa"/>
            <w:vAlign w:val="bottom"/>
            <w:gridSpan w:val="2"/>
          </w:tcPr>
          <w:p>
            <w:pPr>
              <w:spacing w:after="0"/>
              <w:rPr>
                <w:sz w:val="20"/>
                <w:szCs w:val="20"/>
                <w:color w:val="auto"/>
              </w:rPr>
            </w:pPr>
            <w:r>
              <w:rPr>
                <w:rFonts w:ascii="Arial" w:cs="Arial" w:eastAsia="Arial" w:hAnsi="Arial"/>
                <w:sz w:val="20"/>
                <w:szCs w:val="20"/>
                <w:color w:val="auto"/>
                <w:w w:val="92"/>
              </w:rPr>
              <w:t>Formerly EVP, Ophthalmic Pharmaceuticals at Bausch + Lomb Inc</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PricewaterhouseCoopers LLP</w:t>
            </w:r>
          </w:p>
        </w:tc>
        <w:tc>
          <w:tcPr>
            <w:tcW w:w="0" w:type="dxa"/>
            <w:vAlign w:val="bottom"/>
          </w:tcPr>
          <w:p>
            <w:pPr>
              <w:spacing w:after="0"/>
              <w:rPr>
                <w:sz w:val="1"/>
                <w:szCs w:val="1"/>
                <w:color w:val="auto"/>
              </w:rPr>
            </w:pPr>
          </w:p>
        </w:tc>
      </w:tr>
      <w:tr>
        <w:trPr>
          <w:trHeight w:val="244"/>
        </w:trPr>
        <w:tc>
          <w:tcPr>
            <w:tcW w:w="28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w w:val="89"/>
              </w:rPr>
              <w:t>3 Forbury Place, 23 Forbury Gardens</w:t>
            </w:r>
          </w:p>
        </w:tc>
        <w:tc>
          <w:tcPr>
            <w:tcW w:w="0" w:type="dxa"/>
            <w:vAlign w:val="bottom"/>
          </w:tcPr>
          <w:p>
            <w:pPr>
              <w:spacing w:after="0"/>
              <w:rPr>
                <w:sz w:val="1"/>
                <w:szCs w:val="1"/>
                <w:color w:val="auto"/>
              </w:rPr>
            </w:pPr>
          </w:p>
        </w:tc>
      </w:tr>
      <w:tr>
        <w:trPr>
          <w:trHeight w:val="242"/>
        </w:trPr>
        <w:tc>
          <w:tcPr>
            <w:tcW w:w="5500" w:type="dxa"/>
            <w:vAlign w:val="bottom"/>
            <w:gridSpan w:val="2"/>
          </w:tcPr>
          <w:p>
            <w:pPr>
              <w:spacing w:after="0"/>
              <w:rPr>
                <w:sz w:val="20"/>
                <w:szCs w:val="20"/>
                <w:color w:val="auto"/>
              </w:rPr>
            </w:pPr>
            <w:r>
              <w:rPr>
                <w:rFonts w:ascii="Arial" w:cs="Arial" w:eastAsia="Arial" w:hAnsi="Arial"/>
                <w:sz w:val="20"/>
                <w:szCs w:val="20"/>
                <w:color w:val="auto"/>
              </w:rPr>
              <w:t>Michael Austwick</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Reading, Berkshire RG1 3JH</w:t>
            </w:r>
          </w:p>
        </w:tc>
        <w:tc>
          <w:tcPr>
            <w:tcW w:w="0" w:type="dxa"/>
            <w:vAlign w:val="bottom"/>
          </w:tcPr>
          <w:p>
            <w:pPr>
              <w:spacing w:after="0"/>
              <w:rPr>
                <w:sz w:val="1"/>
                <w:szCs w:val="1"/>
                <w:color w:val="auto"/>
              </w:rPr>
            </w:pPr>
          </w:p>
        </w:tc>
      </w:tr>
      <w:tr>
        <w:trPr>
          <w:trHeight w:val="267"/>
        </w:trPr>
        <w:tc>
          <w:tcPr>
            <w:tcW w:w="5500" w:type="dxa"/>
            <w:vAlign w:val="bottom"/>
            <w:gridSpan w:val="2"/>
          </w:tcPr>
          <w:p>
            <w:pPr>
              <w:spacing w:after="0"/>
              <w:rPr>
                <w:sz w:val="20"/>
                <w:szCs w:val="20"/>
                <w:color w:val="auto"/>
              </w:rPr>
            </w:pPr>
            <w:r>
              <w:rPr>
                <w:rFonts w:ascii="Arial" w:cs="Arial" w:eastAsia="Arial" w:hAnsi="Arial"/>
                <w:sz w:val="20"/>
                <w:szCs w:val="20"/>
                <w:color w:val="auto"/>
              </w:rPr>
              <w:t>Formerly CEO of Vectura Ltd</w:t>
            </w:r>
          </w:p>
        </w:tc>
        <w:tc>
          <w:tcPr>
            <w:tcW w:w="3240" w:type="dxa"/>
            <w:vAlign w:val="bottom"/>
            <w:gridSpan w:val="2"/>
            <w:vMerge w:val="restart"/>
          </w:tcPr>
          <w:p>
            <w:pPr>
              <w:ind w:left="240"/>
              <w:spacing w:after="0"/>
              <w:rPr>
                <w:sz w:val="20"/>
                <w:szCs w:val="20"/>
                <w:color w:val="auto"/>
              </w:rPr>
            </w:pPr>
            <w:r>
              <w:rPr>
                <w:rFonts w:ascii="Arial" w:cs="Arial" w:eastAsia="Arial" w:hAnsi="Arial"/>
                <w:sz w:val="20"/>
                <w:szCs w:val="20"/>
                <w:color w:val="auto"/>
              </w:rPr>
              <w:t>TRANSFER AGENT</w:t>
            </w:r>
          </w:p>
        </w:tc>
        <w:tc>
          <w:tcPr>
            <w:tcW w:w="0" w:type="dxa"/>
            <w:vAlign w:val="bottom"/>
          </w:tcPr>
          <w:p>
            <w:pPr>
              <w:spacing w:after="0"/>
              <w:rPr>
                <w:sz w:val="1"/>
                <w:szCs w:val="1"/>
                <w:color w:val="auto"/>
              </w:rPr>
            </w:pPr>
          </w:p>
        </w:tc>
      </w:tr>
      <w:tr>
        <w:trPr>
          <w:trHeight w:val="220"/>
        </w:trPr>
        <w:tc>
          <w:tcPr>
            <w:tcW w:w="28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500" w:type="dxa"/>
            <w:vAlign w:val="bottom"/>
            <w:gridSpan w:val="2"/>
          </w:tcPr>
          <w:p>
            <w:pPr>
              <w:spacing w:after="0"/>
              <w:rPr>
                <w:sz w:val="20"/>
                <w:szCs w:val="20"/>
                <w:color w:val="auto"/>
              </w:rPr>
            </w:pPr>
            <w:r>
              <w:rPr>
                <w:rFonts w:ascii="Arial" w:cs="Arial" w:eastAsia="Arial" w:hAnsi="Arial"/>
                <w:sz w:val="20"/>
                <w:szCs w:val="20"/>
                <w:color w:val="auto"/>
              </w:rPr>
              <w:t>James Brady</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w w:val="95"/>
              </w:rPr>
              <w:t>Citibank N.A. (Depositary Services)</w:t>
            </w:r>
          </w:p>
        </w:tc>
        <w:tc>
          <w:tcPr>
            <w:tcW w:w="0" w:type="dxa"/>
            <w:vAlign w:val="bottom"/>
          </w:tcPr>
          <w:p>
            <w:pPr>
              <w:spacing w:after="0"/>
              <w:rPr>
                <w:sz w:val="1"/>
                <w:szCs w:val="1"/>
                <w:color w:val="auto"/>
              </w:rPr>
            </w:pPr>
          </w:p>
        </w:tc>
      </w:tr>
      <w:tr>
        <w:trPr>
          <w:trHeight w:val="244"/>
        </w:trPr>
        <w:tc>
          <w:tcPr>
            <w:tcW w:w="5500" w:type="dxa"/>
            <w:vAlign w:val="bottom"/>
            <w:gridSpan w:val="2"/>
          </w:tcPr>
          <w:p>
            <w:pPr>
              <w:spacing w:after="0"/>
              <w:rPr>
                <w:sz w:val="20"/>
                <w:szCs w:val="20"/>
                <w:color w:val="auto"/>
              </w:rPr>
            </w:pPr>
            <w:r>
              <w:rPr>
                <w:rFonts w:ascii="Arial" w:cs="Arial" w:eastAsia="Arial" w:hAnsi="Arial"/>
                <w:sz w:val="20"/>
                <w:szCs w:val="20"/>
                <w:color w:val="auto"/>
              </w:rPr>
              <w:t>Formerly CFO of MedImmune, a division of AstraZeneca AB</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388 Greenwich St</w:t>
            </w:r>
          </w:p>
        </w:tc>
        <w:tc>
          <w:tcPr>
            <w:tcW w:w="0" w:type="dxa"/>
            <w:vAlign w:val="bottom"/>
          </w:tcPr>
          <w:p>
            <w:pPr>
              <w:spacing w:after="0"/>
              <w:rPr>
                <w:sz w:val="1"/>
                <w:szCs w:val="1"/>
                <w:color w:val="auto"/>
              </w:rPr>
            </w:pPr>
          </w:p>
        </w:tc>
      </w:tr>
      <w:tr>
        <w:trPr>
          <w:trHeight w:val="241"/>
        </w:trPr>
        <w:tc>
          <w:tcPr>
            <w:tcW w:w="28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New York, NY 10013</w:t>
            </w:r>
          </w:p>
        </w:tc>
        <w:tc>
          <w:tcPr>
            <w:tcW w:w="0" w:type="dxa"/>
            <w:vAlign w:val="bottom"/>
          </w:tcPr>
          <w:p>
            <w:pPr>
              <w:spacing w:after="0"/>
              <w:rPr>
                <w:sz w:val="1"/>
                <w:szCs w:val="1"/>
                <w:color w:val="auto"/>
              </w:rPr>
            </w:pPr>
          </w:p>
        </w:tc>
      </w:tr>
      <w:tr>
        <w:trPr>
          <w:trHeight w:val="244"/>
        </w:trPr>
        <w:tc>
          <w:tcPr>
            <w:tcW w:w="5500" w:type="dxa"/>
            <w:vAlign w:val="bottom"/>
            <w:gridSpan w:val="2"/>
          </w:tcPr>
          <w:p>
            <w:pPr>
              <w:spacing w:after="0"/>
              <w:rPr>
                <w:sz w:val="20"/>
                <w:szCs w:val="20"/>
                <w:color w:val="auto"/>
              </w:rPr>
            </w:pPr>
            <w:r>
              <w:rPr>
                <w:rFonts w:ascii="Arial" w:cs="Arial" w:eastAsia="Arial" w:hAnsi="Arial"/>
                <w:sz w:val="20"/>
                <w:szCs w:val="20"/>
                <w:color w:val="auto"/>
              </w:rPr>
              <w:t>Ken Cunningham, M.D.</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Email: citiadr@citi.com</w:t>
            </w:r>
          </w:p>
        </w:tc>
        <w:tc>
          <w:tcPr>
            <w:tcW w:w="0" w:type="dxa"/>
            <w:vAlign w:val="bottom"/>
          </w:tcPr>
          <w:p>
            <w:pPr>
              <w:spacing w:after="0"/>
              <w:rPr>
                <w:sz w:val="1"/>
                <w:szCs w:val="1"/>
                <w:color w:val="auto"/>
              </w:rPr>
            </w:pPr>
          </w:p>
        </w:tc>
      </w:tr>
      <w:tr>
        <w:trPr>
          <w:trHeight w:val="267"/>
        </w:trPr>
        <w:tc>
          <w:tcPr>
            <w:tcW w:w="5500" w:type="dxa"/>
            <w:vAlign w:val="bottom"/>
            <w:gridSpan w:val="2"/>
          </w:tcPr>
          <w:p>
            <w:pPr>
              <w:spacing w:after="0"/>
              <w:rPr>
                <w:sz w:val="20"/>
                <w:szCs w:val="20"/>
                <w:color w:val="auto"/>
              </w:rPr>
            </w:pPr>
            <w:r>
              <w:rPr>
                <w:rFonts w:ascii="Arial" w:cs="Arial" w:eastAsia="Arial" w:hAnsi="Arial"/>
                <w:sz w:val="20"/>
                <w:szCs w:val="20"/>
                <w:color w:val="auto"/>
              </w:rPr>
              <w:t>Non-Executive Chair of Medherant Ltd</w:t>
            </w:r>
          </w:p>
        </w:tc>
        <w:tc>
          <w:tcPr>
            <w:tcW w:w="3240" w:type="dxa"/>
            <w:vAlign w:val="bottom"/>
            <w:gridSpan w:val="2"/>
            <w:vMerge w:val="restart"/>
          </w:tcPr>
          <w:p>
            <w:pPr>
              <w:ind w:left="240"/>
              <w:spacing w:after="0"/>
              <w:rPr>
                <w:sz w:val="20"/>
                <w:szCs w:val="20"/>
                <w:color w:val="auto"/>
              </w:rPr>
            </w:pPr>
            <w:r>
              <w:rPr>
                <w:rFonts w:ascii="Arial" w:cs="Arial" w:eastAsia="Arial" w:hAnsi="Arial"/>
                <w:sz w:val="20"/>
                <w:szCs w:val="20"/>
                <w:color w:val="auto"/>
              </w:rPr>
              <w:t>STOCK EXCHANGE</w:t>
            </w:r>
          </w:p>
        </w:tc>
        <w:tc>
          <w:tcPr>
            <w:tcW w:w="0" w:type="dxa"/>
            <w:vAlign w:val="bottom"/>
          </w:tcPr>
          <w:p>
            <w:pPr>
              <w:spacing w:after="0"/>
              <w:rPr>
                <w:sz w:val="1"/>
                <w:szCs w:val="1"/>
                <w:color w:val="auto"/>
              </w:rPr>
            </w:pPr>
          </w:p>
        </w:tc>
      </w:tr>
      <w:tr>
        <w:trPr>
          <w:trHeight w:val="220"/>
        </w:trPr>
        <w:tc>
          <w:tcPr>
            <w:tcW w:w="28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3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500" w:type="dxa"/>
            <w:vAlign w:val="bottom"/>
            <w:gridSpan w:val="2"/>
          </w:tcPr>
          <w:p>
            <w:pPr>
              <w:spacing w:after="0"/>
              <w:rPr>
                <w:sz w:val="20"/>
                <w:szCs w:val="20"/>
                <w:color w:val="auto"/>
              </w:rPr>
            </w:pPr>
            <w:r>
              <w:rPr>
                <w:rFonts w:ascii="Arial" w:cs="Arial" w:eastAsia="Arial" w:hAnsi="Arial"/>
                <w:sz w:val="20"/>
                <w:szCs w:val="20"/>
                <w:color w:val="auto"/>
              </w:rPr>
              <w:t>Lisa Deschamps</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Verona Pharma plc’s American</w:t>
            </w:r>
          </w:p>
        </w:tc>
        <w:tc>
          <w:tcPr>
            <w:tcW w:w="0" w:type="dxa"/>
            <w:vAlign w:val="bottom"/>
          </w:tcPr>
          <w:p>
            <w:pPr>
              <w:spacing w:after="0"/>
              <w:rPr>
                <w:sz w:val="1"/>
                <w:szCs w:val="1"/>
                <w:color w:val="auto"/>
              </w:rPr>
            </w:pPr>
          </w:p>
        </w:tc>
      </w:tr>
      <w:tr>
        <w:trPr>
          <w:trHeight w:val="244"/>
        </w:trPr>
        <w:tc>
          <w:tcPr>
            <w:tcW w:w="5500" w:type="dxa"/>
            <w:vAlign w:val="bottom"/>
            <w:gridSpan w:val="2"/>
          </w:tcPr>
          <w:p>
            <w:pPr>
              <w:spacing w:after="0"/>
              <w:rPr>
                <w:sz w:val="20"/>
                <w:szCs w:val="20"/>
                <w:color w:val="auto"/>
              </w:rPr>
            </w:pPr>
            <w:r>
              <w:rPr>
                <w:rFonts w:ascii="Arial" w:cs="Arial" w:eastAsia="Arial" w:hAnsi="Arial"/>
                <w:sz w:val="20"/>
                <w:szCs w:val="20"/>
                <w:color w:val="auto"/>
              </w:rPr>
              <w:t>CEO of AviadoBIO Ltd</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Depositary Shares* are listed and</w:t>
            </w:r>
          </w:p>
        </w:tc>
        <w:tc>
          <w:tcPr>
            <w:tcW w:w="0" w:type="dxa"/>
            <w:vAlign w:val="bottom"/>
          </w:tcPr>
          <w:p>
            <w:pPr>
              <w:spacing w:after="0"/>
              <w:rPr>
                <w:sz w:val="1"/>
                <w:szCs w:val="1"/>
                <w:color w:val="auto"/>
              </w:rPr>
            </w:pPr>
          </w:p>
        </w:tc>
      </w:tr>
      <w:tr>
        <w:trPr>
          <w:trHeight w:val="242"/>
        </w:trPr>
        <w:tc>
          <w:tcPr>
            <w:tcW w:w="28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w w:val="92"/>
              </w:rPr>
              <w:t>traded on the Nasdaq Global Market</w:t>
            </w:r>
          </w:p>
        </w:tc>
        <w:tc>
          <w:tcPr>
            <w:tcW w:w="0" w:type="dxa"/>
            <w:vAlign w:val="bottom"/>
          </w:tcPr>
          <w:p>
            <w:pPr>
              <w:spacing w:after="0"/>
              <w:rPr>
                <w:sz w:val="1"/>
                <w:szCs w:val="1"/>
                <w:color w:val="auto"/>
              </w:rPr>
            </w:pPr>
          </w:p>
        </w:tc>
      </w:tr>
      <w:tr>
        <w:trPr>
          <w:trHeight w:val="244"/>
        </w:trPr>
        <w:tc>
          <w:tcPr>
            <w:tcW w:w="5500" w:type="dxa"/>
            <w:vAlign w:val="bottom"/>
            <w:gridSpan w:val="2"/>
          </w:tcPr>
          <w:p>
            <w:pPr>
              <w:spacing w:after="0"/>
              <w:rPr>
                <w:sz w:val="20"/>
                <w:szCs w:val="20"/>
                <w:color w:val="auto"/>
              </w:rPr>
            </w:pPr>
            <w:r>
              <w:rPr>
                <w:rFonts w:ascii="Arial" w:cs="Arial" w:eastAsia="Arial" w:hAnsi="Arial"/>
                <w:sz w:val="20"/>
                <w:szCs w:val="20"/>
                <w:color w:val="auto"/>
              </w:rPr>
              <w:t>Martin Edwards, M.D</w:t>
            </w:r>
          </w:p>
        </w:tc>
        <w:tc>
          <w:tcPr>
            <w:tcW w:w="3240" w:type="dxa"/>
            <w:vAlign w:val="bottom"/>
            <w:gridSpan w:val="2"/>
          </w:tcPr>
          <w:p>
            <w:pPr>
              <w:ind w:left="240"/>
              <w:spacing w:after="0"/>
              <w:rPr>
                <w:sz w:val="20"/>
                <w:szCs w:val="20"/>
                <w:color w:val="auto"/>
              </w:rPr>
            </w:pPr>
            <w:r>
              <w:rPr>
                <w:rFonts w:ascii="Arial" w:cs="Arial" w:eastAsia="Arial" w:hAnsi="Arial"/>
                <w:sz w:val="20"/>
                <w:szCs w:val="20"/>
                <w:color w:val="auto"/>
              </w:rPr>
              <w:t>under the ticker symbol “VRNA”</w:t>
            </w:r>
          </w:p>
        </w:tc>
        <w:tc>
          <w:tcPr>
            <w:tcW w:w="0" w:type="dxa"/>
            <w:vAlign w:val="bottom"/>
          </w:tcPr>
          <w:p>
            <w:pPr>
              <w:spacing w:after="0"/>
              <w:rPr>
                <w:sz w:val="1"/>
                <w:szCs w:val="1"/>
                <w:color w:val="auto"/>
              </w:rPr>
            </w:pPr>
          </w:p>
        </w:tc>
      </w:tr>
      <w:tr>
        <w:trPr>
          <w:trHeight w:val="267"/>
        </w:trPr>
        <w:tc>
          <w:tcPr>
            <w:tcW w:w="5500" w:type="dxa"/>
            <w:vAlign w:val="bottom"/>
            <w:gridSpan w:val="2"/>
          </w:tcPr>
          <w:p>
            <w:pPr>
              <w:spacing w:after="0"/>
              <w:rPr>
                <w:sz w:val="20"/>
                <w:szCs w:val="20"/>
                <w:color w:val="auto"/>
              </w:rPr>
            </w:pPr>
            <w:r>
              <w:rPr>
                <w:rFonts w:ascii="Arial" w:cs="Arial" w:eastAsia="Arial" w:hAnsi="Arial"/>
                <w:sz w:val="20"/>
                <w:szCs w:val="20"/>
                <w:color w:val="auto"/>
              </w:rPr>
              <w:t>Formerly Senior Partner, Novo Holdings A/S</w:t>
            </w:r>
          </w:p>
        </w:tc>
        <w:tc>
          <w:tcPr>
            <w:tcW w:w="3240" w:type="dxa"/>
            <w:vAlign w:val="bottom"/>
            <w:gridSpan w:val="2"/>
            <w:vMerge w:val="restart"/>
          </w:tcPr>
          <w:p>
            <w:pPr>
              <w:ind w:left="240"/>
              <w:spacing w:after="0"/>
              <w:rPr>
                <w:sz w:val="20"/>
                <w:szCs w:val="20"/>
                <w:color w:val="auto"/>
              </w:rPr>
            </w:pPr>
            <w:r>
              <w:rPr>
                <w:rFonts w:ascii="Arial" w:cs="Arial" w:eastAsia="Arial" w:hAnsi="Arial"/>
                <w:sz w:val="20"/>
                <w:szCs w:val="20"/>
                <w:color w:val="auto"/>
                <w:w w:val="99"/>
              </w:rPr>
              <w:t>*</w:t>
            </w:r>
            <w:r>
              <w:rPr>
                <w:rFonts w:ascii="Arial" w:cs="Arial" w:eastAsia="Arial" w:hAnsi="Arial"/>
                <w:sz w:val="17"/>
                <w:szCs w:val="17"/>
                <w:color w:val="auto"/>
                <w:w w:val="99"/>
              </w:rPr>
              <w:t>Each ADS listed on the Nasdaq Global</w:t>
            </w:r>
          </w:p>
        </w:tc>
        <w:tc>
          <w:tcPr>
            <w:tcW w:w="0" w:type="dxa"/>
            <w:vAlign w:val="bottom"/>
          </w:tcPr>
          <w:p>
            <w:pPr>
              <w:spacing w:after="0"/>
              <w:rPr>
                <w:sz w:val="1"/>
                <w:szCs w:val="1"/>
                <w:color w:val="auto"/>
              </w:rPr>
            </w:pPr>
          </w:p>
        </w:tc>
      </w:tr>
      <w:tr>
        <w:trPr>
          <w:trHeight w:val="238"/>
        </w:trPr>
        <w:tc>
          <w:tcPr>
            <w:tcW w:w="5500" w:type="dxa"/>
            <w:vAlign w:val="bottom"/>
            <w:gridSpan w:val="2"/>
            <w:vMerge w:val="restart"/>
          </w:tcPr>
          <w:p>
            <w:pPr>
              <w:spacing w:after="0"/>
              <w:rPr>
                <w:sz w:val="20"/>
                <w:szCs w:val="20"/>
                <w:color w:val="auto"/>
              </w:rPr>
            </w:pPr>
            <w:r>
              <w:rPr>
                <w:rFonts w:ascii="Arial" w:cs="Arial" w:eastAsia="Arial" w:hAnsi="Arial"/>
                <w:sz w:val="20"/>
                <w:szCs w:val="20"/>
                <w:color w:val="auto"/>
              </w:rPr>
              <w:t>Mahendra Shah, Ph.D</w:t>
            </w:r>
          </w:p>
        </w:tc>
        <w:tc>
          <w:tcPr>
            <w:tcW w:w="3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00" w:type="dxa"/>
            <w:vAlign w:val="bottom"/>
            <w:gridSpan w:val="2"/>
            <w:vMerge w:val="continue"/>
          </w:tcPr>
          <w:p>
            <w:pPr>
              <w:spacing w:after="0"/>
              <w:rPr>
                <w:sz w:val="19"/>
                <w:szCs w:val="19"/>
                <w:color w:val="auto"/>
              </w:rPr>
            </w:pPr>
          </w:p>
        </w:tc>
        <w:tc>
          <w:tcPr>
            <w:tcW w:w="3240" w:type="dxa"/>
            <w:vAlign w:val="bottom"/>
            <w:gridSpan w:val="2"/>
          </w:tcPr>
          <w:p>
            <w:pPr>
              <w:ind w:left="240"/>
              <w:spacing w:after="0"/>
              <w:rPr>
                <w:sz w:val="20"/>
                <w:szCs w:val="20"/>
                <w:color w:val="auto"/>
              </w:rPr>
            </w:pPr>
            <w:r>
              <w:rPr>
                <w:rFonts w:ascii="Arial" w:cs="Arial" w:eastAsia="Arial" w:hAnsi="Arial"/>
                <w:sz w:val="18"/>
                <w:szCs w:val="18"/>
                <w:color w:val="auto"/>
              </w:rPr>
              <w:t>Market represents 8 ordinary shares</w:t>
            </w:r>
          </w:p>
        </w:tc>
        <w:tc>
          <w:tcPr>
            <w:tcW w:w="0" w:type="dxa"/>
            <w:vAlign w:val="bottom"/>
          </w:tcPr>
          <w:p>
            <w:pPr>
              <w:spacing w:after="0"/>
              <w:rPr>
                <w:sz w:val="1"/>
                <w:szCs w:val="1"/>
                <w:color w:val="auto"/>
              </w:rPr>
            </w:pPr>
          </w:p>
        </w:tc>
      </w:tr>
      <w:tr>
        <w:trPr>
          <w:trHeight w:val="267"/>
        </w:trPr>
        <w:tc>
          <w:tcPr>
            <w:tcW w:w="5500" w:type="dxa"/>
            <w:vAlign w:val="bottom"/>
            <w:gridSpan w:val="2"/>
          </w:tcPr>
          <w:p>
            <w:pPr>
              <w:spacing w:after="0"/>
              <w:rPr>
                <w:sz w:val="20"/>
                <w:szCs w:val="20"/>
                <w:color w:val="auto"/>
              </w:rPr>
            </w:pPr>
            <w:r>
              <w:rPr>
                <w:rFonts w:ascii="Arial" w:cs="Arial" w:eastAsia="Arial" w:hAnsi="Arial"/>
                <w:sz w:val="20"/>
                <w:szCs w:val="20"/>
                <w:color w:val="auto"/>
              </w:rPr>
              <w:t>Senior Fellow, Vivo Capital LLC</w:t>
            </w:r>
          </w:p>
        </w:tc>
        <w:tc>
          <w:tcPr>
            <w:tcW w:w="3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2"/>
        </w:trPr>
        <w:tc>
          <w:tcPr>
            <w:tcW w:w="5500" w:type="dxa"/>
            <w:vAlign w:val="bottom"/>
            <w:gridSpan w:val="2"/>
          </w:tcPr>
          <w:p>
            <w:pPr>
              <w:spacing w:after="0"/>
              <w:rPr>
                <w:sz w:val="20"/>
                <w:szCs w:val="20"/>
                <w:color w:val="auto"/>
              </w:rPr>
            </w:pPr>
            <w:r>
              <w:rPr>
                <w:rFonts w:ascii="Arial" w:cs="Arial" w:eastAsia="Arial" w:hAnsi="Arial"/>
                <w:sz w:val="20"/>
                <w:szCs w:val="20"/>
                <w:color w:val="auto"/>
              </w:rPr>
              <w:t>Vikas Sinha</w:t>
            </w:r>
          </w:p>
        </w:tc>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500" w:type="dxa"/>
            <w:vAlign w:val="bottom"/>
            <w:gridSpan w:val="2"/>
          </w:tcPr>
          <w:p>
            <w:pPr>
              <w:spacing w:after="0"/>
              <w:rPr>
                <w:sz w:val="20"/>
                <w:szCs w:val="20"/>
                <w:color w:val="auto"/>
              </w:rPr>
            </w:pPr>
            <w:r>
              <w:rPr>
                <w:rFonts w:ascii="Arial" w:cs="Arial" w:eastAsia="Arial" w:hAnsi="Arial"/>
                <w:sz w:val="20"/>
                <w:szCs w:val="20"/>
                <w:color w:val="auto"/>
              </w:rPr>
              <w:t>CFO of ElevateBio, Inc</w:t>
            </w:r>
          </w:p>
        </w:tc>
        <w:tc>
          <w:tcPr>
            <w:tcW w:w="3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4"/>
        </w:trPr>
        <w:tc>
          <w:tcPr>
            <w:tcW w:w="5500" w:type="dxa"/>
            <w:vAlign w:val="bottom"/>
            <w:gridSpan w:val="2"/>
          </w:tcPr>
          <w:p>
            <w:pPr>
              <w:spacing w:after="0"/>
              <w:rPr>
                <w:sz w:val="20"/>
                <w:szCs w:val="20"/>
                <w:color w:val="auto"/>
              </w:rPr>
            </w:pPr>
            <w:r>
              <w:rPr>
                <w:rFonts w:ascii="Arial" w:cs="Arial" w:eastAsia="Arial" w:hAnsi="Arial"/>
                <w:sz w:val="20"/>
                <w:szCs w:val="20"/>
                <w:color w:val="auto"/>
              </w:rPr>
              <w:t>Anders Ullman, M.D., Ph.D.</w:t>
            </w:r>
          </w:p>
        </w:tc>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500" w:type="dxa"/>
            <w:vAlign w:val="bottom"/>
            <w:gridSpan w:val="2"/>
          </w:tcPr>
          <w:p>
            <w:pPr>
              <w:spacing w:after="0"/>
              <w:rPr>
                <w:sz w:val="20"/>
                <w:szCs w:val="20"/>
                <w:color w:val="auto"/>
              </w:rPr>
            </w:pPr>
            <w:r>
              <w:rPr>
                <w:rFonts w:ascii="Arial" w:cs="Arial" w:eastAsia="Arial" w:hAnsi="Arial"/>
                <w:sz w:val="20"/>
                <w:szCs w:val="20"/>
                <w:color w:val="auto"/>
              </w:rPr>
              <w:t>Formerly Head of R&amp;D and Chief Medical Officer of Sobi AB</w:t>
            </w:r>
          </w:p>
        </w:tc>
        <w:tc>
          <w:tcPr>
            <w:tcW w:w="3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880" w:h="15480" w:orient="portrait"/>
      <w:cols w:equalWidth="0" w:num="1">
        <w:col w:w="9000"/>
      </w:cols>
      <w:pgMar w:left="1440" w:top="1440" w:right="1440" w:bottom="96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1)"/>
      <w:numFmt w:val="lowerLetter"/>
      <w:start w:val="2"/>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1)"/>
      <w:numFmt w:val="decimal"/>
      <w:start w:val="1"/>
    </w:lvl>
  </w:abstractNum>
  <w:abstractNum w:abstractNumId="62">
    <w:nsid w:val="579BE4F1"/>
    <w:multiLevelType w:val="hybridMultilevel"/>
    <w:lvl w:ilvl="0">
      <w:lvlJc w:val="left"/>
      <w:lvlText w:val="%1."/>
      <w:numFmt w:val="decimal"/>
      <w:start w:val="110"/>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2024-03-20T09:14:53Z</dcterms:created>
  <dcterms:modified xsi:type="dcterms:W3CDTF">2024-03-20T09:14:53Z</dcterms:modified>
</cp:coreProperties>
</file>