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July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Verona Pharma plc</w:t>
      </w:r>
    </w:p>
    <w:p>
      <w:pPr>
        <w:spacing w:after="0" w:line="34"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ind w:left="302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American Depositary Shares and Non-Voting Ordinary Shares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July 17, 2020, Verona Pharma plc (the “Company”) entered into a Securities Purchase Agreement (the “Purchase Agreement”) with the purchasers named therein (the “Investors”). Pursuant to the Purchase Agreement, the Company agreed to sell an aggregate of 38,440,009 of its American Depositary Shares (the “ADSs”), each representing eight Ordinary Shares of the Company, nominal value £0.05 per share (the “Ordinary Shares”) and 48,088,896 Non-Voting Ordinary Shares of the Company, nominal value £0.05 per share (the “Non-Voting Ordinary Shares”), to the Investors, at a purchase price equal to $4.50 per ADS and $0.5625 per Non-Voting Ordinary Share (the “Private Placement”). The Company also agreed to sell 222,216 Ordinary Shares to a director at a purchase price per share of £0.45 (the “Subscription”). The Purchase Agreement contained customary representations and warranties from the Company and the Investors and customary closing conditions. The closing of the Private Placement and the Subscription occurred on July 22, 2020 (the “Closing Date”). The aggregate gross proceeds to the Company from the Private Placement and the Subscription is approximately $200 million. With the proceeds from the Private Placement and the Subscription, the Company plans to initiate its Phase 3 ENHANCE clinical trials later in 2020 and expects to support its programs into 2023.</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July 17, 2020, in connection with the Purchase Agreement, the Company entered into a Registration Rights Agreement (the “Registration Rights Agreement”) with the Investors. Pursuant to the Registration Rights Agreement, the Company agreed to prepare and file a registration statement with the Securities and Exchange Commission (the “SEC”) no later than 30 days following the Closing Date for purposes of registering the Ordinary Shares underlying the ADSs and the Ordinary Shares into which the Non-Voting Ordinary Shares may be re-designated (together, the “Shares”). The ADSs are registered on a Registration Statement on Form F-6 (File No. 333-217353). The Company agreed to use its commercially reasonable efforts to cause the registration statement to be declared effective by the SEC.</w:t>
      </w:r>
    </w:p>
    <w:p>
      <w:pPr>
        <w:spacing w:after="0" w:line="19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 has also agreed, among other things, to indemnify the Investors, their officers, directors, partners, members, employees, investment advisers and agents, and each person who controls such Investors from certain liabilities and to pay all fees and expenses (excluding legal fees of the Investors, except legal fees pursuant to the Investors’ indemnification rights, and any discounts, commissions, or fees of underwriters, selling brokers, dealer managers or similar securities industry professionals) incurred by the Company in connection with the registration of the Shares.</w:t>
      </w:r>
    </w:p>
    <w:p>
      <w:pPr>
        <w:spacing w:after="0" w:line="15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Private Placement is exempt from registration pursuant to Section 4(a)(2) of the Securities Act of 1933, as amended, and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ADSs.</w:t>
      </w:r>
    </w:p>
    <w:p>
      <w:pPr>
        <w:spacing w:after="0" w:line="16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foregoing summaries do not purport to be complete and are qualified in their entirety by reference to the Purchase Agreement and Registration Rights Agreement, which are filed as Exhibits 1 and 2, respectively, to this Report on Form 6-K, and are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July 22, 2020, the Company issued a press release regarding the closing of the Private Placement and the Subscription and announcing updates to the interests of certain persons discharging managerial responsibilities (“PDMRs”) in the Company following the closing of the Private Placement and the Subscription. A copy of the press release is furnished herewith as Exhibit 3 to this Report on Form 6-K.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has determined that it no longer qualifies as a “foreign private issuer” under the rules and regulations of the SEC. As a result, beginning January 1, 2021, the Company will be subject to the rules and regulations of the SEC applicable to U.S. domestic issuers, including, among other things, the requirement to file an annual report on Form 10-K, quarterly reports on Form 10-Q and current reports on Form 8-K, as required, rules governing solicitation of proxies, the provisions of Regulation Fair Disclosure, which regulate the selective disclosure of material information, and the requirement for insiders to file public reports of their ownership of the Company and trading activities. In addition, beginning January 1, 2021, the Company will be subject to the Nasdaq Global Market listing requirements applicable to domestic U.S. issuers, including, among other things, requirements with respect to the composition of its board of directors and committees, certain corporate governance matters and shareholder approval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right="160" w:firstLine="648"/>
        <w:spacing w:after="0" w:line="263" w:lineRule="auto"/>
        <w:rPr>
          <w:sz w:val="20"/>
          <w:szCs w:val="20"/>
          <w:color w:val="auto"/>
        </w:rPr>
      </w:pPr>
      <w:r>
        <w:rPr>
          <w:rFonts w:ascii="Arial" w:cs="Arial" w:eastAsia="Arial" w:hAnsi="Arial"/>
          <w:sz w:val="18"/>
          <w:szCs w:val="18"/>
          <w:color w:val="auto"/>
        </w:rPr>
        <w:t>The information under the headings “Private Placement of American Depositary Shares and Non-Voting Ordinary Shares” and “Other Information” above and Exhibits 1 and 2 to this Report on Form 6-K are hereby incorporated by reference into the Company’s Registration Statements on Form F-3 (File No. 333-225107) and Form S-8 (File Nos. 333-217521 and 333-237926).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120" w:type="dxa"/>
            <w:vAlign w:val="bottom"/>
          </w:tcPr>
          <w:p>
            <w:pPr>
              <w:ind w:left="18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6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660" w:type="dxa"/>
            <w:vAlign w:val="bottom"/>
            <w:tcBorders>
              <w:top w:val="single" w:sz="8" w:color="auto"/>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Securities Purchase Agreement, dated as of July 17, 2020, by and among Verona Pharma plc and the investors identified on Exhibit A</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thereto.</w:t>
              </w:r>
            </w:hyperlink>
          </w:p>
        </w:tc>
        <w:tc>
          <w:tcPr>
            <w:tcW w:w="9100" w:type="dxa"/>
            <w:vAlign w:val="bottom"/>
            <w:gridSpan w:val="2"/>
          </w:tcPr>
          <w:p>
            <w:pPr>
              <w:spacing w:after="0"/>
              <w:rPr>
                <w:sz w:val="17"/>
                <w:szCs w:val="17"/>
                <w:color w:val="auto"/>
              </w:rPr>
            </w:pPr>
          </w:p>
        </w:tc>
      </w:tr>
      <w:tr>
        <w:trPr>
          <w:trHeight w:val="196"/>
        </w:trPr>
        <w:tc>
          <w:tcPr>
            <w:tcW w:w="1360" w:type="dxa"/>
            <w:vAlign w:val="bottom"/>
          </w:tcPr>
          <w:p>
            <w:pPr>
              <w:spacing w:after="0" w:line="196"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2</w:t>
              </w:r>
            </w:hyperlink>
          </w:p>
        </w:tc>
        <w:tc>
          <w:tcPr>
            <w:tcW w:w="220" w:type="dxa"/>
            <w:vAlign w:val="bottom"/>
          </w:tcPr>
          <w:p>
            <w:pPr>
              <w:spacing w:after="0"/>
              <w:rPr>
                <w:sz w:val="17"/>
                <w:szCs w:val="17"/>
                <w:color w:val="auto"/>
              </w:rPr>
            </w:pPr>
          </w:p>
        </w:tc>
        <w:tc>
          <w:tcPr>
            <w:tcW w:w="96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Registration Rights Agreement, dated as of July 17, 2020, by and among Verona Pharma plc and the investors named in the Securities</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Purchase Agreement.</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37"/>
        </w:trPr>
        <w:tc>
          <w:tcPr>
            <w:tcW w:w="1360" w:type="dxa"/>
            <w:vAlign w:val="bottom"/>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3</w:t>
              </w:r>
            </w:hyperlink>
          </w:p>
        </w:tc>
        <w:tc>
          <w:tcPr>
            <w:tcW w:w="220" w:type="dxa"/>
            <w:vAlign w:val="bottom"/>
          </w:tcPr>
          <w:p>
            <w:pPr>
              <w:spacing w:after="0"/>
              <w:rPr>
                <w:sz w:val="20"/>
                <w:szCs w:val="20"/>
                <w:color w:val="auto"/>
              </w:rPr>
            </w:pPr>
          </w:p>
        </w:tc>
        <w:tc>
          <w:tcPr>
            <w:tcW w:w="9660" w:type="dxa"/>
            <w:vAlign w:val="bottom"/>
            <w:gridSpan w:val="3"/>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Press release of Verona Pharma plc dated July 22, 2020.</w:t>
              </w:r>
            </w:hyperlink>
          </w:p>
        </w:tc>
      </w:tr>
      <w:tr>
        <w:trPr>
          <w:trHeight w:val="675"/>
        </w:trPr>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22, 2020</w:t>
            </w:r>
          </w:p>
        </w:tc>
        <w:tc>
          <w:tcPr>
            <w:tcW w:w="7720" w:type="dxa"/>
            <w:vAlign w:val="bottom"/>
            <w:gridSpan w:val="2"/>
          </w:tcPr>
          <w:p>
            <w:pPr>
              <w:ind w:left="2460"/>
              <w:spacing w:after="0"/>
              <w:rPr>
                <w:sz w:val="20"/>
                <w:szCs w:val="20"/>
                <w:color w:val="auto"/>
              </w:rPr>
            </w:pPr>
            <w:r>
              <w:rPr>
                <w:rFonts w:ascii="Arial" w:cs="Arial" w:eastAsia="Arial" w:hAnsi="Arial"/>
                <w:sz w:val="18"/>
                <w:szCs w:val="18"/>
                <w:color w:val="auto"/>
              </w:rPr>
              <w:t>By: /s/ Claire Poll</w:t>
            </w:r>
          </w:p>
        </w:tc>
      </w:tr>
      <w:tr>
        <w:trPr>
          <w:trHeight w:val="20"/>
        </w:trPr>
        <w:tc>
          <w:tcPr>
            <w:tcW w:w="3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r>
      <w:tr>
        <w:trPr>
          <w:trHeight w:val="182"/>
        </w:trPr>
        <w:tc>
          <w:tcPr>
            <w:tcW w:w="3520" w:type="dxa"/>
            <w:vAlign w:val="bottom"/>
          </w:tcPr>
          <w:p>
            <w:pPr>
              <w:spacing w:after="0"/>
              <w:rPr>
                <w:sz w:val="15"/>
                <w:szCs w:val="15"/>
                <w:color w:val="auto"/>
              </w:rPr>
            </w:pPr>
          </w:p>
        </w:tc>
        <w:tc>
          <w:tcPr>
            <w:tcW w:w="7720" w:type="dxa"/>
            <w:vAlign w:val="bottom"/>
            <w:gridSpan w:val="2"/>
          </w:tcPr>
          <w:p>
            <w:pPr>
              <w:ind w:left="2460"/>
              <w:spacing w:after="0" w:line="182" w:lineRule="exact"/>
              <w:rPr>
                <w:sz w:val="20"/>
                <w:szCs w:val="20"/>
                <w:color w:val="auto"/>
              </w:rPr>
            </w:pPr>
            <w:r>
              <w:rPr>
                <w:rFonts w:ascii="Arial" w:cs="Arial" w:eastAsia="Arial" w:hAnsi="Arial"/>
                <w:sz w:val="18"/>
                <w:szCs w:val="18"/>
                <w:color w:val="auto"/>
              </w:rPr>
              <w:t>Name: Claire Poll</w:t>
            </w:r>
          </w:p>
        </w:tc>
      </w:tr>
      <w:tr>
        <w:trPr>
          <w:trHeight w:val="230"/>
        </w:trPr>
        <w:tc>
          <w:tcPr>
            <w:tcW w:w="3520" w:type="dxa"/>
            <w:vAlign w:val="bottom"/>
          </w:tcPr>
          <w:p>
            <w:pPr>
              <w:spacing w:after="0"/>
              <w:rPr>
                <w:sz w:val="20"/>
                <w:szCs w:val="20"/>
                <w:color w:val="auto"/>
              </w:rPr>
            </w:pPr>
          </w:p>
        </w:tc>
        <w:tc>
          <w:tcPr>
            <w:tcW w:w="7720" w:type="dxa"/>
            <w:vAlign w:val="bottom"/>
            <w:gridSpan w:val="2"/>
          </w:tcPr>
          <w:p>
            <w:pPr>
              <w:ind w:left="2460"/>
              <w:spacing w:after="0"/>
              <w:rPr>
                <w:sz w:val="20"/>
                <w:szCs w:val="20"/>
                <w:color w:val="auto"/>
              </w:rPr>
            </w:pPr>
            <w:r>
              <w:rPr>
                <w:rFonts w:ascii="Arial" w:cs="Arial" w:eastAsia="Arial" w:hAnsi="Arial"/>
                <w:sz w:val="18"/>
                <w:szCs w:val="18"/>
                <w:color w:val="auto"/>
              </w:rPr>
              <w:t>Title: Legal Counsel</w:t>
            </w:r>
          </w:p>
        </w:tc>
      </w:tr>
      <w:tr>
        <w:trPr>
          <w:trHeight w:val="675"/>
        </w:trPr>
        <w:tc>
          <w:tcPr>
            <w:tcW w:w="35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ind w:left="10400"/>
        <w:spacing w:after="0"/>
        <w:rPr>
          <w:sz w:val="20"/>
          <w:szCs w:val="20"/>
          <w:color w:val="auto"/>
        </w:rPr>
      </w:pPr>
      <w:r>
        <w:rPr>
          <w:rFonts w:ascii="Arial" w:cs="Arial" w:eastAsia="Arial" w:hAnsi="Arial"/>
          <w:sz w:val="19"/>
          <w:szCs w:val="19"/>
          <w:b w:val="1"/>
          <w:bCs w:val="1"/>
          <w:color w:val="auto"/>
        </w:rPr>
        <w:t>Exhibit 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16, 2020 by and among Verona Pharma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an “</w:t>
      </w:r>
      <w:r>
        <w:rPr>
          <w:rFonts w:ascii="Arial" w:cs="Arial" w:eastAsia="Arial" w:hAnsi="Arial"/>
          <w:sz w:val="18"/>
          <w:szCs w:val="18"/>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63" w:lineRule="auto"/>
        <w:tabs>
          <w:tab w:leader="none" w:pos="135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and the Investors are executing and delivering this Agreement in reliance upon the exemption from securities registration afforded by the provisions of Section 4(a)(2) of the 1933 Act (as defined below) and Rule 506 of Regulation D (“</w:t>
      </w:r>
      <w:r>
        <w:rPr>
          <w:rFonts w:ascii="Arial" w:cs="Arial" w:eastAsia="Arial" w:hAnsi="Arial"/>
          <w:sz w:val="18"/>
          <w:szCs w:val="18"/>
          <w:u w:val="single" w:color="auto"/>
          <w:color w:val="auto"/>
        </w:rPr>
        <w:t>Regulation D</w:t>
      </w:r>
      <w:r>
        <w:rPr>
          <w:rFonts w:ascii="Arial" w:cs="Arial" w:eastAsia="Arial" w:hAnsi="Arial"/>
          <w:sz w:val="18"/>
          <w:szCs w:val="18"/>
          <w:color w:val="auto"/>
        </w:rPr>
        <w:t>”) as promulgated by the SEC (as defined below) under the 1933 Act;</w:t>
      </w:r>
    </w:p>
    <w:p>
      <w:pPr>
        <w:spacing w:after="0" w:line="183" w:lineRule="exact"/>
        <w:rPr>
          <w:rFonts w:ascii="Arial" w:cs="Arial" w:eastAsia="Arial" w:hAnsi="Arial"/>
          <w:sz w:val="18"/>
          <w:szCs w:val="18"/>
          <w:color w:val="auto"/>
        </w:rPr>
      </w:pPr>
    </w:p>
    <w:p>
      <w:pPr>
        <w:jc w:val="both"/>
        <w:ind w:firstLine="656"/>
        <w:spacing w:after="0" w:line="275" w:lineRule="auto"/>
        <w:tabs>
          <w:tab w:leader="none" w:pos="154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Investors wish to purchase from the Company, and the Company wishes to sell and issue to the Investors, upon the terms and subject to the conditions stated in this Agreement, an aggregate of (i) 38,440,009 (the “</w:t>
      </w:r>
      <w:r>
        <w:rPr>
          <w:rFonts w:ascii="Arial" w:cs="Arial" w:eastAsia="Arial" w:hAnsi="Arial"/>
          <w:sz w:val="17"/>
          <w:szCs w:val="17"/>
          <w:u w:val="single" w:color="auto"/>
          <w:color w:val="auto"/>
        </w:rPr>
        <w:t>Private Placement ADSs</w:t>
      </w:r>
      <w:r>
        <w:rPr>
          <w:rFonts w:ascii="Arial" w:cs="Arial" w:eastAsia="Arial" w:hAnsi="Arial"/>
          <w:sz w:val="17"/>
          <w:szCs w:val="17"/>
          <w:color w:val="auto"/>
        </w:rPr>
        <w:t>”) American Depositary Shares of the Company (“</w:t>
      </w:r>
      <w:r>
        <w:rPr>
          <w:rFonts w:ascii="Arial" w:cs="Arial" w:eastAsia="Arial" w:hAnsi="Arial"/>
          <w:sz w:val="17"/>
          <w:szCs w:val="17"/>
          <w:u w:val="single" w:color="auto"/>
          <w:color w:val="auto"/>
        </w:rPr>
        <w:t>ADSs</w:t>
      </w:r>
      <w:r>
        <w:rPr>
          <w:rFonts w:ascii="Arial" w:cs="Arial" w:eastAsia="Arial" w:hAnsi="Arial"/>
          <w:sz w:val="17"/>
          <w:szCs w:val="17"/>
          <w:color w:val="auto"/>
        </w:rPr>
        <w:t>”), each representing eight ordinary shares, nominal value £0.05 per share, of the Company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xml:space="preserve">”) and (ii) 48,088,896 non-voting ordinary shares, nominal value £0.05 per share, of the Company, to be issued upon the Terms of Issue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Non-Voting Ordinary Shares</w:t>
      </w:r>
      <w:r>
        <w:rPr>
          <w:rFonts w:ascii="Arial" w:cs="Arial" w:eastAsia="Arial" w:hAnsi="Arial"/>
          <w:sz w:val="17"/>
          <w:szCs w:val="17"/>
          <w:color w:val="auto"/>
        </w:rPr>
        <w:t>” and together with the Private Placement ADSs,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firstLine="656"/>
        <w:spacing w:after="0" w:line="272" w:lineRule="auto"/>
        <w:tabs>
          <w:tab w:leader="none" w:pos="1708"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Private Placement ADSs will be issued pursuant to that certain deposit agreement, dated as of May 2, 2017 (the “</w:t>
      </w:r>
      <w:r>
        <w:rPr>
          <w:rFonts w:ascii="Arial" w:cs="Arial" w:eastAsia="Arial" w:hAnsi="Arial"/>
          <w:sz w:val="17"/>
          <w:szCs w:val="17"/>
          <w:u w:val="single" w:color="auto"/>
          <w:color w:val="auto"/>
        </w:rPr>
        <w:t>Deposit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the Company, Citibank, N.A., as depositary (the “</w:t>
      </w:r>
      <w:r>
        <w:rPr>
          <w:rFonts w:ascii="Arial" w:cs="Arial" w:eastAsia="Arial" w:hAnsi="Arial"/>
          <w:sz w:val="17"/>
          <w:szCs w:val="17"/>
          <w:u w:val="single" w:color="auto"/>
          <w:color w:val="auto"/>
        </w:rPr>
        <w:t>Depositary</w:t>
      </w:r>
      <w:r>
        <w:rPr>
          <w:rFonts w:ascii="Arial" w:cs="Arial" w:eastAsia="Arial" w:hAnsi="Arial"/>
          <w:sz w:val="17"/>
          <w:szCs w:val="17"/>
          <w:color w:val="auto"/>
        </w:rPr>
        <w:t>”), and all Holders and Beneficial Owners of ADSs issued thereunder and a letter agreement to be entered into between the Company and the Depositary with respect to the Private Placement ADSs (the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The Company shall, (i) following subscription by the Investors of the Private Placement ADSs deposit, on behalf of the Investors, the Ordinary Shares underlying the Private Placement ADSs (the “</w:t>
      </w:r>
      <w:r>
        <w:rPr>
          <w:rFonts w:ascii="Arial" w:cs="Arial" w:eastAsia="Arial" w:hAnsi="Arial"/>
          <w:sz w:val="17"/>
          <w:szCs w:val="17"/>
          <w:u w:val="single" w:color="auto"/>
          <w:color w:val="auto"/>
        </w:rPr>
        <w:t>Private Placement Shares</w:t>
      </w:r>
      <w:r>
        <w:rPr>
          <w:rFonts w:ascii="Arial" w:cs="Arial" w:eastAsia="Arial" w:hAnsi="Arial"/>
          <w:sz w:val="17"/>
          <w:szCs w:val="17"/>
          <w:color w:val="auto"/>
        </w:rPr>
        <w:t>”) with Citibank N.A., London Branch, as custodian for the Depositary (the “</w:t>
      </w:r>
      <w:r>
        <w:rPr>
          <w:rFonts w:ascii="Arial" w:cs="Arial" w:eastAsia="Arial" w:hAnsi="Arial"/>
          <w:sz w:val="17"/>
          <w:szCs w:val="17"/>
          <w:u w:val="single" w:color="auto"/>
          <w:color w:val="auto"/>
        </w:rPr>
        <w:t>Custodian</w:t>
      </w:r>
      <w:r>
        <w:rPr>
          <w:rFonts w:ascii="Arial" w:cs="Arial" w:eastAsia="Arial" w:hAnsi="Arial"/>
          <w:sz w:val="17"/>
          <w:szCs w:val="17"/>
          <w:color w:val="auto"/>
        </w:rPr>
        <w:t>”), which shall issue and deliver the Private Placement ADSs to the Investors, and (ii) following subscription by the Investors of the Non-Voting Ordinary Shares, issue and deliver the Non-Voting Ordinary Shares to the Investors.</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691"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Contemporaneously with the sale of the Securities, the parties hereto will execute and deliver a Registration Rights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the Company will agree to provide certain registration rights in respect of (i) the Private Placement Shares and (ii) following the redesignation of Non-Voting Shares in accordance with the Terms of Issue, such Ordinary Shares (the “</w:t>
      </w:r>
      <w:r>
        <w:rPr>
          <w:rFonts w:ascii="Arial" w:cs="Arial" w:eastAsia="Arial" w:hAnsi="Arial"/>
          <w:sz w:val="17"/>
          <w:szCs w:val="17"/>
          <w:u w:val="single" w:color="auto"/>
          <w:color w:val="auto"/>
        </w:rPr>
        <w:t>Redesignated Shares</w:t>
      </w:r>
      <w:r>
        <w:rPr>
          <w:rFonts w:ascii="Arial" w:cs="Arial" w:eastAsia="Arial" w:hAnsi="Arial"/>
          <w:sz w:val="17"/>
          <w:szCs w:val="17"/>
          <w:color w:val="auto"/>
        </w:rPr>
        <w:t>”) under the 1933 Act and applicable state securities laws.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left="1400" w:hanging="744"/>
        <w:spacing w:after="0"/>
        <w:tabs>
          <w:tab w:leader="none" w:pos="14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purposes of this Agreement, in addition to the terms defined above, the following terms shall have the meanings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1933 Act</w:t>
      </w:r>
      <w:r>
        <w:rPr>
          <w:rFonts w:ascii="Arial" w:cs="Arial" w:eastAsia="Arial" w:hAnsi="Arial"/>
          <w:sz w:val="17"/>
          <w:szCs w:val="17"/>
          <w:color w:val="auto"/>
        </w:rPr>
        <w:t>” means the Securities Act of 1933, as amended, or any successor statute,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 or any successor statute, and the rules and regulations promulgated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through one or more intermediaries Controls, is controlled by, or is under common Control with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AIM</w:t>
      </w:r>
      <w:r>
        <w:rPr>
          <w:rFonts w:ascii="Arial" w:cs="Arial" w:eastAsia="Arial" w:hAnsi="Arial"/>
          <w:sz w:val="18"/>
          <w:szCs w:val="18"/>
          <w:color w:val="auto"/>
        </w:rPr>
        <w:t>” means AIM, a market operated by London Stock Exchange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AIM Rules for Companies</w:t>
      </w:r>
      <w:r>
        <w:rPr>
          <w:rFonts w:ascii="Arial" w:cs="Arial" w:eastAsia="Arial" w:hAnsi="Arial"/>
          <w:sz w:val="17"/>
          <w:szCs w:val="17"/>
          <w:color w:val="auto"/>
        </w:rPr>
        <w:t>” means the AIM Rules for Companies published by London Stock Exchange plc, as in force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banks in New York City and London are open for the general transaction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Covered Person</w:t>
      </w:r>
      <w:r>
        <w:rPr>
          <w:rFonts w:ascii="Arial" w:cs="Arial" w:eastAsia="Arial" w:hAnsi="Arial"/>
          <w:sz w:val="18"/>
          <w:szCs w:val="18"/>
          <w:color w:val="auto"/>
        </w:rPr>
        <w:t>” means, with respect to the Company as an “issuer” for purposes of Rule 506 promulgated under the 1933 Act, any Person listed in the first paragraph of Rule 506(d)(1).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Company’s Knowledge</w:t>
      </w:r>
      <w:r>
        <w:rPr>
          <w:rFonts w:ascii="Arial" w:cs="Arial" w:eastAsia="Arial" w:hAnsi="Arial"/>
          <w:sz w:val="17"/>
          <w:szCs w:val="17"/>
          <w:color w:val="auto"/>
        </w:rPr>
        <w:t>” means the actual knowledge of the executive officers (as defined in Rule 405 under the 1933 Act) of the Company.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Disqualification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DTRs</w:t>
      </w:r>
      <w:r>
        <w:rPr>
          <w:rFonts w:ascii="Arial" w:cs="Arial" w:eastAsia="Arial" w:hAnsi="Arial"/>
          <w:sz w:val="18"/>
          <w:szCs w:val="18"/>
          <w:color w:val="auto"/>
        </w:rPr>
        <w:t>” means the Disclosure Guidance and Transparency Rules of the FCA.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 System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each plan, fund, policy, program, arrangement or agreement, including any fringe benefit plan or program, health, medical, dental and life insurance benefits, disability benefits, bonus or incentive plan, option, restricted share, equity or share based award, bonus, vacation pay, bonus program, service award, relocation or moving expense, deferred bonus plan, severance plan, salary continuation plan, salary reduction agreement, retirement or pension plan, deferred compensation plan, change-of-control agreement, employment agreement or consulting agreement, which in each case, is sponsored, maintained or contributed to (or is required to be sponsored, maintained or contributed to) by the Company for the benefit of any current or former directors, officers, employees, consultants, independent contractors or other individual service providers of a the Company.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10.14(i)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Issuance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means the UK Financial Conduct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FSMA</w:t>
      </w:r>
      <w:r>
        <w:rPr>
          <w:rFonts w:ascii="Arial" w:cs="Arial" w:eastAsia="Arial" w:hAnsi="Arial"/>
          <w:sz w:val="18"/>
          <w:szCs w:val="18"/>
          <w:color w:val="auto"/>
        </w:rPr>
        <w:t>” means the UK Financial Services and Markets Act 2000.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xml:space="preserve">” means the Investor Questionnaire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w:t>
      </w:r>
      <w:r>
        <w:rPr>
          <w:rFonts w:ascii="Arial" w:cs="Arial" w:eastAsia="Arial" w:hAnsi="Arial"/>
          <w:sz w:val="18"/>
          <w:szCs w:val="18"/>
          <w:color w:val="auto"/>
        </w:rPr>
        <w:t>” means the Market Abuse Regulation (EU) No. 596/2014.</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except that for purposes of </w:t>
      </w:r>
      <w:r>
        <w:rPr>
          <w:rFonts w:ascii="Arial" w:cs="Arial" w:eastAsia="Arial" w:hAnsi="Arial"/>
          <w:sz w:val="17"/>
          <w:szCs w:val="17"/>
          <w:u w:val="single" w:color="auto"/>
          <w:color w:val="auto"/>
        </w:rPr>
        <w:t>Section 6.1(i)</w:t>
      </w:r>
      <w:r>
        <w:rPr>
          <w:rFonts w:ascii="Arial" w:cs="Arial" w:eastAsia="Arial" w:hAnsi="Arial"/>
          <w:sz w:val="17"/>
          <w:szCs w:val="17"/>
          <w:color w:val="auto"/>
        </w:rPr>
        <w:t xml:space="preserve"> of this Agreement, in no event shall a change in the market price of the Ordinary Shares or ADSs alone constitute a “Material Adverse Effect” (provided that the underlying causes of such a change may be taken into account in determining whether a Material Adverse Effect has occurred).</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 Equivalents</w:t>
      </w:r>
      <w:r>
        <w:rPr>
          <w:rFonts w:ascii="Arial" w:cs="Arial" w:eastAsia="Arial" w:hAnsi="Arial"/>
          <w:sz w:val="18"/>
          <w:szCs w:val="18"/>
          <w:color w:val="auto"/>
        </w:rPr>
        <w:t>” means any securities of the Company which would entitle the holder thereof to acquire at any time Ordinary Shares, including those represented by ADSs, or, without limitation, any debt, preferred shares, rights, options, warrants or other instrument that are at any time convertible into or exchangeable for, or otherwise entitles the holder thereof to receive, Ordinary Shares.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means a “passive foreign investment company” as defined in Section 1297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Jefferies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Trading Market</w:t>
      </w:r>
      <w:r>
        <w:rPr>
          <w:rFonts w:ascii="Arial" w:cs="Arial" w:eastAsia="Arial" w:hAnsi="Arial"/>
          <w:sz w:val="18"/>
          <w:szCs w:val="18"/>
          <w:color w:val="auto"/>
        </w:rPr>
        <w:t>” means the Trading Market on which the ADSs are primarily listed on and quoted for trading, which, as of the date of this Agreement and the Closing Date, is Nasdaq.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Regulation</w:t>
      </w:r>
      <w:r>
        <w:rPr>
          <w:rFonts w:ascii="Arial" w:cs="Arial" w:eastAsia="Arial" w:hAnsi="Arial"/>
          <w:sz w:val="18"/>
          <w:szCs w:val="18"/>
          <w:color w:val="auto"/>
        </w:rPr>
        <w:t>” means Regulation (EU) 2017/1129.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Regulation Rules</w:t>
      </w:r>
      <w:r>
        <w:rPr>
          <w:rFonts w:ascii="Arial" w:cs="Arial" w:eastAsia="Arial" w:hAnsi="Arial"/>
          <w:sz w:val="18"/>
          <w:szCs w:val="18"/>
          <w:color w:val="auto"/>
        </w:rPr>
        <w:t>” means the Prospectus Regulation Rules of the FCA.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Redesignated ADSs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1934 Act (but shall not be deemed to include the location and/or reservation of borrowable Ordinary Shares or ADSs).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Tekla Funds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(i) a day on which the ADSs are listed or quoted and traded on the Principal Trading Market (other than the OTC Bulletin Board), or (ii) if the ADSs are not listed on a Trading Market (other than the OTC Bulletin Board), a day on which the ADSs are traded in the over-the-counter market, as reported by the OTC Bulletin Board, or (iii) if the ADSs are not quoted on any Trading Market, a day on which the ADSs are quoted in the over-the-counter market as reported in the “pink sheets” by OTC Markets Group Inc. (or any similar organization or agency succeeding to its functions of reporting prices); provided, that in the event that the ADSs are not listed or quoted as set forth in (i), (ii) or (iii) hereof, then Trading Day shall mean a Business Day.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Market</w:t>
      </w:r>
      <w:r>
        <w:rPr>
          <w:rFonts w:ascii="Arial" w:cs="Arial" w:eastAsia="Arial" w:hAnsi="Arial"/>
          <w:sz w:val="17"/>
          <w:szCs w:val="17"/>
          <w:color w:val="auto"/>
        </w:rPr>
        <w:t>” means whichever of the New York Stock Exchange, the NYSE American, the Nasdaq Global Select Market, the Nasdaq Global Market, the Nasdaq Capital Market or the OTC Bulletin Board on which the ADSs are listed or quoted for trading on the date in question.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Published Information</w:t>
      </w:r>
      <w:r>
        <w:rPr>
          <w:rFonts w:ascii="Arial" w:cs="Arial" w:eastAsia="Arial" w:hAnsi="Arial"/>
          <w:sz w:val="16"/>
          <w:szCs w:val="16"/>
          <w:color w:val="auto"/>
        </w:rPr>
        <w:t>” means all announcements released by the Company via a regulatory information service and all documents uploaded to the website of the Company maintained for the purposes of Rule 26 of the AIM Rules for Companies for the one year period preceding the date hereof.</w:t>
      </w:r>
    </w:p>
    <w:p>
      <w:pPr>
        <w:spacing w:after="0" w:line="124" w:lineRule="exact"/>
        <w:rPr>
          <w:sz w:val="20"/>
          <w:szCs w:val="20"/>
          <w:color w:val="auto"/>
        </w:rPr>
      </w:pPr>
    </w:p>
    <w:p>
      <w:pPr>
        <w:jc w:val="both"/>
        <w:ind w:firstLine="656"/>
        <w:spacing w:after="0" w:line="255" w:lineRule="auto"/>
        <w:tabs>
          <w:tab w:leader="none" w:pos="139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Private Placement ADSs and Non-Voting Ordinary Shares</w:t>
      </w:r>
      <w:r>
        <w:rPr>
          <w:rFonts w:ascii="Arial" w:cs="Arial" w:eastAsia="Arial" w:hAnsi="Arial"/>
          <w:sz w:val="18"/>
          <w:szCs w:val="18"/>
          <w:color w:val="auto"/>
        </w:rPr>
        <w:t xml:space="preserve">. On the Closing Date, upon the terms and subject to the conditions set forth herein, the Company will issue and sell, and the Investors will severally and not jointly (i) purchase the number of Private Placement ADSs set forth opposite the name of such Investor under the heading “Number of Private Placement ADSs to be Purchased”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at a price per ADS equal to $4.50 and (ii) subscribe for the number of Non-Voting Ordinary Shares set forth opposite the name of such Investor under the heading “Number of Non-Voting Ordinary Shares to be Purchased”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at a price per Non-Voting Ordinary Share equal to $0.5625.</w:t>
      </w:r>
    </w:p>
    <w:p>
      <w:pPr>
        <w:spacing w:after="0" w:line="192" w:lineRule="exact"/>
        <w:rPr>
          <w:rFonts w:ascii="Arial" w:cs="Arial" w:eastAsia="Arial" w:hAnsi="Arial"/>
          <w:sz w:val="18"/>
          <w:szCs w:val="18"/>
          <w:color w:val="auto"/>
        </w:rPr>
      </w:pPr>
    </w:p>
    <w:p>
      <w:pPr>
        <w:ind w:left="1380" w:hanging="72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 xml:space="preserve">3.1. Upon the satisfaction of the conditions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the completion of the purchase and sale of the Securities (the “</w:t>
      </w:r>
      <w:r>
        <w:rPr>
          <w:rFonts w:ascii="Arial" w:cs="Arial" w:eastAsia="Arial" w:hAnsi="Arial"/>
          <w:sz w:val="18"/>
          <w:szCs w:val="18"/>
          <w:u w:val="single" w:color="auto"/>
          <w:color w:val="auto"/>
        </w:rPr>
        <w:t>Closing</w:t>
      </w:r>
      <w:r>
        <w:rPr>
          <w:rFonts w:ascii="Arial" w:cs="Arial" w:eastAsia="Arial" w:hAnsi="Arial"/>
          <w:sz w:val="18"/>
          <w:szCs w:val="18"/>
          <w:color w:val="auto"/>
        </w:rPr>
        <w:t>”) shall occur remotely via exchange of documents and signatures at a time (the “</w:t>
      </w:r>
      <w:r>
        <w:rPr>
          <w:rFonts w:ascii="Arial" w:cs="Arial" w:eastAsia="Arial" w:hAnsi="Arial"/>
          <w:sz w:val="18"/>
          <w:szCs w:val="18"/>
          <w:u w:val="single" w:color="auto"/>
          <w:color w:val="auto"/>
        </w:rPr>
        <w:t>Closing Date</w:t>
      </w:r>
      <w:r>
        <w:rPr>
          <w:rFonts w:ascii="Arial" w:cs="Arial" w:eastAsia="Arial" w:hAnsi="Arial"/>
          <w:sz w:val="18"/>
          <w:szCs w:val="18"/>
          <w:color w:val="auto"/>
        </w:rPr>
        <w:t>”) to be agreed to by the Company and the Investors but (i) in no event earlier than the second Business Day after the date hereof and (ii) in no event later than the fifth Business Day after the date hereof, and of which the Investors will be notified in advance by the Placement Agent.</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 xml:space="preserve">3.2. On or prior to the Closing Date, each Investor shall deliver or cause to be delivered to the Company, via wire transfer of immediately available funds pursuant to the wire instructions delivered to such Investor by the Company on or prior to the Closing Date, an amount equal to the purchase price to be paid by the Investor for the Securities to be acquired by it as set forth opposite the name of such Investor under the heading “Aggregate Purchase Price”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7"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 xml:space="preserve">3.3. At the Closing, the Company shall deliver the Private Placement Shares to the Custodian and shall deliver or cause to be delivered to each Investor (i) a number of Private Placement ADSs registered in the name of the Investor (or its nominee in accordance with its delivery instructions) equal to the number of Private Placement ADSs set forth opposite the name of such Investor under the heading “Number of Private Placement ADSs to be Purchased”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(ii) the number of Non-Voting Ordinary Shares set forth opposite the name of such Investor under the heading “Number of Non-Voting Ordinary Shares to be Purchased”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Private Placement ADSs shall be delivered via a book-entry record through the Depositary. The Non-Voting Ordinary Shares shall be delivered to the Investors in certificated form within 60 calendar days of the Closing Date. Unless the Company and an Investor otherwise mutually agree with respect to such Investor’s Securities, at Closing, settlement shall occur on a “delivery versus payment” basis.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firstLine="656"/>
        <w:spacing w:after="0" w:line="277" w:lineRule="auto"/>
        <w:tabs>
          <w:tab w:leader="none" w:pos="13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Investors that, except as described in the Company’s SEC Filings (as defined below), which qualify these representations and warranties in their entirety:</w:t>
      </w:r>
    </w:p>
    <w:p>
      <w:pPr>
        <w:spacing w:after="0" w:line="170"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has been duly incorporated and is validly existing as a public limited company under the laws of England and Wales and has the corporate power and authority to carry on its business as now conducted and to own or lease its properties and to enter into and perform its obligations under the Transaction Documents. The Company is duly qualified to do business as a foreign corporation and is in good standing in each other jurisdiction in which such qualification is required unless the failure to so qualify has not had and would not reasonably be expected to have, individually or in the aggregate, a Material Adverse Effect. The Company’s subsidiaries are set forth on Exhibit 8.1 to its most recent Annual Report on Form 20-F. The Company’s subsidiaries are duly incorporated or organized, as the case may be, and are validly existing and in good standing under the laws of their jurisdiction of incorporation and have the requisite power and authority to carry on their business as now conducted and to own or lease their properties. The Company’s subsidiaries are duly qualified to do business as foreign corporations and are in good standing in each jurisdiction in which such qualification is required unless the failure to so qualify has not had and would not reasonably be expected to have, individually or in the aggregate, a Material Adverse Effect.</w:t>
      </w:r>
    </w:p>
    <w:p>
      <w:pPr>
        <w:spacing w:after="0" w:line="168"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 The Company has the requisite corporate power and authority and has taken all requisite corporate action necessary for, and no further action on the part of the Company, its officers, directors and shareholders is necessary for, (i) the authorization, execution and delivery of the Transaction Documents, (ii) the authorization of the performance of all obligations of the Company hereunder or thereunder, (iii) the authorization, issuance (or reservation for issuance) and delivery of the Securities and (iv) the allotment and issue of the Private Placement Shares and the Non-Voting Ordinary Shares. The Transaction Documents have been duly executed and delivered by the Company and constitute the legal, valid and binding obligations of the Company, enforceable against the Company in accordance with their terms, subject to bankruptcy transfer, reorganization, moratorium and similar laws of general applicability, relating to or affecting creditors’ rights generally and to general equitable principles.</w:t>
      </w:r>
    </w:p>
    <w:p>
      <w:pPr>
        <w:spacing w:after="0" w:line="192"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Company’s disclosure of its issued and outstanding share capital in its most recent SEC Filing containing such disclosure was accurate in all material respects as of the date indicated in such SEC Filing. All of the issued and outstanding ADSs and Ordinary Shares have been duly authorized and validly allotted and issued and are fully paid and will not be subject to any call for the payment of further capital and have been issued in compliance with all applicable laws and regulations. None of the issued and outstanding Ordinary Shares or ADSs were issued in violation of any pre-emption rights, rights of first refusal or other similar rights to subscribe or purchase securities of the Company, other than pre-emption rights provided for under the United Kingdom Companies Act 2006 that have been duly complied with or validly disapplied. Except for share options approved pursuant to Company share-based compensation plans and warrants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agreements of any kind among the Company and any of the securityholders of the Company relating to the securities of the Company held by them. There are no securities or instruments containing anti-dilution or similar provisions that will or may be triggered by the issuance of the Securities. Except as provided in the Registration Rights Agreement, by and among the Company and certain investors signatory thereto, no Person has the right (i) to require the Company to register any securities of the Company under the 1933 Act, whether on a demand basis or in connection with the registration of securities of the Company for its own account or for the account of any other Person or (ii) to prohibit the Company from filing a registration statement under the 1933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Valid Issuance</w:t>
      </w:r>
      <w:r>
        <w:rPr>
          <w:rFonts w:ascii="Arial" w:cs="Arial" w:eastAsia="Arial" w:hAnsi="Arial"/>
          <w:sz w:val="16"/>
          <w:szCs w:val="16"/>
          <w:color w:val="auto"/>
        </w:rPr>
        <w:t>. The Private Placement ADSs have been duly authorized and, when issued and delivered against payment therefor pursuant to this Agreement, will be validly issued, fully paid and not subject to any call for the payment of further capital and will be free of any liens, encumbrances, preemptive rights, rights of first refusal or other similar rights to subscribe for or purchase the Private Placement ADSs, except for restrictions on transfer set forth in the Transaction Documents or imposed by applicable securities laws, and the Private Placement ADSs, will rank equally in all respects with the existing ADSs.. The Private Placement Shares may be freely deposited by the Company with the Depositary or its nominee against issuance of the Private Placement ADSs evidencing such Ordinary Shares, as contemplated by the Deposit Agreement and the Letter Agreement. The Private Placement Shares and the Non-Voting Ordinary Shares have been duly and validly authorized for allotment, issuance and sale (including pursuant to section 551 of the United Kingdom Companies Act 2006), and, when allotted and issued and delivered by the Company against payment therefor pursuant to the Transaction Documents, will be validly allotted and issued and fully paid, and will not be subject to any call for further payment of capital and shall be free and clear of all pledges, liens, security interests, charges, claims, encumbrances and restrictions (other than those created by the Investors), except for restrictions on transfer set forth in the Transaction Documents or imposed by applicable securities laws. The allotment, issuance and sale of the Private Placement Shares and the Non-Voting Ordinary Shares is not subject to any pre-emption rights (save to the extent validly disapplied), rights of first refusal or other similar rights to subscribe for or purchase such shares (including those provided by section 561(1) of the UK Companies Act 2006, in relation to which section the directors of the Company have been validly empowered under section 570 of the UK Companies Act 2006 to allot such shares as if section 561 did not apply). The Private Placement Shares will rank equally in all respects with the existing issued Ordinary Shares.</w:t>
      </w:r>
    </w:p>
    <w:p>
      <w:pPr>
        <w:spacing w:after="0" w:line="39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jc w:val="both"/>
        <w:ind w:firstLine="648"/>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The execution, delivery and performance by the Company of the Transaction Documents and the offer, issuance and sale of the Securities and the issue of the Private Placement Shares require no consent of, action by or in respect of, or filing with, any Person, governmental body, agency, or official other than (a) filings made pursuant to applicable securities laws, (b) post-sale filings pursuant to applicable state and federal securities laws, (c) filings made to the Registrar of Companies in the UK with respect to the allotment and issue of the Private Placement Shares and Non-Voting Ordinary Shares, (d) filings pursuant to the AIM Rules for Companies for the admission of the Private Placement Shares and filings pursuant to the rules and regulations of Nasdaq and (e) filing of the registration statement required to be filed by the Registration Rights Agreement, each of which the Company has filed or undertakes to file within the applicable time. Subject to the accuracy of the representations and warranties of each Investor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the Company has taken all action necessary to exempt (i) the issuance and sale of the Securities and (ii) the other transactions contemplated by the Transaction Documents from the provisions of any shareholder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Securities and the ownership, disposition or voting of the Securities by the Investors or the exercise of any right granted to the Investors pursuant to the Transaction Documents.</w:t>
      </w:r>
    </w:p>
    <w:p>
      <w:pPr>
        <w:spacing w:after="0" w:line="17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December 31, 2019, except as identified and described in the SEC Filings filed at least 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Trading Day prior to the date hereof, there has not been:</w:t>
      </w:r>
    </w:p>
    <w:p>
      <w:pPr>
        <w:spacing w:after="0" w:line="211" w:lineRule="exact"/>
        <w:rPr>
          <w:sz w:val="20"/>
          <w:szCs w:val="20"/>
          <w:color w:val="auto"/>
        </w:rPr>
      </w:pPr>
    </w:p>
    <w:p>
      <w:pPr>
        <w:jc w:val="both"/>
        <w:ind w:left="1300" w:firstLine="640"/>
        <w:spacing w:after="0" w:line="259" w:lineRule="auto"/>
        <w:tabs>
          <w:tab w:leader="none" w:pos="262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 in the consolidated assets, liabilities, financial condition or operating results of the Company from that reflected in the financial statements included in the Company’s Annual Report on Form 20-F for the year ended December 31, 2019, except for changes in the ordinary course of business which have not had and would not reasonably be expected to have a Material Adverse Effect, individually or in the aggregate;</w:t>
      </w:r>
    </w:p>
    <w:p>
      <w:pPr>
        <w:spacing w:after="0" w:line="186" w:lineRule="exact"/>
        <w:rPr>
          <w:rFonts w:ascii="Arial" w:cs="Arial" w:eastAsia="Arial" w:hAnsi="Arial"/>
          <w:sz w:val="18"/>
          <w:szCs w:val="18"/>
          <w:color w:val="auto"/>
        </w:rPr>
      </w:pPr>
    </w:p>
    <w:p>
      <w:pPr>
        <w:jc w:val="both"/>
        <w:ind w:left="1300" w:firstLine="640"/>
        <w:spacing w:after="0" w:line="263" w:lineRule="auto"/>
        <w:tabs>
          <w:tab w:leader="none" w:pos="28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declaration or payment by the Company of any dividend, or any authorization or payment by the Company of any distribution, on any of the share capital of the Company, or any redemption or repurchase by the Company of any securities of the Company;</w:t>
      </w:r>
    </w:p>
    <w:p>
      <w:pPr>
        <w:spacing w:after="0" w:line="183" w:lineRule="exact"/>
        <w:rPr>
          <w:rFonts w:ascii="Arial" w:cs="Arial" w:eastAsia="Arial" w:hAnsi="Arial"/>
          <w:sz w:val="18"/>
          <w:szCs w:val="18"/>
          <w:color w:val="auto"/>
        </w:rPr>
      </w:pPr>
    </w:p>
    <w:p>
      <w:pPr>
        <w:ind w:left="2660" w:hanging="720"/>
        <w:spacing w:after="0"/>
        <w:tabs>
          <w:tab w:leader="none" w:pos="2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material damage, destruction or loss, whether or not covered by insurance, to any assets or properties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2640" w:hanging="700"/>
        <w:spacing w:after="0"/>
        <w:tabs>
          <w:tab w:leader="none" w:pos="2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waiver, not in the ordinary course of business, by the Company of a material right or of a material debt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owed to it;</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left="1300" w:firstLine="640"/>
        <w:spacing w:after="0" w:line="263" w:lineRule="auto"/>
        <w:tabs>
          <w:tab w:leader="none" w:pos="257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satisfaction or discharge of any lien, claim or encumbrance or payment of any obligation by the Company, except in the ordinary course of business and which is not material to the assets, properties, financial condition, operating results or business of the Company (as such business is presently conducted);</w:t>
      </w:r>
    </w:p>
    <w:p>
      <w:pPr>
        <w:spacing w:after="0" w:line="183" w:lineRule="exact"/>
        <w:rPr>
          <w:rFonts w:ascii="Arial" w:cs="Arial" w:eastAsia="Arial" w:hAnsi="Arial"/>
          <w:sz w:val="18"/>
          <w:szCs w:val="18"/>
          <w:color w:val="auto"/>
        </w:rPr>
      </w:pPr>
    </w:p>
    <w:p>
      <w:pPr>
        <w:ind w:left="1300" w:firstLine="640"/>
        <w:spacing w:after="0" w:line="308" w:lineRule="auto"/>
        <w:tabs>
          <w:tab w:leader="none" w:pos="2743"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change or amendment to the Company’s Articles of Association, or material change to any Material Contract or arrangement by which the Company is bound or to which any of its assets or properties is subject;</w:t>
      </w:r>
    </w:p>
    <w:p>
      <w:pPr>
        <w:spacing w:after="0" w:line="146" w:lineRule="exact"/>
        <w:rPr>
          <w:rFonts w:ascii="Arial" w:cs="Arial" w:eastAsia="Arial" w:hAnsi="Arial"/>
          <w:sz w:val="17"/>
          <w:szCs w:val="17"/>
          <w:color w:val="auto"/>
        </w:rPr>
      </w:pPr>
    </w:p>
    <w:p>
      <w:pPr>
        <w:ind w:left="1300" w:firstLine="640"/>
        <w:spacing w:after="0" w:line="277" w:lineRule="auto"/>
        <w:tabs>
          <w:tab w:leader="none" w:pos="26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material labor difficulties or, to the Company’s Knowledge, labor union organizing activities with respect to employees of the Company;</w:t>
      </w:r>
    </w:p>
    <w:p>
      <w:pPr>
        <w:spacing w:after="0" w:line="170" w:lineRule="exact"/>
        <w:rPr>
          <w:rFonts w:ascii="Arial" w:cs="Arial" w:eastAsia="Arial" w:hAnsi="Arial"/>
          <w:sz w:val="18"/>
          <w:szCs w:val="18"/>
          <w:color w:val="auto"/>
        </w:rPr>
      </w:pPr>
    </w:p>
    <w:p>
      <w:pPr>
        <w:ind w:left="2560" w:hanging="620"/>
        <w:spacing w:after="0"/>
        <w:tabs>
          <w:tab w:leader="none" w:pos="2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material transaction entered into by the Company other than in the ordinary course of business;</w:t>
      </w:r>
    </w:p>
    <w:p>
      <w:pPr>
        <w:spacing w:after="0" w:line="225" w:lineRule="exact"/>
        <w:rPr>
          <w:rFonts w:ascii="Arial" w:cs="Arial" w:eastAsia="Arial" w:hAnsi="Arial"/>
          <w:sz w:val="18"/>
          <w:szCs w:val="18"/>
          <w:color w:val="auto"/>
        </w:rPr>
      </w:pPr>
    </w:p>
    <w:p>
      <w:pPr>
        <w:ind w:left="1300" w:firstLine="640"/>
        <w:spacing w:after="0" w:line="277" w:lineRule="auto"/>
        <w:tabs>
          <w:tab w:leader="none" w:pos="2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the services of any key employee, or material change in the composition or duties of the senior management of the Company; or</w:t>
      </w:r>
    </w:p>
    <w:p>
      <w:pPr>
        <w:spacing w:after="0" w:line="170" w:lineRule="exact"/>
        <w:rPr>
          <w:rFonts w:ascii="Arial" w:cs="Arial" w:eastAsia="Arial" w:hAnsi="Arial"/>
          <w:sz w:val="18"/>
          <w:szCs w:val="18"/>
          <w:color w:val="auto"/>
        </w:rPr>
      </w:pPr>
    </w:p>
    <w:p>
      <w:pPr>
        <w:ind w:left="2620" w:hanging="680"/>
        <w:spacing w:after="0"/>
        <w:tabs>
          <w:tab w:leader="none" w:pos="2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other event or condition of any character that has had or would reasonably be expected to have a Material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SEC Filings and AIM filings</w:t>
      </w:r>
      <w:r>
        <w:rPr>
          <w:rFonts w:ascii="Arial" w:cs="Arial" w:eastAsia="Arial" w:hAnsi="Arial"/>
          <w:sz w:val="18"/>
          <w:szCs w:val="18"/>
          <w:color w:val="auto"/>
        </w:rPr>
        <w:t>. The Company has filed all reports, schedules, forms, statements and other documents required to be filed by the Company under the 1933 Act and the 1934 Act, including pursuant to Section 13(a) or 15(d) thereof, for the one year period preceding the date hereof (or such shorter period as the Company was required by law or regulation to file such material) (collectively, the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w:t>
      </w:r>
      <w:r>
        <w:rPr>
          <w:rFonts w:ascii="Arial" w:cs="Arial" w:eastAsia="Arial" w:hAnsi="Arial"/>
          <w:sz w:val="18"/>
          <w:szCs w:val="18"/>
          <w:u w:val="single" w:color="auto"/>
          <w:color w:val="auto"/>
        </w:rPr>
        <w:t>Filings</w:t>
      </w:r>
      <w:r>
        <w:rPr>
          <w:rFonts w:ascii="Arial" w:cs="Arial" w:eastAsia="Arial" w:hAnsi="Arial"/>
          <w:sz w:val="18"/>
          <w:szCs w:val="18"/>
          <w:color w:val="auto"/>
        </w:rPr>
        <w:t>”). At the time of filing thereof, the SEC Filings complied in all material respects with the requirements of the 1933 Act or the 1934 Act, as applicable, and the rules and regulations of the SEC thereunder. The Company has published all documents required to be published, and made public all information required to be disclosed, under the AIM Rules for Companies, MAR and the DTRs (to the extent applicable to the Company).</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Conflict, Breach, Violation or Default</w:t>
      </w:r>
      <w:r>
        <w:rPr>
          <w:rFonts w:ascii="Arial" w:cs="Arial" w:eastAsia="Arial" w:hAnsi="Arial"/>
          <w:sz w:val="16"/>
          <w:szCs w:val="16"/>
          <w:color w:val="auto"/>
        </w:rPr>
        <w:t>. The execution, delivery and performance of the Transaction Documents by the Company and the issuance and sale of the Private Placement ADSs and the issuance of the Private Placement Shares and Non-Voting Ordinary Shares, in each case in accordance with the provisions thereof, will not, except (solely in the case of clauses (i)(b) and (ii)) for such violations, conflicts or defaults as would not reasonably be expected, individually or in the aggregate, to have a Material Adverse Effect, (i) conflict with or result in a breach or violation of (a) any of the terms and provisions of, or constitute a default under, the Company’s Articles of Association, as in effect on the date hereof (a true and complete copy of which has been made available to the Investors through the Electronic Data Gathering, Analysis, and Retrieval system (the “</w:t>
      </w:r>
      <w:r>
        <w:rPr>
          <w:rFonts w:ascii="Arial" w:cs="Arial" w:eastAsia="Arial" w:hAnsi="Arial"/>
          <w:sz w:val="16"/>
          <w:szCs w:val="16"/>
          <w:u w:val="single" w:color="auto"/>
          <w:color w:val="auto"/>
        </w:rPr>
        <w:t>EDGAR System</w:t>
      </w:r>
      <w:r>
        <w:rPr>
          <w:rFonts w:ascii="Arial" w:cs="Arial" w:eastAsia="Arial" w:hAnsi="Arial"/>
          <w:sz w:val="16"/>
          <w:szCs w:val="16"/>
          <w:color w:val="auto"/>
        </w:rPr>
        <w:t xml:space="preserve">”)), or (b) assuming the accuracy of the representations and warranties of the Investors in </w:t>
      </w:r>
      <w:r>
        <w:rPr>
          <w:rFonts w:ascii="Arial" w:cs="Arial" w:eastAsia="Arial" w:hAnsi="Arial"/>
          <w:sz w:val="16"/>
          <w:szCs w:val="16"/>
          <w:u w:val="single" w:color="auto"/>
          <w:color w:val="auto"/>
        </w:rPr>
        <w:t>Section 5</w:t>
      </w:r>
      <w:r>
        <w:rPr>
          <w:rFonts w:ascii="Arial" w:cs="Arial" w:eastAsia="Arial" w:hAnsi="Arial"/>
          <w:sz w:val="16"/>
          <w:szCs w:val="16"/>
          <w:color w:val="auto"/>
        </w:rPr>
        <w:t>, any applicable statute, rule, regulation or order of any governmental agency or body or stock exchange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 w:name="page14"/>
    <w:bookmarkEnd w:id="13"/>
    <w:p>
      <w:pPr>
        <w:ind w:left="640"/>
        <w:spacing w:after="0"/>
        <w:tabs>
          <w:tab w:leader="none" w:pos="12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left="640" w:firstLine="652"/>
        <w:spacing w:after="0" w:line="290" w:lineRule="auto"/>
        <w:tabs>
          <w:tab w:leader="none" w:pos="193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its subsidiaries have timely prepared and filed all material tax returns required to have been filed by them with all appropriate governmental agencies and timely paid all taxes shown thereon or otherwise owed by them. There are no material unpaid assessments against the Company nor, to the Company’s Knowledge, any audits by any federal, state or local taxing authority. All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 (other than a subsidiary of the Company).</w:t>
      </w:r>
    </w:p>
    <w:p>
      <w:pPr>
        <w:spacing w:after="0" w:line="165" w:lineRule="exact"/>
        <w:rPr>
          <w:rFonts w:ascii="Arial" w:cs="Arial" w:eastAsia="Arial" w:hAnsi="Arial"/>
          <w:sz w:val="16"/>
          <w:szCs w:val="16"/>
          <w:color w:val="auto"/>
        </w:rPr>
      </w:pPr>
    </w:p>
    <w:p>
      <w:pPr>
        <w:ind w:left="640" w:firstLine="652"/>
        <w:spacing w:after="0" w:line="277" w:lineRule="auto"/>
        <w:tabs>
          <w:tab w:leader="none" w:pos="188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any subsidiary has received written notice of any claim by any governmental authority in any other jurisdiction that it does not file a tax return that it is or may be subject to taxation by that jurisdiction.</w:t>
      </w:r>
    </w:p>
    <w:p>
      <w:pPr>
        <w:spacing w:after="0" w:line="170" w:lineRule="exact"/>
        <w:rPr>
          <w:rFonts w:ascii="Arial" w:cs="Arial" w:eastAsia="Arial" w:hAnsi="Arial"/>
          <w:sz w:val="18"/>
          <w:szCs w:val="18"/>
          <w:color w:val="auto"/>
        </w:rPr>
      </w:pPr>
    </w:p>
    <w:p>
      <w:pPr>
        <w:jc w:val="both"/>
        <w:ind w:left="640" w:firstLine="652"/>
        <w:spacing w:after="0" w:line="263" w:lineRule="auto"/>
        <w:tabs>
          <w:tab w:leader="none" w:pos="1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its subsidiaries have materially complied with all applicable laws relating to the payment, collection, withholding and reporting of any amounts related to taxes, including with respect to payments made to any employee, independent contractor, creditor, shareholder, partner or other third party.</w:t>
      </w:r>
    </w:p>
    <w:p>
      <w:pPr>
        <w:spacing w:after="0" w:line="183" w:lineRule="exact"/>
        <w:rPr>
          <w:rFonts w:ascii="Arial" w:cs="Arial" w:eastAsia="Arial" w:hAnsi="Arial"/>
          <w:sz w:val="18"/>
          <w:szCs w:val="18"/>
          <w:color w:val="auto"/>
        </w:rPr>
      </w:pPr>
    </w:p>
    <w:p>
      <w:pPr>
        <w:jc w:val="both"/>
        <w:ind w:left="640" w:firstLine="652"/>
        <w:spacing w:after="0" w:line="263" w:lineRule="auto"/>
        <w:tabs>
          <w:tab w:leader="none" w:pos="185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liable for tax of another person (including under Treasury Regulations Section 1.1502-6 or any comparable provision of local, state or non-U.S. Law) whether as a successor or transferee, by operation of law, or by contract (other than contracts the principal purpose of which is unrelated to taxes).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Transfer Taxes</w:t>
      </w:r>
      <w:r>
        <w:rPr>
          <w:rFonts w:ascii="Arial" w:cs="Arial" w:eastAsia="Arial" w:hAnsi="Arial"/>
          <w:sz w:val="16"/>
          <w:szCs w:val="16"/>
          <w:color w:val="auto"/>
        </w:rPr>
        <w:t>. Provided that (i) the Private Placement Shares are admitted to trading on AIM but are not listed on any market (with the term “listed” being construed in accordance with section 99A of the UK Finance Act 1986) and (ii) any instrument of transfer for the Private Placement ADSs (or any American Depositary Receipt evidencing a Private Placement ADS) is executed, delivered and retained outside the United Kingdom, other than in respect of a transfer of, or agreement to transfer, Non-Voting Ordinary Shares or Redesignated Shares subsequent to the issue of such shares to Investors under this Agreement, no documentary, registration, transfer, stamp, stamp duty reserve, or other similar taxes or duties (“</w:t>
      </w:r>
      <w:r>
        <w:rPr>
          <w:rFonts w:ascii="Arial" w:cs="Arial" w:eastAsia="Arial" w:hAnsi="Arial"/>
          <w:sz w:val="16"/>
          <w:szCs w:val="16"/>
          <w:u w:val="single" w:color="auto"/>
          <w:color w:val="auto"/>
        </w:rPr>
        <w:t>Transfer Taxes</w:t>
      </w:r>
      <w:r>
        <w:rPr>
          <w:rFonts w:ascii="Arial" w:cs="Arial" w:eastAsia="Arial" w:hAnsi="Arial"/>
          <w:sz w:val="16"/>
          <w:szCs w:val="16"/>
          <w:color w:val="auto"/>
        </w:rPr>
        <w:t>”) are payable in connection with any of the transactions contemplated by this Agreement.</w:t>
      </w:r>
    </w:p>
    <w:p>
      <w:pPr>
        <w:spacing w:after="0" w:line="3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The Company and its subsidiaries have good and marketable title to all real properties and all other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with no exceptions, except such as would not reasonably be expected, individually or in the aggregate, to have a Material Adverse Effect.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Certificates, Authorities and Permits</w:t>
      </w:r>
      <w:r>
        <w:rPr>
          <w:rFonts w:ascii="Arial" w:cs="Arial" w:eastAsia="Arial" w:hAnsi="Arial"/>
          <w:sz w:val="17"/>
          <w:szCs w:val="17"/>
          <w:color w:val="auto"/>
        </w:rPr>
        <w:t>. The Company possesses adequate certificates, authorities or permits issued by 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where such revocation or modification would reasonably be expected, individually or in the aggregate to have a Material Adverse Effect.</w:t>
      </w:r>
    </w:p>
    <w:p>
      <w:pPr>
        <w:spacing w:after="0" w:line="176"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jc w:val="both"/>
        <w:ind w:left="640" w:firstLine="652"/>
        <w:spacing w:after="0" w:line="259" w:lineRule="auto"/>
        <w:tabs>
          <w:tab w:leader="none" w:pos="23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not party to or bound by any collective bargaining agreements or other agreements with labor organizations. The Company has not violated in any material respect any laws, regulations, orders or contract terms affecting the collective bargaining rights of employees or labor organizations, or any laws, regulations or orders affecting employment discrimination, equal opportunity employment, or employees’ health, safety, welfare, wages and hours.</w:t>
      </w:r>
    </w:p>
    <w:p>
      <w:pPr>
        <w:spacing w:after="0" w:line="186" w:lineRule="exact"/>
        <w:rPr>
          <w:rFonts w:ascii="Arial" w:cs="Arial" w:eastAsia="Arial" w:hAnsi="Arial"/>
          <w:sz w:val="18"/>
          <w:szCs w:val="18"/>
          <w:color w:val="auto"/>
        </w:rPr>
      </w:pPr>
    </w:p>
    <w:p>
      <w:pPr>
        <w:ind w:left="640" w:right="20" w:firstLine="652"/>
        <w:spacing w:after="0" w:line="308" w:lineRule="auto"/>
        <w:tabs>
          <w:tab w:leader="none" w:pos="2348"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material labor dispute with the employees of the Company, or with the employees of any principal supplier, manufacturer, customer or contractor of the Company, exists or, to the Company’s Knowledge, is threatened or imminent.</w:t>
      </w:r>
    </w:p>
    <w:p>
      <w:pPr>
        <w:spacing w:after="0" w:line="36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15" w:name="page16"/>
    <w:bookmarkEnd w:id="15"/>
    <w:p>
      <w:pPr>
        <w:jc w:val="both"/>
        <w:ind w:left="4" w:firstLine="648"/>
        <w:spacing w:after="0" w:line="283"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Intellectual Property; Data Privacy</w:t>
      </w:r>
      <w:r>
        <w:rPr>
          <w:rFonts w:ascii="Arial" w:cs="Arial" w:eastAsia="Arial" w:hAnsi="Arial"/>
          <w:sz w:val="16"/>
          <w:szCs w:val="16"/>
          <w:color w:val="auto"/>
        </w:rPr>
        <w:t>.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 Company’s business in all material respects as now conducted or as proposed in the SEC Filings to be conducted. (a) Except as described in the SEC filings, there are no rights of third parties to any such Intellectual Property owned by the Company and its subsidiaries, including no liens, security interests or other encumbrances; (b) to the Company’s Knowledge, there is no infringement by third parties of any such Intellectual Property; (c) there is no pending, or to the Company’s Knowledge, threatened action, suit, proceeding or claim by others challenging the Company’s rights in or to any such Intellectual Property, and, to the Company’s Knowledge, the Company is not aware of a factual basis for any such claim; (d) such Intellectual Property has not been adjudged by a court of competent jurisdiction invalid or unenforceable, in whole or in part,</w:t>
      </w:r>
    </w:p>
    <w:p>
      <w:pPr>
        <w:spacing w:after="0" w:line="6" w:lineRule="exact"/>
        <w:rPr>
          <w:sz w:val="20"/>
          <w:szCs w:val="20"/>
          <w:color w:val="auto"/>
        </w:rPr>
      </w:pPr>
    </w:p>
    <w:p>
      <w:pPr>
        <w:jc w:val="both"/>
        <w:ind w:left="4" w:hanging="4"/>
        <w:spacing w:after="0" w:line="284" w:lineRule="auto"/>
        <w:tabs>
          <w:tab w:leader="none" w:pos="25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suit, proceeding or claim by others challenging the validity or scope of any such Intellectual Property, including interferences, oppositions, reexaminations or government proceedings, and the Company is unaware of any facts which would form a reasonable basis for any such claim; (f) there is no pending or threatened action, suit, proceeding or claim by others that the Company infringes, misappropriates, or otherwise violates any patent, trademark, copyright, trade secret or other proprietary rights of others, and the Company is unaware of any other fact which would form a reasonable basis for any such claim; (g) each employee and consultant of the Company has entered into an invention assignment agreement with the Company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(h) to the Company’s Knowledge, there is no patent or published patent application in the United States or other jurisdiction which contains valid claims that dominate any product candidate of the Company described in the SEC Filings; and (i) the Company is not aware of any prior art that may render any U.S. patent held by the Company invalid or any U.S. patent application held by the Company un-patentable which has not been disclosed to the U.S. Patent and Trademark Office and all such prior art has been disclosed to the patent office or other jurisdiction where required. The Company has complied in all material respects with all license agreements to which it is a party relating to the Intellectual Property and has not received any asserted or threatened claim of breach of any of the same. The Company is presently and was in the past three (3) years in compliance in all material respects with all applicable U.S. or non-U.S. laws relating to privacy, data protection, or the collection and use of personal information collected, used, or held for use by the Company in the conduct of its business; and no claims have been asserted or, to the Company’s Knowledge, threatened in writing against the Company alleging a violation of any person’s privacy or personal information or data rights.</w:t>
      </w:r>
    </w:p>
    <w:p>
      <w:pPr>
        <w:spacing w:after="0" w:line="171"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The Company has not violated, and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has not released any hazardous substances regulated by Environmental Law onto any real property that it owns or operates, and has not received any written notice or claim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w:t>
      </w:r>
    </w:p>
    <w:p>
      <w:pPr>
        <w:spacing w:after="0" w:line="38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legal, governmental or regulatory investigations, actions, suits or proceedings pending to which the Company or its subsidiaries are or may reasonably be expected to become a party or to which any property of the Company or its subsidiaries are or may reasonably be expected to become the subject that, individually or in the aggregate, would reasonably be expected to have a Material Adverse Effect.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International Financial Reporting Standards applied on a consistent basis during the periods involved as issued by the European Union and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(except as may be disclosed therein or in the notes thereto, and except that the unaudited financial statements may not contain all footnotes required by IFRS).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financial statements included in the most recent UK annual report published by the Company give a true and fair view of the profits and losses and cash flows for such financial year and of the state of affairs of the Company and its subsidiaries as at the end of such financial year.</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Insurance Coverage</w:t>
      </w:r>
      <w:r>
        <w:rPr>
          <w:rFonts w:ascii="Arial" w:cs="Arial" w:eastAsia="Arial" w:hAnsi="Arial"/>
          <w:sz w:val="18"/>
          <w:szCs w:val="18"/>
          <w:color w:val="auto"/>
        </w:rPr>
        <w:t>. The Company maintains in full force and effect insurance coverage that is customary for comparably situated companies for the business being conducted and properties owned or leased by the Company, and the Company reasonably believes such insurance coverage to be adequate against all liabilities, claims and risks against which it is customary for comparably situated companies to insure.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Compliance with Exchange Listings</w:t>
      </w:r>
      <w:r>
        <w:rPr>
          <w:rFonts w:ascii="Arial" w:cs="Arial" w:eastAsia="Arial" w:hAnsi="Arial"/>
          <w:sz w:val="18"/>
          <w:szCs w:val="18"/>
          <w:color w:val="auto"/>
        </w:rPr>
        <w:t>. The Company is in compliance with applicable Nasdaq continued listing requirements. There are no proceedings pending or, to the Company’s Knowledge, threatened against the Company relating to the continued listing of the ADSs on Nasdaq and the Company has not received any notice of, nor to the Company’s Knowledge, is there any reasonable basis for, the delisting of the ADSs from Nasdaq. The Company is in compliance with the AIM Rules for Companies, FSMA, MAR, the Prospectus Regulation, the Prospectus Regulation Rules and the DTRs (to the extent applicable to the Company). There are no proceedings pending or, to the Company’s Knowledge, threatened against the Company relating to the continued admission of the Ordinary Shares to AIM and the Company has not received any notice of, nor to the Company’s Knowledge, is there any reasonable basis for, the cancellation of the Ordinary Shares from trading on AIM.</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jc w:val="both"/>
        <w:ind w:left="4" w:firstLine="648"/>
        <w:spacing w:after="0" w:line="254"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xml:space="preserve">. Other than the Placement Agent and such other placement agents as the Company may engage in connection with the transactions contemplated by this Agreement,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that may be due in connection with the transactions contemplated by this Agreement or the Transaction Documents.</w:t>
      </w:r>
    </w:p>
    <w:p>
      <w:pPr>
        <w:spacing w:after="0" w:line="19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No Directed Selling Efforts or General Solicitation</w:t>
      </w:r>
      <w:r>
        <w:rPr>
          <w:rFonts w:ascii="Arial" w:cs="Arial" w:eastAsia="Arial" w:hAnsi="Arial"/>
          <w:sz w:val="18"/>
          <w:szCs w:val="18"/>
          <w:color w:val="auto"/>
        </w:rPr>
        <w:t>. Neither the Company nor any Person acting on its behalf has conducted any general solicitation or general advertising (as those terms are used in Regulation D promulgated under the 1933 Act) in connection with the offer or sale of any of the Securities.</w:t>
      </w:r>
    </w:p>
    <w:p>
      <w:pPr>
        <w:spacing w:after="0" w:line="184"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No Integrated Offering</w:t>
      </w:r>
      <w:r>
        <w:rPr>
          <w:rFonts w:ascii="Arial" w:cs="Arial" w:eastAsia="Arial" w:hAnsi="Arial"/>
          <w:sz w:val="17"/>
          <w:szCs w:val="17"/>
          <w:color w:val="auto"/>
        </w:rPr>
        <w:t>. Neither the Company nor its subsidiaries nor any Person acting on their behalf has, directly or indirectly, made any offers or sales of any Company security or solicited any offers to buy any Company security, under circumstances that would adversely affect reliance by the Company on Section 4(a)(2) and Regulation D for the exemption from registration for the transactions contemplated hereby or would require registration of the Securities or Private Placement Shares under the 1933 Act.</w:t>
      </w:r>
    </w:p>
    <w:p>
      <w:pPr>
        <w:spacing w:after="0" w:line="171"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Private Placement</w:t>
      </w:r>
      <w:r>
        <w:rPr>
          <w:rFonts w:ascii="Arial" w:cs="Arial" w:eastAsia="Arial" w:hAnsi="Arial"/>
          <w:sz w:val="18"/>
          <w:szCs w:val="18"/>
          <w:color w:val="auto"/>
        </w:rPr>
        <w:t xml:space="preserve">. Assuming the accuracy of the representations and warranties of the Investors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the offer and sale of the Securities to the Investors as contemplated hereby is exempt from the registration requirements of the 1933 Act and will not require the publication of a prospectus by the Company under the Prospectus Regulation and the Prospectus Regulation Rules. The issuance and sale of the Securities does not contravene the rules and regulations of Nasdaq.</w:t>
      </w:r>
    </w:p>
    <w:p>
      <w:pPr>
        <w:spacing w:after="0" w:line="187"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Questionable Payments</w:t>
      </w:r>
      <w:r>
        <w:rPr>
          <w:rFonts w:ascii="Arial" w:cs="Arial" w:eastAsia="Arial" w:hAnsi="Arial"/>
          <w:sz w:val="16"/>
          <w:szCs w:val="16"/>
          <w:color w:val="auto"/>
        </w:rPr>
        <w:t>. Neither the Company nor its subsidiaries nor, to the Company’s Knowledge, any of their current or former directors, officers, employees, agents or other Persons acting on behalf of the Company or its subsidiaries, has on behalf of the Company or its subsidiaries in connection with their business: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which is in violation of law;</w:t>
      </w:r>
    </w:p>
    <w:p>
      <w:pPr>
        <w:spacing w:after="0" w:line="2" w:lineRule="exact"/>
        <w:rPr>
          <w:sz w:val="20"/>
          <w:szCs w:val="20"/>
          <w:color w:val="auto"/>
        </w:rPr>
      </w:pPr>
    </w:p>
    <w:p>
      <w:pPr>
        <w:ind w:left="4" w:hanging="4"/>
        <w:spacing w:after="0" w:line="260" w:lineRule="auto"/>
        <w:tabs>
          <w:tab w:leader="none" w:pos="2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made any false or fictitious entries on the books and records of the Company; or (e) made any unlawful bribe, rebate, payoff, influence payment, kickback or other unlawful payment of any nature.</w:t>
      </w:r>
    </w:p>
    <w:p>
      <w:pPr>
        <w:spacing w:after="0" w:line="185"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None of the executive officers or directors of the Company and, to the Company’s Knowledge, none of the employees of the Company is presently a party to any transaction with the Company (other than as holders of share options, restricted share units and/or restricted shares,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39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 xml:space="preserve">4.26.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has established and maintains disclosure controls and procedures (as defined in Rules 13a-15 and 15d-15 under the 1934 Act), which are designed to ensure that material information relating to the Company, including its subsidiaries, is made known to the Company’s principal executive officer and its principal financial officer by others within those entities and enable the Company to comply with the AIM Rules for Companies and MAR.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adversely affected, or would reasonably be expected to materially adversely affect, the Company’s internal control over financial reporting.</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4.27. </w:t>
      </w:r>
      <w:r>
        <w:rPr>
          <w:rFonts w:ascii="Arial" w:cs="Arial" w:eastAsia="Arial" w:hAnsi="Arial"/>
          <w:sz w:val="17"/>
          <w:szCs w:val="17"/>
          <w:u w:val="single" w:color="auto"/>
          <w:color w:val="auto"/>
        </w:rPr>
        <w:t>Disclosures</w:t>
      </w:r>
      <w:r>
        <w:rPr>
          <w:rFonts w:ascii="Arial" w:cs="Arial" w:eastAsia="Arial" w:hAnsi="Arial"/>
          <w:sz w:val="17"/>
          <w:szCs w:val="17"/>
          <w:color w:val="auto"/>
        </w:rPr>
        <w:t>. Neither the Company nor, to the Company’s Knowledge, any Person acting on its behalf has provided the Investors or their agents or counsel with any information that constitutes or would reasonably be expected to constitute material nonpublic information and/or inside information (as defined in Article 7 of MAR) concerning the Company or its subsidiaries, other than with respect to the transactions contemplated hereby, which will be disclosed in the Press Release (as defined below). The SEC Filings and the UK Published Information do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Required Filings</w:t>
      </w:r>
      <w:r>
        <w:rPr>
          <w:rFonts w:ascii="Arial" w:cs="Arial" w:eastAsia="Arial" w:hAnsi="Arial"/>
          <w:sz w:val="18"/>
          <w:szCs w:val="18"/>
          <w:color w:val="auto"/>
        </w:rPr>
        <w:t>. Except for the transactions contemplated by this Agreement, including the acquisition of the Securities contemplated hereby,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4.29. </w:t>
      </w: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required to be registered as, and is not an Affiliate of, and immediately following the Closing will not be required to register as, an “investment company” within the meaning of the Investment Company Act of 1940, as amended.</w:t>
      </w:r>
    </w:p>
    <w:p>
      <w:pPr>
        <w:spacing w:after="0" w:line="34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 w:name="page20"/>
    <w:bookmarkEnd w:id="19"/>
    <w:p>
      <w:pPr>
        <w:jc w:val="both"/>
        <w:ind w:firstLine="648"/>
        <w:spacing w:after="0" w:line="284" w:lineRule="auto"/>
        <w:rPr>
          <w:sz w:val="20"/>
          <w:szCs w:val="20"/>
          <w:color w:val="auto"/>
        </w:rPr>
      </w:pPr>
      <w:r>
        <w:rPr>
          <w:rFonts w:ascii="Arial" w:cs="Arial" w:eastAsia="Arial" w:hAnsi="Arial"/>
          <w:sz w:val="16"/>
          <w:szCs w:val="16"/>
          <w:color w:val="auto"/>
        </w:rPr>
        <w:t xml:space="preserve">4.30. </w:t>
      </w:r>
      <w:r>
        <w:rPr>
          <w:rFonts w:ascii="Arial" w:cs="Arial" w:eastAsia="Arial" w:hAnsi="Arial"/>
          <w:sz w:val="16"/>
          <w:szCs w:val="16"/>
          <w:u w:val="single" w:color="auto"/>
          <w:color w:val="auto"/>
        </w:rPr>
        <w:t>Healthcare Regulatory Compliance</w:t>
      </w:r>
      <w:r>
        <w:rPr>
          <w:rFonts w:ascii="Arial" w:cs="Arial" w:eastAsia="Arial" w:hAnsi="Arial"/>
          <w:sz w:val="16"/>
          <w:szCs w:val="16"/>
          <w:color w:val="auto"/>
        </w:rPr>
        <w:t>. The Company (i) is and since July 1, 2017, has been in compliance with the Federal Food, Drug and Cosmetic Act (21 U.S.C. § 301 et seq.), the federal Anti-kickback Statute (42 U.S.C. § 1320a-7b(b)), and the Health Insurance Portability and Accountability Act of 1996, as amended by the Health Information Technology for Economic and Clinical Health Act of 2009, the regulations promulgated pursuant to such laws, and comparable state laws (collectively, the “</w:t>
      </w:r>
      <w:r>
        <w:rPr>
          <w:rFonts w:ascii="Arial" w:cs="Arial" w:eastAsia="Arial" w:hAnsi="Arial"/>
          <w:sz w:val="16"/>
          <w:szCs w:val="16"/>
          <w:u w:val="single" w:color="auto"/>
          <w:color w:val="auto"/>
        </w:rPr>
        <w:t>Applicable Laws</w:t>
      </w:r>
      <w:r>
        <w:rPr>
          <w:rFonts w:ascii="Arial" w:cs="Arial" w:eastAsia="Arial" w:hAnsi="Arial"/>
          <w:sz w:val="16"/>
          <w:szCs w:val="16"/>
          <w:color w:val="auto"/>
        </w:rPr>
        <w:t>”), except for such non-compliance as would not, individually or in the aggregate, reasonably be expected to have a Material Adverse Effect; (ii) has not received any written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Arial" w:cs="Arial" w:eastAsia="Arial" w:hAnsi="Arial"/>
          <w:sz w:val="16"/>
          <w:szCs w:val="16"/>
          <w:u w:val="single" w:color="auto"/>
          <w:color w:val="auto"/>
        </w:rPr>
        <w:t>Authorizations</w:t>
      </w:r>
      <w:r>
        <w:rPr>
          <w:rFonts w:ascii="Arial" w:cs="Arial" w:eastAsia="Arial" w:hAnsi="Arial"/>
          <w:sz w:val="16"/>
          <w:szCs w:val="16"/>
          <w:color w:val="auto"/>
        </w:rPr>
        <w:t>”), except for such non-compliance as would not, individually or in the aggregate, reasonably be expected to have a Material Adverse Effect; (iii) possesses all material Authorizations and such Authorizations are valid and in full force and effect and are not in violation of any term of any such Authorizations, except for such violations as would not, individually or in the aggregate, reasonably be expected to have a Material Adverse Effect; (iv) has not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Laws or Authorizations nor, to the Company’s Knowledge, has any such claim, action, suit, proceeding, hearing, enforcement, investigation, arbitration or other action been threatened; (v) has not received written notice that any court or arbitrator or governmental or regulatory authority has taken, is taking or intends to take action to materially limit, suspend, materially modify or revoke any material Authorizations nor, to the Company’s Knowledge, has any such limitation, suspension, material modification or revocation been threatened; (vi)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in all respects (or were corrected or supplemented by a subsequent submission), except where failures to file, obtain, maintain, submit, correct or supplement the same would not, whether individually or in the aggregate, reasonably be expected to have a Material Adverse Effect; and (vii) is not a party to any corporate integrity agreements, monitoring agreements, consent decrees, settlement orders, or similar agreements with or imposed by any governmental or regulatory authority.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Tests and Preclinical and Clinical Trials</w:t>
      </w:r>
      <w:r>
        <w:rPr>
          <w:rFonts w:ascii="Arial" w:cs="Arial" w:eastAsia="Arial" w:hAnsi="Arial"/>
          <w:sz w:val="17"/>
          <w:szCs w:val="17"/>
          <w:color w:val="auto"/>
        </w:rPr>
        <w:t>. The clinical trials and preclinical studies conducted by or on behalf of or sponsored by the Company, that are described in the SEC Filings or the results of which are referred to in the SEC Filings, as applicable, and are intended to be submitted to Regulatory Authorities as a basis for product approval, were and, if still pending, are being conducted in all material respects in accordance with all applicable statutes, rules and regulations of the U.S. Food and Drug Administration and comparable drug regulatory agencies outside of the United States to which such trials and studies are subject (collectively, the “</w:t>
      </w:r>
      <w:r>
        <w:rPr>
          <w:rFonts w:ascii="Arial" w:cs="Arial" w:eastAsia="Arial" w:hAnsi="Arial"/>
          <w:sz w:val="17"/>
          <w:szCs w:val="17"/>
          <w:u w:val="single" w:color="auto"/>
          <w:color w:val="auto"/>
        </w:rPr>
        <w:t>Regulatory Authorities</w:t>
      </w:r>
      <w:r>
        <w:rPr>
          <w:rFonts w:ascii="Arial" w:cs="Arial" w:eastAsia="Arial" w:hAnsi="Arial"/>
          <w:sz w:val="17"/>
          <w:szCs w:val="17"/>
          <w:color w:val="auto"/>
        </w:rPr>
        <w:t>”), including, without limitation, 21 C.F.R. Parts 50, 54, 56, 58, and 312; the Company has no knowledge of any other trials the results of which are inconsistent with or otherwise call into question the results described or referred to in the SEC Filings; the Company has not received any written notices, correspondence or other communication from the Regulatory Authorities or any other governmental agency requiring the termination or suspension of any clinical trials or preclinical studies that are described in the SEC Filings or the results of which are referred to in the SEC Filings, and, to the Company’s Knowledge, there are no reasonable grounds for same.</w:t>
      </w:r>
    </w:p>
    <w:p>
      <w:pPr>
        <w:spacing w:after="0" w:line="200" w:lineRule="exact"/>
        <w:rPr>
          <w:sz w:val="20"/>
          <w:szCs w:val="20"/>
          <w:color w:val="auto"/>
        </w:rPr>
      </w:pPr>
    </w:p>
    <w:p>
      <w:pPr>
        <w:spacing w:after="0" w:line="20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0" w:name="page21"/>
    <w:bookmarkEnd w:id="20"/>
    <w:p>
      <w:pPr>
        <w:jc w:val="both"/>
        <w:ind w:firstLine="648"/>
        <w:spacing w:after="0" w:line="311"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Manipulation of Price</w:t>
      </w:r>
      <w:r>
        <w:rPr>
          <w:rFonts w:ascii="Arial" w:cs="Arial" w:eastAsia="Arial" w:hAnsi="Arial"/>
          <w:sz w:val="16"/>
          <w:szCs w:val="16"/>
          <w:color w:val="auto"/>
        </w:rPr>
        <w:t>. The Company has not taken, and, to the Company’s Knowledge, no Person acting on its behalf has taken, directly or indirectly, any action designed to cause or to result in the stabilization or manipulation of the price of any security of the Company to facilitate the sale or resale of any of the Private Placement ADSs or the Private Placement Shares or Non-Voting Ordinary Shares.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Anti-Bribery and Anti-Money Laundering Laws</w:t>
      </w:r>
      <w:r>
        <w:rPr>
          <w:rFonts w:ascii="Arial" w:cs="Arial" w:eastAsia="Arial" w:hAnsi="Arial"/>
          <w:sz w:val="16"/>
          <w:szCs w:val="16"/>
          <w:color w:val="auto"/>
        </w:rPr>
        <w:t>. Each of the Company, its subsidiaries and, to the Company’s Knowledge, any of their respective officers, directors, supervisors, managers, agents, or employees are and have at all times been in compliance with and the Company’s participation in the transactions contemplated by the Transaction Documents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OFAC</w:t>
      </w:r>
      <w:r>
        <w:rPr>
          <w:rFonts w:ascii="Arial" w:cs="Arial" w:eastAsia="Arial" w:hAnsi="Arial"/>
          <w:sz w:val="17"/>
          <w:szCs w:val="17"/>
          <w:color w:val="auto"/>
        </w:rPr>
        <w:t>. Neither the Company nor, to the Company’s Knowledge, any director, officer, agent, employee or Affiliate of the Company is currently subject to any U.S. sanctions administered or enforced by the Office of Foreign Assets Control of the U.S. Treasury Department, the United Nations Security Council, the European Union, Her Majesty’s Treasury, or other relevant sanctions authority.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No Bad Actors</w:t>
      </w:r>
      <w:r>
        <w:rPr>
          <w:rFonts w:ascii="Arial" w:cs="Arial" w:eastAsia="Arial" w:hAnsi="Arial"/>
          <w:sz w:val="18"/>
          <w:szCs w:val="18"/>
          <w:color w:val="auto"/>
        </w:rPr>
        <w:t>. No “bad actor” disqualifying event described in Rule 506(d)(1)(i)-(viii) of the 1933 Act (a “</w:t>
      </w:r>
      <w:r>
        <w:rPr>
          <w:rFonts w:ascii="Arial" w:cs="Arial" w:eastAsia="Arial" w:hAnsi="Arial"/>
          <w:sz w:val="18"/>
          <w:szCs w:val="18"/>
          <w:u w:val="single" w:color="auto"/>
          <w:color w:val="auto"/>
        </w:rPr>
        <w:t>Disqualification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is applicable to the Company or, to the Company’s Knowledge, any Company Covered Person, except (i) for a Disqualification Event as to which Rule 506(d)(2)(ii–iv) or (d)(3) is applicable and (ii) no such representation is made with respect to the Placement Agent, or any of its general partners, managing members, directors, executive officers or other officers.</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1" w:name="page22"/>
    <w:bookmarkEnd w:id="21"/>
    <w:p>
      <w:pPr>
        <w:ind w:left="660" w:firstLine="648"/>
        <w:spacing w:after="0" w:line="342" w:lineRule="auto"/>
        <w:rPr>
          <w:sz w:val="20"/>
          <w:szCs w:val="20"/>
          <w:color w:val="auto"/>
        </w:rPr>
      </w:pPr>
      <w:r>
        <w:rPr>
          <w:rFonts w:ascii="Arial" w:cs="Arial" w:eastAsia="Arial" w:hAnsi="Arial"/>
          <w:sz w:val="16"/>
          <w:szCs w:val="16"/>
          <w:color w:val="auto"/>
        </w:rPr>
        <w:t xml:space="preserve">4.36. </w:t>
      </w:r>
      <w:r>
        <w:rPr>
          <w:rFonts w:ascii="Arial" w:cs="Arial" w:eastAsia="Arial" w:hAnsi="Arial"/>
          <w:sz w:val="16"/>
          <w:szCs w:val="16"/>
          <w:u w:val="single" w:color="auto"/>
          <w:color w:val="auto"/>
        </w:rPr>
        <w:t>No Additional Agreements</w:t>
      </w:r>
      <w:r>
        <w:rPr>
          <w:rFonts w:ascii="Arial" w:cs="Arial" w:eastAsia="Arial" w:hAnsi="Arial"/>
          <w:sz w:val="16"/>
          <w:szCs w:val="16"/>
          <w:color w:val="auto"/>
        </w:rPr>
        <w:t>. The Company has no other agreements or understandings (including, without limitation, side letters) with any Investor to purchase ADSs or warrants exercisable for ADSs on terms more favorable to such Investor than as set forth herein.</w:t>
      </w:r>
    </w:p>
    <w:p>
      <w:pPr>
        <w:spacing w:after="0" w:line="12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6"/>
          <w:szCs w:val="16"/>
          <w:u w:val="single" w:color="auto"/>
          <w:color w:val="auto"/>
        </w:rPr>
        <w:t>Shell Company Status</w:t>
      </w:r>
      <w:r>
        <w:rPr>
          <w:rFonts w:ascii="Arial" w:cs="Arial" w:eastAsia="Arial" w:hAnsi="Arial"/>
          <w:sz w:val="16"/>
          <w:szCs w:val="16"/>
          <w:color w:val="auto"/>
        </w:rPr>
        <w:t>. The Company is not, and has never been, an issuer identified in Rule 144(i)(1).</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1292"/>
        <w:spacing w:after="0" w:line="291" w:lineRule="auto"/>
        <w:tabs>
          <w:tab w:leader="none" w:pos="283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With respect to each Employee Benefit Plan: (A) all employer contributions to each Employee Benefit Plan required by applicable law or by the terms of such Employee Benefit Plan have been made, or, if applicable, accrued in accordance with past practice; and</w:t>
      </w:r>
    </w:p>
    <w:p>
      <w:pPr>
        <w:jc w:val="both"/>
        <w:ind w:left="660" w:hanging="4"/>
        <w:spacing w:after="0" w:line="255" w:lineRule="auto"/>
        <w:tabs>
          <w:tab w:leader="none" w:pos="9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Employee Benefit Plan required to be registered has been registered and, for the past three (3) years, has been maintained, in all material respects, (1) in good standing with applicable regulatory authorities and (2) in accordance with all applicable laws, and if intended to qualify for special tax treatment, meets all requirements for such treatment.</w:t>
      </w:r>
    </w:p>
    <w:p>
      <w:pPr>
        <w:spacing w:after="0" w:line="189" w:lineRule="exact"/>
        <w:rPr>
          <w:rFonts w:ascii="Arial" w:cs="Arial" w:eastAsia="Arial" w:hAnsi="Arial"/>
          <w:sz w:val="18"/>
          <w:szCs w:val="18"/>
          <w:color w:val="auto"/>
        </w:rPr>
      </w:pPr>
    </w:p>
    <w:p>
      <w:pPr>
        <w:jc w:val="both"/>
        <w:ind w:left="660" w:firstLine="1292"/>
        <w:spacing w:after="0" w:line="291" w:lineRule="auto"/>
        <w:tabs>
          <w:tab w:leader="none" w:pos="28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the Company’s Knowledge, no claim, lawsuit, arbitration or other action has been threatened, asserted, instituted, or anticipated against any Employee Benefit Plan (other than routine claims for benefits and appeals of such claims), any trustee or fiduciaries thereof, the Company, or any of their respective directors, officers or employees (whether current, former or retired) with respect to the Employee Benefit Plans, or any of the assets of any Employee Benefit Plans, as would reasonably be expected to have a Material Adverse Effect; and no Employee Benefit Plan is, currently under audit or investigation by any governmental authority, and, to the Company’s Knowledge, no such audit or investigation has been threatened, and no such completed audit, if any, has resulted in the imposition of any tax, penalty or other liability that has not been satisfied in full, in each case, as would reasonably be expected to have a Material Adverse Effect.</w:t>
      </w:r>
    </w:p>
    <w:p>
      <w:pPr>
        <w:spacing w:after="0" w:line="166" w:lineRule="exact"/>
        <w:rPr>
          <w:rFonts w:ascii="Arial" w:cs="Arial" w:eastAsia="Arial" w:hAnsi="Arial"/>
          <w:sz w:val="16"/>
          <w:szCs w:val="16"/>
          <w:color w:val="auto"/>
        </w:rPr>
      </w:pPr>
    </w:p>
    <w:p>
      <w:pPr>
        <w:jc w:val="both"/>
        <w:ind w:left="660" w:firstLine="1292"/>
        <w:spacing w:after="0" w:line="257" w:lineRule="auto"/>
        <w:tabs>
          <w:tab w:leader="none" w:pos="28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(A) give rise to any liability under any Employee Benefit Plan, including for severance pay, unemployment compensation, termination pay, or withdrawal liability, that would reasonably be expected to have a Material Adverse Effect or (B) materially increase the amount of compensation or benefits due to any Person or result in the acceleration of the time of payment, funding or vesting of any benefits under any Employee Benefit Plan due to any Person.</w:t>
      </w:r>
    </w:p>
    <w:p>
      <w:pPr>
        <w:spacing w:after="0" w:line="187" w:lineRule="exact"/>
        <w:rPr>
          <w:rFonts w:ascii="Arial" w:cs="Arial" w:eastAsia="Arial" w:hAnsi="Arial"/>
          <w:sz w:val="18"/>
          <w:szCs w:val="18"/>
          <w:color w:val="auto"/>
        </w:rPr>
      </w:pPr>
    </w:p>
    <w:p>
      <w:pPr>
        <w:ind w:left="2960" w:hanging="1008"/>
        <w:spacing w:after="0"/>
        <w:tabs>
          <w:tab w:leader="none" w:pos="2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 Employee Benefit Plan provides post-retirement health and welfare benefits to any Person, except as required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under any applicable laws.</w:t>
      </w:r>
    </w:p>
    <w:p>
      <w:pPr>
        <w:spacing w:after="0" w:line="211" w:lineRule="exact"/>
        <w:rPr>
          <w:sz w:val="20"/>
          <w:szCs w:val="20"/>
          <w:color w:val="auto"/>
        </w:rPr>
      </w:pPr>
    </w:p>
    <w:p>
      <w:pPr>
        <w:ind w:left="1600" w:hanging="944"/>
        <w:spacing w:after="0"/>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Investors</w:t>
      </w:r>
      <w:r>
        <w:rPr>
          <w:rFonts w:ascii="Arial" w:cs="Arial" w:eastAsia="Arial" w:hAnsi="Arial"/>
          <w:sz w:val="16"/>
          <w:szCs w:val="16"/>
          <w:color w:val="auto"/>
        </w:rPr>
        <w:t>. Each of the Investors hereby severally, and not jointly, represents and warrants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that: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left="4"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and Existence</w:t>
      </w:r>
      <w:r>
        <w:rPr>
          <w:rFonts w:ascii="Arial" w:cs="Arial" w:eastAsia="Arial" w:hAnsi="Arial"/>
          <w:sz w:val="18"/>
          <w:szCs w:val="18"/>
          <w:color w:val="auto"/>
        </w:rPr>
        <w:t>. Such Investor is a duly incorporated or organized and validly existing corporation, limited partnership, limited liability company or other legal entity, has all requisite corporate, partnership or limited liability company power and authority to enter into and consummate the transactions contemplated by the Transaction Documents and to carry out its obligations hereunder and thereunder, and to invest in the Securities pursuant to this Agreement, and is in good standing under the laws of the jurisdiction of its incorporation or organization.</w:t>
      </w:r>
    </w:p>
    <w:p>
      <w:pPr>
        <w:spacing w:after="0" w:line="188"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88"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Securities to be received by such Investor hereunder will be acquired for such 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Securities in compliance with applicable federal and state securities laws. The Securities are being purchased by such Investor in the ordinary course of its business. Nothing contained herein shall be deemed a representation or warranty by such Investor to hold the Securities for any period of time. Such Investor is not a broker-dealer registered with the SEC under the 1934 Act or an entity engaged in a business that would require it to be so registered.</w:t>
      </w:r>
    </w:p>
    <w:p>
      <w:pPr>
        <w:spacing w:after="0" w:line="192"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Such Investor acknowledges that it can bear the economic risk and complete loss of its investment in the Securities and has such knowledge and experience in financial or business matters that it is capable of evaluating the merits and risks of the investment contemplated hereby.</w:t>
      </w:r>
    </w:p>
    <w:p>
      <w:pPr>
        <w:spacing w:after="0" w:line="184" w:lineRule="exact"/>
        <w:rPr>
          <w:sz w:val="20"/>
          <w:szCs w:val="20"/>
          <w:color w:val="auto"/>
        </w:rPr>
      </w:pPr>
    </w:p>
    <w:p>
      <w:pPr>
        <w:jc w:val="both"/>
        <w:ind w:left="4" w:firstLine="648"/>
        <w:spacing w:after="0" w:line="274"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Qualified Investor</w:t>
      </w:r>
      <w:r>
        <w:rPr>
          <w:rFonts w:ascii="Arial" w:cs="Arial" w:eastAsia="Arial" w:hAnsi="Arial"/>
          <w:sz w:val="17"/>
          <w:szCs w:val="17"/>
          <w:color w:val="auto"/>
        </w:rPr>
        <w:t>. If such Investor is a person in the United Kingdom or a member state of the European Economic Area, such investor is a “qualified investor” as defined in the Prospectus Regulation (being a person or entity described at point 1 of section I of Annex</w:t>
      </w:r>
    </w:p>
    <w:p>
      <w:pPr>
        <w:jc w:val="both"/>
        <w:ind w:left="4" w:hanging="4"/>
        <w:spacing w:after="0" w:line="255" w:lineRule="auto"/>
        <w:tabs>
          <w:tab w:leader="none" w:pos="2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Markets in Financial Investments Directive (2014/65/EU)) and any relevant implementing measures and falls within Article 19 (“Investment Professionals”) or 49(2) (“High Net worth Companies, Unincorporated Association, etc”) of the Financial Services and Markets Act (Financial Promotion) Order 2005, as amended.</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 w:name="page24"/>
    <w:bookmarkEnd w:id="23"/>
    <w:p>
      <w:pPr>
        <w:jc w:val="both"/>
        <w:ind w:left="4" w:firstLine="648"/>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Securities, and has conducted and completed its own independent due diligence. Such Investor acknowledges that the Company has determined that it no longer qualifies as a “foreign private issuer” under the rules and regulations of the SEC and that beginning January 1, 2021, the Company will be subject to the rules and regulations of the SEC applicable to domestic issuers and the Nasdaq listing requirements applicable to domestic U.S. issuers. Such Investor acknowledges that copies of the SEC Filings are available on the EDGAR System. Based on the information such Investor has deemed appropriate, it has independently (or together with its investment adviser) made its own analysis and decision to enter into the Transaction Documents. Such Investor is relying exclusively on its own investment analysis and due diligence (and/or that of its investment adviser) (including professional advice it deems appropriate)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Such Investor has not relied on any information or advice furnished by or on behalf of the Placement Agent in connection with the transactions contemplated hereby. Neither such inquiries nor any other due diligence investigation conducted by such Investor (or its investment adviser) shall modify, limit or otherwise affect such Investor’s right to rely on the Company’s representations and warranties contained in this Agreement.</w:t>
      </w:r>
    </w:p>
    <w:p>
      <w:pPr>
        <w:spacing w:after="0" w:line="171" w:lineRule="exact"/>
        <w:rPr>
          <w:sz w:val="20"/>
          <w:szCs w:val="20"/>
          <w:color w:val="auto"/>
        </w:rPr>
      </w:pPr>
    </w:p>
    <w:p>
      <w:pPr>
        <w:jc w:val="both"/>
        <w:ind w:left="4" w:right="20" w:firstLine="648"/>
        <w:spacing w:after="0" w:line="31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Such Investor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49" w:lineRule="exact"/>
        <w:rPr>
          <w:sz w:val="20"/>
          <w:szCs w:val="20"/>
          <w:color w:val="auto"/>
        </w:rPr>
      </w:pPr>
    </w:p>
    <w:p>
      <w:pPr>
        <w:ind w:left="644"/>
        <w:spacing w:after="0"/>
        <w:tabs>
          <w:tab w:leader="none" w:pos="1444"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It is understood that, except as provided below, the Securities may bear the following or any similar legend:</w:t>
      </w:r>
    </w:p>
    <w:p>
      <w:pPr>
        <w:spacing w:after="0" w:line="225" w:lineRule="exact"/>
        <w:rPr>
          <w:sz w:val="20"/>
          <w:szCs w:val="20"/>
          <w:color w:val="auto"/>
        </w:rPr>
      </w:pPr>
    </w:p>
    <w:p>
      <w:pPr>
        <w:jc w:val="both"/>
        <w:ind w:left="644" w:firstLine="652"/>
        <w:spacing w:after="0" w:line="296" w:lineRule="auto"/>
        <w:tabs>
          <w:tab w:leader="none" w:pos="22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 (iii) Verona Pharma plc has received an opinion of counsel reasonably satisfactory to it that such transfer may lawfully be made without registration under the Securities Act of 1933, as amended.”</w:t>
      </w:r>
    </w:p>
    <w:p>
      <w:pPr>
        <w:spacing w:after="0" w:line="161" w:lineRule="exact"/>
        <w:rPr>
          <w:rFonts w:ascii="Arial" w:cs="Arial" w:eastAsia="Arial" w:hAnsi="Arial"/>
          <w:sz w:val="16"/>
          <w:szCs w:val="16"/>
          <w:color w:val="auto"/>
        </w:rPr>
      </w:pPr>
    </w:p>
    <w:p>
      <w:pPr>
        <w:ind w:left="2184" w:hanging="888"/>
        <w:spacing w:after="0"/>
        <w:tabs>
          <w:tab w:leader="none" w:pos="21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required by the authorities of any state, the legend required by such state authority.</w:t>
      </w:r>
    </w:p>
    <w:p>
      <w:pPr>
        <w:spacing w:after="0" w:line="225" w:lineRule="exact"/>
        <w:rPr>
          <w:sz w:val="20"/>
          <w:szCs w:val="20"/>
          <w:color w:val="auto"/>
        </w:rPr>
      </w:pPr>
    </w:p>
    <w:p>
      <w:pPr>
        <w:ind w:left="644"/>
        <w:spacing w:after="0"/>
        <w:tabs>
          <w:tab w:leader="none" w:pos="1584"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u w:val="single" w:color="auto"/>
          <w:color w:val="auto"/>
        </w:rPr>
        <w:t>Accredited Investor</w:t>
      </w:r>
      <w:r>
        <w:rPr>
          <w:rFonts w:ascii="Arial" w:cs="Arial" w:eastAsia="Arial" w:hAnsi="Arial"/>
          <w:sz w:val="17"/>
          <w:szCs w:val="17"/>
          <w:color w:val="auto"/>
        </w:rPr>
        <w:t>. Such Investor is (a) an “accredited investor” within the meaning of Rule 501(a) of Regulation D and</w:t>
      </w:r>
    </w:p>
    <w:p>
      <w:pPr>
        <w:spacing w:after="0" w:line="23" w:lineRule="exact"/>
        <w:rPr>
          <w:sz w:val="20"/>
          <w:szCs w:val="20"/>
          <w:color w:val="auto"/>
        </w:rPr>
      </w:pPr>
    </w:p>
    <w:p>
      <w:pPr>
        <w:jc w:val="both"/>
        <w:ind w:left="4" w:hanging="4"/>
        <w:spacing w:after="0" w:line="253"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“Institutional Account” as defined in FINRA Rule 4512(c). Such Investor has executed and delivered to the Company the Investor Questionnaire, which such Investor represents and warrants is true, correct and complete. Such investor is a sophisticated institutional investor with sufficient knowledge and experience in investing in private equity transactions to properly evaluate the risks and merits of its purchase of the Securities.</w:t>
      </w:r>
    </w:p>
    <w:p>
      <w:pPr>
        <w:spacing w:after="0" w:line="193"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UK Securities Requirements</w:t>
      </w:r>
      <w:r>
        <w:rPr>
          <w:rFonts w:ascii="Arial" w:cs="Arial" w:eastAsia="Arial" w:hAnsi="Arial"/>
          <w:sz w:val="18"/>
          <w:szCs w:val="18"/>
          <w:color w:val="auto"/>
        </w:rPr>
        <w:t>. Such Investor has complied and will comply with all applicable provisions of the FSMA and the Financial Services Act 2012 with respect to anything done by the Investor in relation to the Private Placement ADSs in, from or otherwise involving the United Kingdom.</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left="4"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Such Investor is authorized and entitled to acquire the Securities under the laws of all relevant jurisdictions that apply to it, has complied and will comply in all material respects with all such laws relating to the acquisition of the Securities (including, where applicable, MAR, the UK Proceeds of Crime Act 2002, the Terrorism Act 2000, the Money Laundering Regulations 2007 and any related or similar rules, regulations or guidelines administered or enforced by any governmental agency having jurisdiction in respect thereof) and has obtained all applicable consents which may be required in relation to the acquisition of the Securities.</w:t>
      </w:r>
    </w:p>
    <w:p>
      <w:pPr>
        <w:spacing w:after="0" w:line="176"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Placement Agent</w:t>
      </w:r>
      <w:r>
        <w:rPr>
          <w:rFonts w:ascii="Arial" w:cs="Arial" w:eastAsia="Arial" w:hAnsi="Arial"/>
          <w:sz w:val="16"/>
          <w:szCs w:val="16"/>
          <w:color w:val="auto"/>
        </w:rPr>
        <w:t>. Such Investor hereby acknowledges and agrees that (a) the Placement Agent is acting solely as placement agent in connection with the execution, delivery and performance of the Transaction Documents and is not acting as an underwriter or in any other capacity and is not and shall not be construed as a fiduciary for such Investor, the Company or any other person or entity in connection with the execution, delivery and performance of the Transaction Documents, (b) the Placement Agent has not made and will not make any representation or warranty, whether express or implied, of any kind or character, or has not provided any advice or recommendation in connection with the execution, delivery and performance of the Transaction Documents, (c) the Placement Agent will not have any responsibility with respect to</w:t>
      </w:r>
    </w:p>
    <w:p>
      <w:pPr>
        <w:spacing w:after="0" w:line="4" w:lineRule="exact"/>
        <w:rPr>
          <w:sz w:val="20"/>
          <w:szCs w:val="20"/>
          <w:color w:val="auto"/>
        </w:rPr>
      </w:pPr>
    </w:p>
    <w:p>
      <w:pPr>
        <w:jc w:val="both"/>
        <w:ind w:left="4" w:hanging="4"/>
        <w:spacing w:after="0" w:line="288" w:lineRule="auto"/>
        <w:tabs>
          <w:tab w:leader="none" w:pos="2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(d) the Placement Agent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Documents, except in the case of clauses (c) and (d) as expressly provided otherwise in </w:t>
      </w:r>
      <w:r>
        <w:rPr>
          <w:rFonts w:ascii="Arial" w:cs="Arial" w:eastAsia="Arial" w:hAnsi="Arial"/>
          <w:sz w:val="16"/>
          <w:szCs w:val="16"/>
          <w:u w:val="single" w:color="auto"/>
          <w:color w:val="auto"/>
        </w:rPr>
        <w:t>Section 10.14(i)</w:t>
      </w:r>
      <w:r>
        <w:rPr>
          <w:rFonts w:ascii="Arial" w:cs="Arial" w:eastAsia="Arial" w:hAnsi="Arial"/>
          <w:sz w:val="16"/>
          <w:szCs w:val="16"/>
          <w:color w:val="auto"/>
        </w:rPr>
        <w:t>.</w:t>
      </w:r>
    </w:p>
    <w:p>
      <w:pPr>
        <w:spacing w:after="0" w:line="168"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Such Investor did not learn of the investment in the Securities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187" w:lineRule="exact"/>
        <w:rPr>
          <w:sz w:val="20"/>
          <w:szCs w:val="20"/>
          <w:color w:val="auto"/>
        </w:rPr>
      </w:pPr>
    </w:p>
    <w:p>
      <w:pPr>
        <w:jc w:val="both"/>
        <w:ind w:left="4" w:firstLine="648"/>
        <w:spacing w:after="0" w:line="301"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Other than fees or other compensation owed to the Placement Agent and such other placement agents as the Company may engage in connection with the transactions contemplated by this Agreement,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37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25" w:name="page26"/>
    <w:bookmarkEnd w:id="25"/>
    <w:p>
      <w:pPr>
        <w:jc w:val="both"/>
        <w:ind w:firstLine="648"/>
        <w:spacing w:after="0" w:line="268"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Short Sales and Confidentiality Prior to the Date Hereof</w:t>
      </w:r>
      <w:r>
        <w:rPr>
          <w:rFonts w:ascii="Arial" w:cs="Arial" w:eastAsia="Arial" w:hAnsi="Arial"/>
          <w:sz w:val="17"/>
          <w:szCs w:val="17"/>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a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Securities. Other than to other Persons party to this Agreement and other than to such Person’s affiliate or outside attorney, accountant, auditor or investment advisor only to the extent necessary to permit evaluation of the investment, and the performance of the necessary or required tax, accounting, financial, legal, regulatory or administrative tasks and services and other than as may be required by law or regulation, such Investor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or prohibit any actions, with respect to the identification of, the availability of, or securing of, available shares to borrow in order to effect Short Sales or similar transactions in the future.</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Such Investor understands that no United States federal or state agency, or similar agency of any other country, has reviewed, approved, passed upon, or made any recommendation or endorsement of the Company or the purchase of the Securities.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No Intent to Effect a Change of Control</w:t>
      </w:r>
      <w:r>
        <w:rPr>
          <w:rFonts w:ascii="Arial" w:cs="Arial" w:eastAsia="Arial" w:hAnsi="Arial"/>
          <w:sz w:val="18"/>
          <w:szCs w:val="18"/>
          <w:color w:val="auto"/>
        </w:rPr>
        <w:t>. Such Investor has no present intent to effect a “change of control” of the Company as such term is understood under the rules promulgated pursuant to Section 13(d) of the 1934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Residency</w:t>
      </w:r>
      <w:r>
        <w:rPr>
          <w:rFonts w:ascii="Arial" w:cs="Arial" w:eastAsia="Arial" w:hAnsi="Arial"/>
          <w:sz w:val="18"/>
          <w:szCs w:val="18"/>
          <w:color w:val="auto"/>
        </w:rPr>
        <w:t>. Such Investor’s office in which its investment decision with respect to the Securities was made is located at the address immediately below such Investor’s name on its signature page hereto.</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38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jc w:val="both"/>
        <w:ind w:left="4" w:firstLine="648"/>
        <w:spacing w:after="0" w:line="263"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No “Bad Actor” Disqualification</w:t>
      </w:r>
      <w:r>
        <w:rPr>
          <w:rFonts w:ascii="Arial" w:cs="Arial" w:eastAsia="Arial" w:hAnsi="Arial"/>
          <w:sz w:val="18"/>
          <w:szCs w:val="18"/>
          <w:color w:val="auto"/>
        </w:rPr>
        <w:t>. The Investor has not taken any of the actions set forth in, and is not subject to, the disqualification provisions of Rule 506(d)(1) of the 1933 Act, and the Investor’s responses in the questionnaire delivered to the Company by the Investor related to qualification under Rule 506(d)(1) remain true and correct as of the date hereof.</w:t>
      </w:r>
    </w:p>
    <w:p>
      <w:pPr>
        <w:spacing w:after="0" w:line="184" w:lineRule="exact"/>
        <w:rPr>
          <w:sz w:val="20"/>
          <w:szCs w:val="20"/>
          <w:color w:val="auto"/>
        </w:rPr>
      </w:pPr>
    </w:p>
    <w:p>
      <w:pPr>
        <w:ind w:left="944" w:hanging="944"/>
        <w:spacing w:after="0"/>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the Investors’ Obligations</w:t>
      </w:r>
      <w:r>
        <w:rPr>
          <w:rFonts w:ascii="Arial" w:cs="Arial" w:eastAsia="Arial" w:hAnsi="Arial"/>
          <w:sz w:val="18"/>
          <w:szCs w:val="18"/>
          <w:color w:val="auto"/>
        </w:rPr>
        <w:t>. The obligation of each Investor to purchase the Securities at the Closing is subject to the fulfillment to such Investor’s satisfaction, on or prior to the Closing Date, of the following conditions, any of which may be waived by such Investor (as to itself only):</w:t>
      </w:r>
    </w:p>
    <w:p>
      <w:pPr>
        <w:spacing w:after="0" w:line="184" w:lineRule="exact"/>
        <w:rPr>
          <w:sz w:val="20"/>
          <w:szCs w:val="20"/>
          <w:color w:val="auto"/>
        </w:rPr>
      </w:pPr>
    </w:p>
    <w:p>
      <w:pPr>
        <w:jc w:val="both"/>
        <w:ind w:left="644" w:firstLine="652"/>
        <w:spacing w:after="0" w:line="257" w:lineRule="auto"/>
        <w:tabs>
          <w:tab w:leader="none" w:pos="2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made by the Company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be true and correct as of the date hereof and as of the Closing Date, as though made on and as of such date, except to the extent any such representation or warranty expressly speaks as of an earlier date, in which case such representation or warranty shall be true and correct as of such earlier date. The Company shall have performed in all material respects all obligations and covenants herein required to be performed by it on or prior to the Closing Date.</w:t>
      </w:r>
    </w:p>
    <w:p>
      <w:pPr>
        <w:spacing w:after="0" w:line="187" w:lineRule="exact"/>
        <w:rPr>
          <w:rFonts w:ascii="Arial" w:cs="Arial" w:eastAsia="Arial" w:hAnsi="Arial"/>
          <w:sz w:val="18"/>
          <w:szCs w:val="18"/>
          <w:color w:val="auto"/>
        </w:rPr>
      </w:pPr>
    </w:p>
    <w:p>
      <w:pPr>
        <w:jc w:val="both"/>
        <w:ind w:left="644" w:firstLine="652"/>
        <w:spacing w:after="0" w:line="263" w:lineRule="auto"/>
        <w:tabs>
          <w:tab w:leader="none" w:pos="2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have obtained any and all consents, permits, approvals, registrations and waivers necessary for the consummation of the purchase and sale of the Securities and the consummation of the other transactions contemplated by the Transaction Documents, all of which shall be in full force and effect.</w:t>
      </w:r>
    </w:p>
    <w:p>
      <w:pPr>
        <w:spacing w:after="0" w:line="183" w:lineRule="exact"/>
        <w:rPr>
          <w:rFonts w:ascii="Arial" w:cs="Arial" w:eastAsia="Arial" w:hAnsi="Arial"/>
          <w:sz w:val="18"/>
          <w:szCs w:val="18"/>
          <w:color w:val="auto"/>
        </w:rPr>
      </w:pPr>
    </w:p>
    <w:p>
      <w:pPr>
        <w:ind w:left="2164" w:hanging="868"/>
        <w:spacing w:after="0"/>
        <w:tabs>
          <w:tab w:leader="none" w:pos="21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have executed and delivered the Registration Rights Agreement.</w:t>
      </w:r>
    </w:p>
    <w:p>
      <w:pPr>
        <w:spacing w:after="0" w:line="225" w:lineRule="exact"/>
        <w:rPr>
          <w:rFonts w:ascii="Arial" w:cs="Arial" w:eastAsia="Arial" w:hAnsi="Arial"/>
          <w:sz w:val="18"/>
          <w:szCs w:val="18"/>
          <w:color w:val="auto"/>
        </w:rPr>
      </w:pPr>
    </w:p>
    <w:p>
      <w:pPr>
        <w:jc w:val="both"/>
        <w:ind w:left="644" w:right="20" w:firstLine="652"/>
        <w:spacing w:after="0" w:line="263" w:lineRule="auto"/>
        <w:tabs>
          <w:tab w:leader="none" w:pos="24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three Business Days prior to the Closing Date, the Company shall have submitted to London Stock Exchange plc an application for admission of the Private Placement Shares to AIM and London Stock Exchange plc shall have raised no objection to such admission.</w:t>
      </w:r>
    </w:p>
    <w:p>
      <w:pPr>
        <w:spacing w:after="0" w:line="183" w:lineRule="exact"/>
        <w:rPr>
          <w:rFonts w:ascii="Arial" w:cs="Arial" w:eastAsia="Arial" w:hAnsi="Arial"/>
          <w:sz w:val="18"/>
          <w:szCs w:val="18"/>
          <w:color w:val="auto"/>
        </w:rPr>
      </w:pPr>
    </w:p>
    <w:p>
      <w:pPr>
        <w:jc w:val="both"/>
        <w:ind w:left="644" w:firstLine="652"/>
        <w:spacing w:after="0" w:line="259" w:lineRule="auto"/>
        <w:tabs>
          <w:tab w:leader="none" w:pos="22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by the Transaction Documents.</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 w:name="page28"/>
    <w:bookmarkEnd w:id="27"/>
    <w:p>
      <w:pPr>
        <w:jc w:val="both"/>
        <w:ind w:left="640" w:firstLine="652"/>
        <w:spacing w:after="0" w:line="291" w:lineRule="auto"/>
        <w:tabs>
          <w:tab w:leader="none" w:pos="22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Company shall have delivered a certificate, executed on behalf of the Company by its Chief Executive Officer or its Chief Financial Officer, dated as of the Closing Date, certifying to the fulfillment of the conditions specified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(e)</w:t>
      </w:r>
      <w:r>
        <w:rPr>
          <w:rFonts w:ascii="Arial" w:cs="Arial" w:eastAsia="Arial" w:hAnsi="Arial"/>
          <w:sz w:val="18"/>
          <w:szCs w:val="18"/>
          <w:color w:val="auto"/>
        </w:rPr>
        <w:t xml:space="preserve">, (i)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19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shall have delivered a certificate, executed on behalf of the Company by its Secretary, dated as of the Closing Date, certifying the resolutions adopted by the Board of Directors of the Company approving the transactions contemplated by the Transaction Documents and the issuance of the Securities and the Private Placement Shares.</w:t>
      </w:r>
    </w:p>
    <w:p>
      <w:pPr>
        <w:spacing w:after="0" w:line="165" w:lineRule="exact"/>
        <w:rPr>
          <w:rFonts w:ascii="Arial" w:cs="Arial" w:eastAsia="Arial" w:hAnsi="Arial"/>
          <w:sz w:val="17"/>
          <w:szCs w:val="17"/>
          <w:color w:val="auto"/>
        </w:rPr>
      </w:pPr>
    </w:p>
    <w:p>
      <w:pPr>
        <w:jc w:val="both"/>
        <w:ind w:left="640" w:firstLine="652"/>
        <w:spacing w:after="0" w:line="263" w:lineRule="auto"/>
        <w:tabs>
          <w:tab w:leader="none" w:pos="23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Investors shall have received opinions from Latham &amp; Watkins LLP (UK) and Latham &amp; Watkins (US), the Company’s counsel, dated as of the Closing Date, in form and substance reasonably acceptable to the Investors and addressing such legal matters as the Investors may reasonably request.</w:t>
      </w:r>
    </w:p>
    <w:p>
      <w:pPr>
        <w:spacing w:after="0" w:line="183" w:lineRule="exact"/>
        <w:rPr>
          <w:rFonts w:ascii="Arial" w:cs="Arial" w:eastAsia="Arial" w:hAnsi="Arial"/>
          <w:sz w:val="18"/>
          <w:szCs w:val="18"/>
          <w:color w:val="auto"/>
        </w:rPr>
      </w:pPr>
    </w:p>
    <w:p>
      <w:pPr>
        <w:ind w:left="2220" w:hanging="928"/>
        <w:spacing w:after="0"/>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2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stop order or suspension of trading shall have been imposed by Nasdaq, the SEC or any other governmental or regulatory body with respect to public trading in the ADSs and/or London Stock Exchange plc, the FCA or any other governmental or regulatory body with respect to public trading in the Ordinary Shares on AIM.</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Company’s obligation to sell and issue the Securities at the Closing to each Investor is subject to the fulfillment to the satisfaction of the Company on or prior to the Closing Date of the following conditions, any of which may be waived by the Company:</w:t>
      </w:r>
    </w:p>
    <w:p>
      <w:pPr>
        <w:spacing w:after="0" w:line="184" w:lineRule="exact"/>
        <w:rPr>
          <w:sz w:val="20"/>
          <w:szCs w:val="20"/>
          <w:color w:val="auto"/>
        </w:rPr>
      </w:pPr>
    </w:p>
    <w:p>
      <w:pPr>
        <w:jc w:val="both"/>
        <w:ind w:left="640" w:firstLine="652"/>
        <w:spacing w:after="0" w:line="259" w:lineRule="auto"/>
        <w:tabs>
          <w:tab w:leader="none" w:pos="2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made by such Investor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shall be true and correct as of the date hereof, and shall be true and correct as of the Closing Date with the same force and effect as if they had been made on and as of such date. Such Investor shall have performed in all material respects all obligations and covenants herein required to be performed by such Investor on or prior to the Closing Date.</w:t>
      </w:r>
    </w:p>
    <w:p>
      <w:pPr>
        <w:spacing w:after="0" w:line="186" w:lineRule="exact"/>
        <w:rPr>
          <w:rFonts w:ascii="Arial" w:cs="Arial" w:eastAsia="Arial" w:hAnsi="Arial"/>
          <w:sz w:val="18"/>
          <w:szCs w:val="18"/>
          <w:color w:val="auto"/>
        </w:rPr>
      </w:pPr>
    </w:p>
    <w:p>
      <w:pPr>
        <w:ind w:left="2180" w:hanging="888"/>
        <w:spacing w:after="0"/>
        <w:tabs>
          <w:tab w:leader="none" w:pos="2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Investor shall have executed and delivered the Registration Rights Agreement and the Investor Questionnaire.</w:t>
      </w:r>
    </w:p>
    <w:p>
      <w:pPr>
        <w:spacing w:after="0" w:line="248" w:lineRule="exact"/>
        <w:rPr>
          <w:rFonts w:ascii="Arial" w:cs="Arial" w:eastAsia="Arial" w:hAnsi="Arial"/>
          <w:sz w:val="16"/>
          <w:szCs w:val="16"/>
          <w:color w:val="auto"/>
        </w:rPr>
      </w:pPr>
    </w:p>
    <w:p>
      <w:pPr>
        <w:ind w:left="2160" w:hanging="868"/>
        <w:spacing w:after="0"/>
        <w:tabs>
          <w:tab w:leader="none" w:pos="2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Investors shall have paid in full its purchase price for the Securities to the Company.</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p>
      <w:pPr>
        <w:ind w:left="644"/>
        <w:spacing w:after="0"/>
        <w:tabs>
          <w:tab w:leader="none" w:pos="14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Termination of Obligations to Effect Closing; Effects</w:t>
      </w:r>
      <w:r>
        <w:rPr>
          <w:rFonts w:ascii="Arial" w:cs="Arial" w:eastAsia="Arial" w:hAnsi="Arial"/>
          <w:sz w:val="16"/>
          <w:szCs w:val="16"/>
          <w:color w:val="auto"/>
        </w:rPr>
        <w:t>.</w:t>
      </w:r>
    </w:p>
    <w:p>
      <w:pPr>
        <w:spacing w:after="0" w:line="225" w:lineRule="exact"/>
        <w:rPr>
          <w:sz w:val="20"/>
          <w:szCs w:val="20"/>
          <w:color w:val="auto"/>
        </w:rPr>
      </w:pPr>
    </w:p>
    <w:p>
      <w:pPr>
        <w:ind w:left="2284" w:hanging="988"/>
        <w:spacing w:after="0"/>
        <w:tabs>
          <w:tab w:leader="none" w:pos="22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obligations of the Company, on the one hand, and the Investors, on the other hand, to effect the Closing shall</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terminate as follows:</w:t>
      </w:r>
    </w:p>
    <w:p>
      <w:pPr>
        <w:spacing w:after="0" w:line="210" w:lineRule="exact"/>
        <w:rPr>
          <w:rFonts w:ascii="Arial" w:cs="Arial" w:eastAsia="Arial" w:hAnsi="Arial"/>
          <w:sz w:val="16"/>
          <w:szCs w:val="16"/>
          <w:color w:val="auto"/>
        </w:rPr>
      </w:pPr>
    </w:p>
    <w:p>
      <w:pPr>
        <w:jc w:val="both"/>
        <w:ind w:left="1304" w:firstLine="640"/>
        <w:spacing w:after="0" w:line="342" w:lineRule="auto"/>
        <w:tabs>
          <w:tab w:leader="none" w:pos="2927" w:val="left"/>
        </w:tabs>
        <w:numPr>
          <w:ilvl w:val="1"/>
          <w:numId w:val="22"/>
        </w:numPr>
        <w:rPr>
          <w:rFonts w:ascii="Arial" w:cs="Arial" w:eastAsia="Arial" w:hAnsi="Arial"/>
          <w:sz w:val="16"/>
          <w:szCs w:val="16"/>
          <w:color w:val="auto"/>
        </w:rPr>
      </w:pPr>
      <w:r>
        <w:rPr>
          <w:rFonts w:ascii="Arial" w:cs="Arial" w:eastAsia="Arial" w:hAnsi="Arial"/>
          <w:sz w:val="16"/>
          <w:szCs w:val="16"/>
          <w:color w:val="auto"/>
        </w:rPr>
        <w:t>Upon the mutual written consent of the Company and Investors that agreed to purchase at least two-thirds of the Securities on an as-converted- or as-exchanged-to Ordinary Shares basis to be issued and sold pursuant to this Agreement;</w:t>
      </w:r>
    </w:p>
    <w:p>
      <w:pPr>
        <w:spacing w:after="0" w:line="123" w:lineRule="exact"/>
        <w:rPr>
          <w:rFonts w:ascii="Arial" w:cs="Arial" w:eastAsia="Arial" w:hAnsi="Arial"/>
          <w:sz w:val="16"/>
          <w:szCs w:val="16"/>
          <w:color w:val="auto"/>
        </w:rPr>
      </w:pPr>
    </w:p>
    <w:p>
      <w:pPr>
        <w:ind w:left="1304" w:firstLine="640"/>
        <w:spacing w:after="0" w:line="277" w:lineRule="auto"/>
        <w:tabs>
          <w:tab w:leader="none" w:pos="28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By the Company if any of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have become incapable of fulfillment, and shall not have been waived by the Company;</w:t>
      </w:r>
    </w:p>
    <w:p>
      <w:pPr>
        <w:spacing w:after="0" w:line="170" w:lineRule="exact"/>
        <w:rPr>
          <w:rFonts w:ascii="Arial" w:cs="Arial" w:eastAsia="Arial" w:hAnsi="Arial"/>
          <w:sz w:val="18"/>
          <w:szCs w:val="18"/>
          <w:color w:val="auto"/>
        </w:rPr>
      </w:pPr>
    </w:p>
    <w:p>
      <w:pPr>
        <w:ind w:left="1304" w:right="20" w:firstLine="640"/>
        <w:spacing w:after="0" w:line="277" w:lineRule="auto"/>
        <w:tabs>
          <w:tab w:leader="none" w:pos="27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By an Investor (with respect to itself only) if any of the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have become incapable of fulfillment, and shall not have been waived by such Investor; or</w:t>
      </w:r>
    </w:p>
    <w:p>
      <w:pPr>
        <w:spacing w:after="0" w:line="170" w:lineRule="exact"/>
        <w:rPr>
          <w:rFonts w:ascii="Arial" w:cs="Arial" w:eastAsia="Arial" w:hAnsi="Arial"/>
          <w:sz w:val="18"/>
          <w:szCs w:val="18"/>
          <w:color w:val="auto"/>
        </w:rPr>
      </w:pPr>
    </w:p>
    <w:p>
      <w:pPr>
        <w:jc w:val="both"/>
        <w:ind w:left="1304" w:firstLine="640"/>
        <w:spacing w:after="0" w:line="263" w:lineRule="auto"/>
        <w:tabs>
          <w:tab w:leader="none" w:pos="29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By either the Company or any Investor (with respect to itself only) if the Closing has not occurred on or prior to July 31, 2020 (so long as the party seeking to terminate has delivered the deliverables required to be delivered by it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as applicable);</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provided, however, that, except in the case of clauses (ii) and (iii)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87" w:lineRule="exact"/>
        <w:rPr>
          <w:sz w:val="20"/>
          <w:szCs w:val="20"/>
          <w:color w:val="auto"/>
        </w:rPr>
      </w:pPr>
    </w:p>
    <w:p>
      <w:pPr>
        <w:jc w:val="both"/>
        <w:ind w:left="644" w:firstLine="652"/>
        <w:spacing w:after="0" w:line="296" w:lineRule="auto"/>
        <w:tabs>
          <w:tab w:leader="none" w:pos="22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 the event of termination by the Company or any Investor of its obligations to effect the Closing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written notice thereof shall be given to the other Investors by the Company and the other Investors shall have the right to terminate their obligations to effect the Closing upon written notice to the Company. Nothing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be deemed to release any party from any liability for any breach by such party of the terms and provisions of the Transaction Documents or to impair the right of any party to compel specific performance by any other party of its obligations under the Transaction Documents.</w:t>
      </w:r>
    </w:p>
    <w:p>
      <w:pPr>
        <w:spacing w:after="0" w:line="161" w:lineRule="exact"/>
        <w:rPr>
          <w:rFonts w:ascii="Arial" w:cs="Arial" w:eastAsia="Arial" w:hAnsi="Arial"/>
          <w:sz w:val="16"/>
          <w:szCs w:val="16"/>
          <w:color w:val="auto"/>
        </w:rPr>
      </w:pPr>
    </w:p>
    <w:p>
      <w:pPr>
        <w:ind w:left="944" w:hanging="944"/>
        <w:spacing w:after="0"/>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Covenants and Agreements of the Company</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30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Conflicting Agreements</w:t>
      </w:r>
      <w:r>
        <w:rPr>
          <w:rFonts w:ascii="Arial" w:cs="Arial" w:eastAsia="Arial" w:hAnsi="Arial"/>
          <w:sz w:val="17"/>
          <w:szCs w:val="17"/>
          <w:color w:val="auto"/>
        </w:rPr>
        <w:t>. The Company will not take any action, enter into any agreement or make any commitment that would conflict or interfere in any material respect with the Company’s obligations to the Investors under the Transaction Documents.</w:t>
      </w:r>
    </w:p>
    <w:p>
      <w:pPr>
        <w:spacing w:after="0" w:line="146"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Nasdaq Listing</w:t>
      </w:r>
      <w:r>
        <w:rPr>
          <w:rFonts w:ascii="Arial" w:cs="Arial" w:eastAsia="Arial" w:hAnsi="Arial"/>
          <w:sz w:val="18"/>
          <w:szCs w:val="18"/>
          <w:color w:val="auto"/>
        </w:rPr>
        <w:t>. The Company will use reasonable best efforts to continue the listing and trading of the ADSs on Nasdaq and, in accordance therewith, will use reasonable best efforts to comply in all material respects with the Company’s reporting, filing and other obligations under the rules and regulations of Nasdaq.</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 w:name="page30"/>
    <w:bookmarkEnd w:id="29"/>
    <w:p>
      <w:pPr>
        <w:jc w:val="both"/>
        <w:ind w:firstLine="648"/>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Admission to AIM</w:t>
      </w:r>
      <w:r>
        <w:rPr>
          <w:rFonts w:ascii="Arial" w:cs="Arial" w:eastAsia="Arial" w:hAnsi="Arial"/>
          <w:sz w:val="18"/>
          <w:szCs w:val="18"/>
          <w:color w:val="auto"/>
        </w:rPr>
        <w:t>. The Company will use reasonable best efforts to procure that the Private Placement Shares are admitted to trading on AIM by 8:00 am (UK time) on the Business Day following the Closing Date, including without limitation, maintaining the admission of such Private Placement Shares to trading on AIM until such Private Placement Shares are so admitted and promptly providing all information and documents, paying all relevant fees, giving all undertakings and doing all acts and things that may be reasonably required or that may be necessary in connection with the application for such admission of the Private Placement Shares to trading on AIM; to make the appropriate announcements through a regulatory information service of the issue of the Securities and the admission of the Private Placement Shares in accordance with the AIM Rules for Companies, MAR and the DTRs; and otherwise to comply with the AIM Rules for Companies, MAR, the Prospectus Regulation, the Prospectus Regulation Rules and the DTRs (to the extent applicable to the Company) in relation to the arrangements contemplated by this Agreement.</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Reporting Status</w:t>
      </w:r>
      <w:r>
        <w:rPr>
          <w:rFonts w:ascii="Arial" w:cs="Arial" w:eastAsia="Arial" w:hAnsi="Arial"/>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otherwise permit such termination.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7.2</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Removal of Legends.</w:t>
      </w:r>
    </w:p>
    <w:p>
      <w:pPr>
        <w:spacing w:after="0" w:line="225" w:lineRule="exact"/>
        <w:rPr>
          <w:sz w:val="20"/>
          <w:szCs w:val="20"/>
          <w:color w:val="auto"/>
        </w:rPr>
      </w:pPr>
    </w:p>
    <w:p>
      <w:pPr>
        <w:jc w:val="both"/>
        <w:ind w:left="640" w:firstLine="652"/>
        <w:spacing w:after="0" w:line="291" w:lineRule="auto"/>
        <w:tabs>
          <w:tab w:leader="none" w:pos="22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connection with any sale, assignment, transfer or other disposition of the Private Placement ADSs by an Investor pursuant to Rule 144 or pursuant to any other exemption under the 1933 Act such that the purchaser acquires freely tradable ADSs and upon compliance by the Investor with the requirements of this Agreement, if requested by the Investor, the Company shall cause the Depositary to remove any restrictive legends related to the book entry account holding such ADSs and make a new, unlegended entry for such book entry ADSs sold or disposed of without restrictive legends within two (2) Trading Days of any such request therefor from such Investor, provided that the Company and the Depositary have timely received from the Investor customary representations and other documentation reasonably acceptable to the Company and the Depositary in connection therewith.</w:t>
      </w:r>
    </w:p>
    <w:p>
      <w:pPr>
        <w:spacing w:after="0" w:line="38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0" w:name="page31"/>
    <w:bookmarkEnd w:id="30"/>
    <w:p>
      <w:pPr>
        <w:jc w:val="both"/>
        <w:ind w:left="640" w:firstLine="652"/>
        <w:spacing w:after="0" w:line="268" w:lineRule="auto"/>
        <w:tabs>
          <w:tab w:leader="none" w:pos="23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Subject to receipt from the Investor by the Company and the Depositary of customary representations and other documentation reasonably acceptable to the Company and the Depositary in connection therewith, upon the earliest of such time as the Private Placement ADSs (i) have been sold pursuant to Rule 144 or (ii) are eligible for resale under Rule 144(b)(1) or any successor provision, the Company shall, in accordance with the provisions of this </w:t>
      </w:r>
      <w:r>
        <w:rPr>
          <w:rFonts w:ascii="Arial" w:cs="Arial" w:eastAsia="Arial" w:hAnsi="Arial"/>
          <w:sz w:val="17"/>
          <w:szCs w:val="17"/>
          <w:u w:val="single" w:color="auto"/>
          <w:color w:val="auto"/>
        </w:rPr>
        <w:t>Section 7.6(b)</w:t>
      </w:r>
      <w:r>
        <w:rPr>
          <w:rFonts w:ascii="Arial" w:cs="Arial" w:eastAsia="Arial" w:hAnsi="Arial"/>
          <w:sz w:val="17"/>
          <w:szCs w:val="17"/>
          <w:color w:val="auto"/>
        </w:rPr>
        <w:t xml:space="preserve"> and within two (2) Trading Days of any request therefor from an Investor accompanied by such customary and reasonably acceptable documentation referred to above, (A) deliver to the Depositary irrevocable instructions that the Depositary shall make a new, unlegended entry for such book entry ADSs, and (B) cause its counsel, subject to receipt by such counsel of such customary representations and other documentation reasonably requested by such counsel, to deliver to the Depositary one or more opinions to the effect that the removal of such legends in such circumstances may be effected under the 1933 Act if required by the Depositary to effect the removal of the legend in accordance with the provisions of this Agreement. ADSs subject to legend removal hereunder may be transmitted by the Depositary to the Investor by crediting the account of the Investor’s prime broker with the DTC System as directed by such Investor. The Company shall be responsible for the fees of the Depositary for which it is responsible in accordance with the Deposit Agreement and the Letter Agreement and all DTC fees associated with such issuance.</w:t>
      </w:r>
    </w:p>
    <w:p>
      <w:pPr>
        <w:spacing w:after="0" w:line="186" w:lineRule="exact"/>
        <w:rPr>
          <w:rFonts w:ascii="Arial" w:cs="Arial" w:eastAsia="Arial" w:hAnsi="Arial"/>
          <w:sz w:val="17"/>
          <w:szCs w:val="17"/>
          <w:color w:val="auto"/>
        </w:rPr>
      </w:pPr>
    </w:p>
    <w:p>
      <w:pPr>
        <w:jc w:val="both"/>
        <w:ind w:left="640" w:firstLine="652"/>
        <w:spacing w:after="0" w:line="270" w:lineRule="auto"/>
        <w:tabs>
          <w:tab w:leader="none" w:pos="21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Investor, severally and not jointly with the other Investors, agrees with the Company (i) that such Investor will sell any Private Placement ADSs or any ADSs issued upon deposit of the Redesignated Shares (the “</w:t>
      </w:r>
      <w:r>
        <w:rPr>
          <w:rFonts w:ascii="Arial" w:cs="Arial" w:eastAsia="Arial" w:hAnsi="Arial"/>
          <w:sz w:val="17"/>
          <w:szCs w:val="17"/>
          <w:u w:val="single" w:color="auto"/>
          <w:color w:val="auto"/>
        </w:rPr>
        <w:t>Redesignated ADSs</w:t>
      </w:r>
      <w:r>
        <w:rPr>
          <w:rFonts w:ascii="Arial" w:cs="Arial" w:eastAsia="Arial" w:hAnsi="Arial"/>
          <w:sz w:val="17"/>
          <w:szCs w:val="17"/>
          <w:color w:val="auto"/>
        </w:rPr>
        <w:t>”) pursuant to either the registration requirements of the 1933 Act, including any applicable prospectus delivery requirements, or an exemption therefrom, (ii) that if the Private Placement ADSs or any Redesignated ADSs are sold pursuant to a registration statement, they will be sold in compliance with the plan of distribution set forth therein and (iii) that if, after the effective date of the registration statement covering the resale of the Private Placement ADSs or Redesignated ADSs, such registration statement is not then effective and the Company has provided written notice to such Investor to that effect, such Investor will sell such Investor’s Private Placement ADSs or Redesignated ADSs only in compliance with an exemption from the registration requirements of the 1933 Act during the period such registration statement is not effective.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Subsequent Equity Sales</w:t>
      </w:r>
      <w:r>
        <w:rPr>
          <w:rFonts w:ascii="Arial" w:cs="Arial" w:eastAsia="Arial" w:hAnsi="Arial"/>
          <w:sz w:val="17"/>
          <w:szCs w:val="17"/>
          <w:color w:val="auto"/>
        </w:rPr>
        <w:t>. From the date hereof until ninety (90) days after the Closing Date (the “</w:t>
      </w:r>
      <w:r>
        <w:rPr>
          <w:rFonts w:ascii="Arial" w:cs="Arial" w:eastAsia="Arial" w:hAnsi="Arial"/>
          <w:sz w:val="17"/>
          <w:szCs w:val="17"/>
          <w:u w:val="single" w:color="auto"/>
          <w:color w:val="auto"/>
        </w:rPr>
        <w:t>Lock-Up Period</w:t>
      </w:r>
      <w:r>
        <w:rPr>
          <w:rFonts w:ascii="Arial" w:cs="Arial" w:eastAsia="Arial" w:hAnsi="Arial"/>
          <w:sz w:val="17"/>
          <w:szCs w:val="17"/>
          <w:color w:val="auto"/>
        </w:rPr>
        <w:t xml:space="preserve">”), without the consent of the Placement Agent, neither the Company nor any subsidiary shall (i) issue, enter into any agreement to issue or announce the issuance or proposed issuance of any Ordinary Shares or Ordinary Share Equivalents or (ii) file any registration statement, or any amendment or supplement thereto, other than pursuant to its obligations under the Registration Rights Agreement and that certain Registration Rights Agreement, dated as of July 29, 2016, by and among the Company and the investors part thereto. Notwithstanding the foregoing,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shall not apply in respect of an Exempt Issuance. For purposes of this </w:t>
      </w:r>
      <w:r>
        <w:rPr>
          <w:rFonts w:ascii="Arial" w:cs="Arial" w:eastAsia="Arial" w:hAnsi="Arial"/>
          <w:sz w:val="17"/>
          <w:szCs w:val="17"/>
          <w:u w:val="single" w:color="auto"/>
          <w:color w:val="auto"/>
        </w:rPr>
        <w:t>Section 7.7</w:t>
      </w:r>
      <w:r>
        <w:rPr>
          <w:rFonts w:ascii="Arial" w:cs="Arial" w:eastAsia="Arial" w:hAnsi="Arial"/>
          <w:sz w:val="17"/>
          <w:szCs w:val="17"/>
          <w:color w:val="auto"/>
        </w:rPr>
        <w:t>, an “</w:t>
      </w:r>
      <w:r>
        <w:rPr>
          <w:rFonts w:ascii="Arial" w:cs="Arial" w:eastAsia="Arial" w:hAnsi="Arial"/>
          <w:sz w:val="17"/>
          <w:szCs w:val="17"/>
          <w:u w:val="single" w:color="auto"/>
          <w:color w:val="auto"/>
        </w:rPr>
        <w:t>Exempt Issuance</w:t>
      </w:r>
      <w:r>
        <w:rPr>
          <w:rFonts w:ascii="Arial" w:cs="Arial" w:eastAsia="Arial" w:hAnsi="Arial"/>
          <w:sz w:val="17"/>
          <w:szCs w:val="17"/>
          <w:color w:val="auto"/>
        </w:rPr>
        <w:t>” means the issuance of (a) the Securities, Private Placement Shares, Redesignated Shares and Redesignated ADSs; (b) Ordinary Shares (including Ordinary Shares in the form of ADSs) or options or other awards to employees, officers or directors or consultants, advisors, or independent contractors of the Company pursuant to any share or option plan described in the SEC Filings; provided that any such securities carry no registration rights that require or permit the filing of any registration statement in connection therewith during the Lock-Up Period and (c) Ordinary Shares (including Ordinary Shares in the form of ADSs) upon the exercise or exchange of or conversion of securities exercisable or exchangeable for or convertible into Ordinary Shares or ADSs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otherwise in accordance with their existing respective terms on the date of this Agreement) or to extend the term of such securities.</w:t>
      </w:r>
    </w:p>
    <w:p>
      <w:pPr>
        <w:spacing w:after="0" w:line="3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jc w:val="both"/>
        <w:ind w:firstLine="648"/>
        <w:spacing w:after="0" w:line="275"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Fees</w:t>
      </w:r>
      <w:r>
        <w:rPr>
          <w:rFonts w:ascii="Arial" w:cs="Arial" w:eastAsia="Arial" w:hAnsi="Arial"/>
          <w:sz w:val="17"/>
          <w:szCs w:val="17"/>
          <w:color w:val="auto"/>
        </w:rPr>
        <w:t>. The Company shall be responsible for the payment of any placement agent’s fees, financial advisory fees, or broker’s commissions (other than for Persons engaged by any Investor) relating to or arising out of the transactions contemplated hereby, including, without limitation, any fees or commissions payable to the Placement Agent and such other placement agents as the Company may engage in connection with the transactions contemplated by this Agreement, and any value added tax for which the Investors are liable to account in respect of any of the foregoing (upon production of a valid value added tax invoice in respect thereof).</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will indemnify and hold harmless the Placement Agent against any Transfer Taxes, including any interest and penalties, which arise in connection with any of the transactions contemplated by this Agreement (but for the avoidance of doubt, not including any transfers of, or agreements to transfer, Securities or interests in Securities subsequent to the purchase of such Securities by the Investors pursuant to this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net proceeds of the sale of the Securities hereunder shall be used by the Company to fund the development of the Company’s product candidate, ensifentrine, as well as for working capital and other general corporate purposes.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shall promptly after the end of each taxable year, and in any event no later than the date that is 60 days after the end of the taxable year of the Company, determine the Company’s and each subsidiary’s status as a CFC or a PFIC and inform the Investors of its determination. If the Company determines that it or any subsidiary is a CFC, the Company shall promptly inform the Investors of their pro rata share of the Company’s or subsidiary’s, as applicable, “Subpart F income” and all information required for the Investor to calculate its “global intangible low-taxed income” in respect of the Investor’s ownership of the Company and its subsidiaries (as defined in the Code). The Company further agrees to use commercially reasonable efforts to provide to each Investor such information and such other assistance as such Investor may reasonably request in order for the Investor to file any required tax returns, information tax returns or otherwise comply with applicable tax laws. If the Company determines that it or any subsidiary is a PFIC, the Company shall promptly, and in any event no later than the date that is 60 days after the end of the taxable year of the Company, provide annual financial information to the Investors in the “PFIC Annual Information Statement” (within the meaning of Treasury Regulations section 1.1295-1(g)) and shall provide the Investors with access to such other Company information as may be reasonably required for purposes of filing U.S. federal income tax returns and any other required reports in connected with any such “Qualified Electing Fund” election.</w:t>
      </w:r>
    </w:p>
    <w:p>
      <w:pPr>
        <w:spacing w:after="0" w:line="39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2" w:name="page33"/>
    <w:bookmarkEnd w:id="32"/>
    <w:p>
      <w:pPr>
        <w:jc w:val="both"/>
        <w:ind w:firstLine="656"/>
        <w:spacing w:after="0" w:line="253" w:lineRule="auto"/>
        <w:tabs>
          <w:tab w:leader="none" w:pos="167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Short Sales and Confidentiality After the Date Hereof</w:t>
      </w:r>
      <w:r>
        <w:rPr>
          <w:rFonts w:ascii="Arial" w:cs="Arial" w:eastAsia="Arial" w:hAnsi="Arial"/>
          <w:sz w:val="18"/>
          <w:szCs w:val="18"/>
          <w:color w:val="auto"/>
        </w:rPr>
        <w:t>. Each Investor covenants that neither it nor any Affiliates acting on its behalf or pursuant to any understanding with it will execute any Short Sales during the period from the date hereof until the earlier of such time as (i) the transactions contemplated by this Agreement are first publicly announced or (ii) this Agreement is terminated in full. Each Investor covenants that until such time as the transactions contemplated by this Agreement are publicly disclosed by the Company, such Investor will maintain the confidentiality of all disclosures made to it in connection with this transaction (including the existence and terms of this transaction), other than to such Person’s outside attorney, accountant, auditor or investment advisor only to the extent necessary to permit evaluation of the investment, and the performance of the necessary or required tax, accounting, financial, legal, regulatory or administrative tasks and services, and other than as may be required by law or regulation. Each Investor understands and acknowledges that the SEC currently takes the position that coverage of Short Sales “against the box” prior to effectiveness of a resale registration statement with securities included in such registration statement would be a violation of Section 5 of the 1933 Act, as set forth in Item 239.10 of the Securities Act Rules Compliance and Disclosure Interpretations compiled by the Office of Chief Counsel, Division of Corporation Finance.</w:t>
      </w:r>
    </w:p>
    <w:p>
      <w:pPr>
        <w:spacing w:after="0" w:line="191" w:lineRule="exact"/>
        <w:rPr>
          <w:rFonts w:ascii="Arial" w:cs="Arial" w:eastAsia="Arial" w:hAnsi="Arial"/>
          <w:sz w:val="18"/>
          <w:szCs w:val="18"/>
          <w:color w:val="auto"/>
        </w:rPr>
      </w:pPr>
    </w:p>
    <w:p>
      <w:pPr>
        <w:ind w:left="1600" w:hanging="944"/>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Survival and Indemnification</w:t>
      </w:r>
      <w:r>
        <w:rPr>
          <w:rFonts w:ascii="Arial" w:cs="Arial" w:eastAsia="Arial" w:hAnsi="Arial"/>
          <w:sz w:val="18"/>
          <w:szCs w:val="18"/>
          <w:color w:val="auto"/>
        </w:rPr>
        <w:t>.</w:t>
      </w:r>
    </w:p>
    <w:p>
      <w:pPr>
        <w:spacing w:after="0" w:line="225"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contained in this Agreement shall survive the Closing of the transactions contemplated by this Agreement for the applicable statute of limitations.</w:t>
      </w:r>
    </w:p>
    <w:p>
      <w:pPr>
        <w:spacing w:after="0" w:line="170"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agrees to indemnify and hold harmless each Investor and its Affiliates, and their respective directors, officers, trustees, members, managers, employees, investment advisers and agents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such Indemnified Party may become subject as a result of any breach of representation, warranty, covenant or agreement made by or to be performed on the part of the Company under the Transaction Documents, and will reimburse any such Indemnified Party for all such amounts as they are incurred by such Indemnified Party, except to the extent such Losses resulted from such Indemnified Party’s gross negligence, fraud or willful misconduct or to the extent such Losses are attributable to an Investor’s breach of a representation, warranty, covenant or agreement made by or to be performed on the part of such Investor under the Transaction Documents. To the extent that the foregoing undertaking by the Company may be unenforceable for any reason, the Company shall contribute to the amount paid or payable by such Indemnified Party as a result of such Losses as is appropriate to reflect the relative fault of the Company, on the one hand, and such Indemnified Party, on the other hand.</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left="4" w:firstLine="648"/>
        <w:spacing w:after="0" w:line="26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Any person entitled to indemnification or contribution hereunder shall (i) give prompt written notice to the indemnifying party of any claim with respect to which it seeks indemnification or contribution and (ii) permit such indemnifying party to assume the defense of such claim with counsel reasonably satisfactory to the indemnified party; provided that any person entitled to indemnification or contribution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consent to entry of any judgment or enter into any settlement.</w:t>
      </w:r>
    </w:p>
    <w:p>
      <w:pPr>
        <w:spacing w:after="0" w:line="191" w:lineRule="exact"/>
        <w:rPr>
          <w:sz w:val="20"/>
          <w:szCs w:val="20"/>
          <w:color w:val="auto"/>
        </w:rPr>
      </w:pPr>
    </w:p>
    <w:p>
      <w:pPr>
        <w:ind w:left="864" w:hanging="864"/>
        <w:spacing w:after="0"/>
        <w:tabs>
          <w:tab w:leader="none" w:pos="8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may not be assigned by a party hereto without the prior written consent of the Company or the Investor, as applicable, provided, however, that an Investor may assign its rights and delegate its duties hereunder in whole or in part to an Affiliate or to a third party acquiring some or all of its equity in a transaction complying with applicable securities laws without the prior written consent of the Company,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ADSs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“ADSs”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39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4" w:name="page35"/>
    <w:bookmarkEnd w:id="34"/>
    <w:p>
      <w:pPr>
        <w:jc w:val="both"/>
        <w:ind w:left="4" w:firstLine="648"/>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Notices</w:t>
      </w:r>
      <w:r>
        <w:rPr>
          <w:rFonts w:ascii="Arial" w:cs="Arial" w:eastAsia="Arial" w:hAnsi="Arial"/>
          <w:sz w:val="16"/>
          <w:szCs w:val="16"/>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w:t>
      </w:r>
    </w:p>
    <w:p>
      <w:pPr>
        <w:jc w:val="both"/>
        <w:ind w:left="4" w:hanging="4"/>
        <w:spacing w:after="0" w:line="252" w:lineRule="auto"/>
        <w:tabs>
          <w:tab w:leader="none" w:pos="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sent, if sent by electronic mail or facsimile during normal business hours of the recipient, and if not sent during normal business hours, then on the next Business Day,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(10) days’ advance written notice to the other party:</w:t>
      </w:r>
    </w:p>
    <w:p>
      <w:pPr>
        <w:spacing w:after="0" w:line="19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London SE1 2RE UK</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David Zaccardelli, Chief Executive Officer</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 david.zaccardelli@veronapharma.com</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Latham &amp; Watkins LLP</w:t>
      </w:r>
    </w:p>
    <w:p>
      <w:pPr>
        <w:ind w:left="644"/>
        <w:spacing w:after="0" w:line="202" w:lineRule="auto"/>
        <w:rPr>
          <w:sz w:val="20"/>
          <w:szCs w:val="20"/>
          <w:color w:val="auto"/>
        </w:rPr>
      </w:pPr>
      <w:r>
        <w:rPr>
          <w:rFonts w:ascii="Arial" w:cs="Arial" w:eastAsia="Arial" w:hAnsi="Arial"/>
          <w:sz w:val="18"/>
          <w:szCs w:val="18"/>
          <w:color w:val="auto"/>
        </w:rPr>
        <w:t>200 Clarendon Street,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Boston, Massachusetts 02116</w:t>
      </w:r>
    </w:p>
    <w:p>
      <w:pPr>
        <w:spacing w:after="0" w:line="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Attention: Peter N. Handrinos</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Fax: 617-948-6001</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Email: Peter.Handrinos@lw.com</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to the Investors: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Only to the contact information set forth on the signature pages hereto.</w:t>
      </w: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35" w:name="page36"/>
    <w:bookmarkEnd w:id="35"/>
    <w:p>
      <w:pPr>
        <w:jc w:val="both"/>
        <w:ind w:left="4" w:firstLine="648"/>
        <w:spacing w:after="0" w:line="31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Expenses</w:t>
      </w:r>
      <w:r>
        <w:rPr>
          <w:rFonts w:ascii="Arial" w:cs="Arial" w:eastAsia="Arial" w:hAnsi="Arial"/>
          <w:sz w:val="16"/>
          <w:szCs w:val="16"/>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 The Company shall pay all expenses of the Depositary in connection with the issuance of the Private Placement ADSs.</w:t>
      </w:r>
    </w:p>
    <w:p>
      <w:pPr>
        <w:spacing w:after="0" w:line="149" w:lineRule="exact"/>
        <w:rPr>
          <w:sz w:val="20"/>
          <w:szCs w:val="20"/>
          <w:color w:val="auto"/>
        </w:rPr>
      </w:pPr>
    </w:p>
    <w:p>
      <w:pPr>
        <w:jc w:val="both"/>
        <w:ind w:left="4" w:firstLine="648"/>
        <w:spacing w:after="0" w:line="293"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Gross Up</w:t>
      </w:r>
      <w:r>
        <w:rPr>
          <w:rFonts w:ascii="Arial" w:cs="Arial" w:eastAsia="Arial" w:hAnsi="Arial"/>
          <w:sz w:val="16"/>
          <w:szCs w:val="16"/>
          <w:color w:val="auto"/>
        </w:rPr>
        <w:t>. All payments made by the Company under this Agreement, if any, will be made without withholding or deduction for or on account of any present or future taxes, duties, assessments or governmental charges of whatever nature (other than taxes on net income) imposed or levied by any jurisdiction or any political subdivision or any taxing authority thereof or therein unless the Company is or becomes required by law to withhold or deduct such taxes, duties, assessments or other governmental charges. In such event, the Company shall pay such additional amounts as will result, after such withholding or deduction, in the receipt by the Placement Agent and each person controlling the Placement Agent, as the case may be, of the amounts that would otherwise have been received had no withholding or deduction been made.</w:t>
      </w:r>
    </w:p>
    <w:p>
      <w:pPr>
        <w:spacing w:after="0" w:line="164"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that signed such amendment or waiver and</w:t>
      </w:r>
    </w:p>
    <w:p>
      <w:pPr>
        <w:spacing w:after="0" w:line="2" w:lineRule="exact"/>
        <w:rPr>
          <w:sz w:val="20"/>
          <w:szCs w:val="20"/>
          <w:color w:val="auto"/>
        </w:rPr>
      </w:pPr>
    </w:p>
    <w:p>
      <w:pPr>
        <w:ind w:left="4" w:hanging="4"/>
        <w:spacing w:after="0" w:line="260" w:lineRule="auto"/>
        <w:tabs>
          <w:tab w:leader="none" w:pos="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following the Closing, each holder of any Securities purchased under this Agreement at the time outstanding, and in each case, each future holder of all such Securities and the Company.</w:t>
      </w:r>
    </w:p>
    <w:p>
      <w:pPr>
        <w:spacing w:after="0" w:line="185" w:lineRule="exact"/>
        <w:rPr>
          <w:sz w:val="20"/>
          <w:szCs w:val="20"/>
          <w:color w:val="auto"/>
        </w:rPr>
      </w:pPr>
    </w:p>
    <w:p>
      <w:pPr>
        <w:jc w:val="both"/>
        <w:ind w:left="4" w:firstLine="648"/>
        <w:spacing w:after="0" w:line="267"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Publicity</w:t>
      </w:r>
      <w:r>
        <w:rPr>
          <w:rFonts w:ascii="Arial" w:cs="Arial" w:eastAsia="Arial" w:hAnsi="Arial"/>
          <w:sz w:val="17"/>
          <w:szCs w:val="17"/>
          <w:color w:val="auto"/>
        </w:rPr>
        <w:t>. Except as set forth below, no public release or announcement concerning the transactions contemplated hereby shall be issued by any Investor without the prior consent of the Company, except as such release or announcement may be required by law or the applicable rules or regulations of any securities exchange or securities market, in which case such Investor shall (where reasonably practicable) allow the Company reasonable time to comment on such release or announcement in advance of such issuance. Notwithstanding the foregoing, each Investor may identify the Company, such Investor’s security holdings in the Company and the value of such holdings in accordance with applicable investment reporting and disclosure regulations or internal policies without prior notice to or consent from the Company (including, for the avoidance of doubt, filings pursuant to Sections 13 and 16 of the 1934 Act, the AIM Rules for Companies and the DTRs).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By 9:00 a.m. (New York City time) on the Business Day immediately following the date this Agreement is executed, the Company shall issue a press release (which shall also be released via a regulatory information service in the UK) disclosing all material terms of the transactions contemplated by this Agreement and any other material nonpublic information and/or inside information (as defined in Article 7 of MAR) that the Company may have provided any Investor at any time prior to the filing of such press release (the “</w:t>
      </w:r>
      <w:r>
        <w:rPr>
          <w:rFonts w:ascii="Arial" w:cs="Arial" w:eastAsia="Arial" w:hAnsi="Arial"/>
          <w:sz w:val="17"/>
          <w:szCs w:val="17"/>
          <w:u w:val="single" w:color="auto"/>
          <w:color w:val="auto"/>
        </w:rPr>
        <w:t>Press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Release</w:t>
      </w:r>
      <w:r>
        <w:rPr>
          <w:rFonts w:ascii="Arial" w:cs="Arial" w:eastAsia="Arial" w:hAnsi="Arial"/>
          <w:sz w:val="17"/>
          <w:szCs w:val="17"/>
          <w:color w:val="auto"/>
        </w:rPr>
        <w:t>”). From and after the issuance of the Press Release, no Investor shall be in possession of any material nonpublic information and/or inside information received from the Company, its subsidiaries or any of their respective officers, directors, employees or agents (including the Placement Agent). No later than 5:30 p.m. (New York City time) on the first Business Day following the Closing Date, the Company will file a Report on Form 6-K attaching the press release described in the foregoing sentence as well as copies of the Transaction Documents. In addition, the Company will make such other filings and notices in the manner and time required by the SEC or Nasdaq. The Company shall not, and shall cause each of its officers, directors, employees and agents not to, provide any Investor with any such material nonpublic information and/or inside information (as defined in Article 7 of MAR) regarding the Company from and after the filing of the Press Release without the express prior written consent of such Investor.</w:t>
      </w: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 w:name="page37"/>
    <w:bookmarkEnd w:id="36"/>
    <w:p>
      <w:pPr>
        <w:jc w:val="both"/>
        <w:ind w:firstLine="648"/>
        <w:spacing w:after="0" w:line="275"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xml:space="preserve">. The Placement Agent is an intended third-party beneficiary of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and the representations and warranties of the Company and of each Investor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w:t>
      </w:r>
      <w:r>
        <w:rPr>
          <w:rFonts w:ascii="Arial" w:cs="Arial" w:eastAsia="Arial" w:hAnsi="Arial"/>
          <w:sz w:val="17"/>
          <w:szCs w:val="17"/>
          <w:color w:val="auto"/>
        </w:rPr>
        <w:t>, respectively, of this Agreement.</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signature pages, exhibits, and the other Transaction Documents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7" w:name="page38"/>
    <w:bookmarkEnd w:id="37"/>
    <w:p>
      <w:pPr>
        <w:jc w:val="both"/>
        <w:ind w:firstLine="648"/>
        <w:spacing w:after="0" w:line="26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Independent Nature of Investors’ Obligations and Rights</w:t>
      </w:r>
      <w:r>
        <w:rPr>
          <w:rFonts w:ascii="Arial" w:cs="Arial" w:eastAsia="Arial" w:hAnsi="Arial"/>
          <w:sz w:val="17"/>
          <w:szCs w:val="17"/>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the Securities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Securities or enforcing its rights under the Transaction Documents. Each Investor shall be entitled to independently protect and enforce its rights, including, without limitation, the rights arising out of the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3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Exculpation of the Placement Agent</w:t>
      </w:r>
      <w:r>
        <w:rPr>
          <w:rFonts w:ascii="Arial" w:cs="Arial" w:eastAsia="Arial" w:hAnsi="Arial"/>
          <w:sz w:val="18"/>
          <w:szCs w:val="18"/>
          <w:color w:val="auto"/>
        </w:rPr>
        <w:t xml:space="preserve">. Each party acknowledges that it has read the notice available at </w:t>
      </w:r>
      <w:r>
        <w:rPr>
          <w:rFonts w:ascii="Arial" w:cs="Arial" w:eastAsia="Arial" w:hAnsi="Arial"/>
          <w:sz w:val="18"/>
          <w:szCs w:val="18"/>
          <w:u w:val="single" w:color="auto"/>
          <w:color w:val="auto"/>
        </w:rPr>
        <w:t>http://www.jefferies.com/CMSFiles/Jefferies.com/files/Reg%20A%20and%20D%20Disclosure%207_2014(1).pdf</w:t>
      </w:r>
      <w:r>
        <w:rPr>
          <w:rFonts w:ascii="Arial" w:cs="Arial" w:eastAsia="Arial" w:hAnsi="Arial"/>
          <w:sz w:val="18"/>
          <w:szCs w:val="18"/>
          <w:color w:val="auto"/>
        </w:rPr>
        <w:t>. For the express benefit of the Placement Agent and its Affiliates and representatives that:</w:t>
      </w:r>
    </w:p>
    <w:p>
      <w:pPr>
        <w:spacing w:after="0" w:line="184" w:lineRule="exact"/>
        <w:rPr>
          <w:sz w:val="20"/>
          <w:szCs w:val="20"/>
          <w:color w:val="auto"/>
        </w:rPr>
      </w:pPr>
    </w:p>
    <w:p>
      <w:pPr>
        <w:jc w:val="both"/>
        <w:ind w:left="1300" w:firstLine="640"/>
        <w:spacing w:after="0" w:line="284" w:lineRule="auto"/>
        <w:tabs>
          <w:tab w:leader="none" w:pos="29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Neither the Placement Agent nor any of its Affiliates or representatives (1) has any duties or obligations other than those specifically set forth herein or in the engagement letter, dated as of July 16, 2020, between the Company and the Placement Agent (the “</w:t>
      </w:r>
      <w:r>
        <w:rPr>
          <w:rFonts w:ascii="Arial" w:cs="Arial" w:eastAsia="Arial" w:hAnsi="Arial"/>
          <w:sz w:val="16"/>
          <w:szCs w:val="16"/>
          <w:u w:val="single" w:color="auto"/>
          <w:color w:val="auto"/>
        </w:rPr>
        <w:t>Engagement Letter</w:t>
      </w:r>
      <w:r>
        <w:rPr>
          <w:rFonts w:ascii="Arial" w:cs="Arial" w:eastAsia="Arial" w:hAnsi="Arial"/>
          <w:sz w:val="16"/>
          <w:szCs w:val="16"/>
          <w:color w:val="auto"/>
        </w:rPr>
        <w:t>”);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the Transaction Documents or in connection with any of the transactions contemplated therein; or (4) shall be liable</w:t>
      </w:r>
    </w:p>
    <w:p>
      <w:pPr>
        <w:spacing w:after="0" w:line="4" w:lineRule="exact"/>
        <w:rPr>
          <w:rFonts w:ascii="Arial" w:cs="Arial" w:eastAsia="Arial" w:hAnsi="Arial"/>
          <w:sz w:val="16"/>
          <w:szCs w:val="16"/>
          <w:color w:val="auto"/>
        </w:rPr>
      </w:pPr>
    </w:p>
    <w:p>
      <w:pPr>
        <w:jc w:val="both"/>
        <w:ind w:left="1300" w:hanging="8"/>
        <w:spacing w:after="0" w:line="253" w:lineRule="auto"/>
        <w:tabs>
          <w:tab w:leader="none" w:pos="15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any action taken, suffered or omitted by any of them in good faith and reasonably believed to be authorized or within the discretion or rights or powers conferred upon it by the Transaction Documents or (y) for anything which any of them may do or refrain from doing in connection with the Transaction Document, except in each case for such party’s own gross negligence, willful misconduct or bad faith.</w:t>
      </w:r>
    </w:p>
    <w:p>
      <w:pPr>
        <w:spacing w:after="0" w:line="192" w:lineRule="exact"/>
        <w:rPr>
          <w:rFonts w:ascii="Arial" w:cs="Arial" w:eastAsia="Arial" w:hAnsi="Arial"/>
          <w:sz w:val="18"/>
          <w:szCs w:val="18"/>
          <w:color w:val="auto"/>
        </w:rPr>
      </w:pPr>
    </w:p>
    <w:p>
      <w:pPr>
        <w:jc w:val="both"/>
        <w:ind w:left="1300" w:firstLine="640"/>
        <w:spacing w:after="0" w:line="259" w:lineRule="auto"/>
        <w:tabs>
          <w:tab w:leader="none" w:pos="298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Placement Agent and its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 hereunder pursuant to the indemnification provisions set forth in the Engagement Letter.</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Tekla Funds</w:t>
      </w:r>
      <w:r>
        <w:rPr>
          <w:rFonts w:ascii="Arial" w:cs="Arial" w:eastAsia="Arial" w:hAnsi="Arial"/>
          <w:sz w:val="16"/>
          <w:szCs w:val="16"/>
          <w:color w:val="auto"/>
        </w:rPr>
        <w:t>. A copy of the Declaration of Trust, as amended and restated, for each of Tekla Life Sciences Investors and Tekla World Healthcare Fund (together, the “</w:t>
      </w:r>
      <w:r>
        <w:rPr>
          <w:rFonts w:ascii="Arial" w:cs="Arial" w:eastAsia="Arial" w:hAnsi="Arial"/>
          <w:sz w:val="16"/>
          <w:szCs w:val="16"/>
          <w:u w:val="single" w:color="auto"/>
          <w:color w:val="auto"/>
        </w:rPr>
        <w:t>Tekla Funds</w:t>
      </w:r>
      <w:r>
        <w:rPr>
          <w:rFonts w:ascii="Arial" w:cs="Arial" w:eastAsia="Arial" w:hAnsi="Arial"/>
          <w:sz w:val="16"/>
          <w:szCs w:val="16"/>
          <w:color w:val="auto"/>
        </w:rPr>
        <w:t>”)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p>
    <w:p>
      <w:pPr>
        <w:spacing w:after="0" w:line="161"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9" w:name="page40"/>
    <w:bookmarkEnd w:id="3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Zaccardelli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Abingworth Bioventures VI LP acting by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Manager Abingworth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32404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Title:Partner,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33089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38 Jermyn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London SW1Y 6DN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legal@abingworth.com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ACORN BIOVENTURES,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ACORN CAPITAL ADVISORS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32404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Acorn Bioventures,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 Anders Hove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 Suite 2626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anders@acornca.com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 BOTECHNOLOGY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Suzette Del Giudice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Suzette Del Giudice and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32404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Presidents of 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Management, LLC,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40 West 57th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Fax:212.977.8112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mauten@accind.com</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legalnotices@accid.com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Aisling Capital IV,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Wenzel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Robert Wenzel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3240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888 7th Avenue,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rwenzel@aislingcapital.com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Altium Growth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6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Gottlieb</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Gottlieb</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Address:152 West 57 Street, FL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32746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86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Fax:</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Compliance@altiumcap.com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32746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5" w:name="page46"/>
    <w:bookmarkEnd w:id="4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INVESTOR:</w:t>
            </w:r>
          </w:p>
        </w:tc>
        <w:tc>
          <w:tcPr>
            <w:tcW w:w="3060" w:type="dxa"/>
            <w:vAlign w:val="bottom"/>
          </w:tcPr>
          <w:p>
            <w:pPr>
              <w:spacing w:after="0"/>
              <w:rPr>
                <w:sz w:val="20"/>
                <w:szCs w:val="20"/>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BKB Growth Investments, LLC</w:t>
            </w:r>
          </w:p>
        </w:tc>
        <w:tc>
          <w:tcPr>
            <w:tcW w:w="3060" w:type="dxa"/>
            <w:vAlign w:val="bottom"/>
          </w:tcPr>
          <w:p>
            <w:pPr>
              <w:spacing w:after="0"/>
              <w:rPr>
                <w:sz w:val="24"/>
                <w:szCs w:val="24"/>
                <w:color w:val="auto"/>
              </w:rPr>
            </w:pPr>
          </w:p>
        </w:tc>
      </w:tr>
      <w:tr>
        <w:trPr>
          <w:trHeight w:val="230"/>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Tiger Lily Capital, LLC, its Manager</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Manning</w:t>
            </w:r>
          </w:p>
        </w:tc>
        <w:tc>
          <w:tcPr>
            <w:tcW w:w="3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Bradford Manning</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 Manning</w:t>
            </w:r>
          </w:p>
        </w:tc>
        <w:tc>
          <w:tcPr>
            <w:tcW w:w="3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Bradford Manning</w:t>
            </w: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c>
          <w:tcPr>
            <w:tcW w:w="3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Manager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200 Garrett Street, Suite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232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Charlottesville, VA 22902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2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tabs>
          <w:tab w:leader="none" w:pos="7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434.980-8117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232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legal@pbmcap.com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232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BLACKWELL PARTNERS LLC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SERIES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Abayomi A. Adigun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Abayomi A. Adigun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Investment Manager</w:t>
            </w:r>
          </w:p>
        </w:tc>
      </w:tr>
      <w:tr>
        <w:trPr>
          <w:trHeight w:val="230"/>
        </w:trPr>
        <w:tc>
          <w:tcPr>
            <w:tcW w:w="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DUMAC, Inc., Authorized Agent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Jannine M. Lall</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Jannine M. Lall</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Head of Finance &amp; Controller</w:t>
            </w:r>
          </w:p>
        </w:tc>
      </w:tr>
      <w:tr>
        <w:trPr>
          <w:trHeight w:val="230"/>
        </w:trPr>
        <w:tc>
          <w:tcPr>
            <w:tcW w:w="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DUMAC, Inc., Authorized Agent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Address:280 S. Mangum Street, Suite 210 Durham, NC 27701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(919) 668-9926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blackwell@dumac.duke.edu</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CVI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7287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Kobinger</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Martin Kobinger</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Investment Manager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c/o/ 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3231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 California Street, Suite 3250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287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San Francisco, CA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287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31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728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kobinger@sig.com and winder@sig.com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DAFNA Lifescience Select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Fariba Ghodsian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Fariba Ghodsian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C.I.O.</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DAFNA CAPITAL MGMT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32486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10990 Wilshire Blvd. Suite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45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 Angeles, CA. 90024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458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310-445-6594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86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FGhodsian@Dafnacapital.com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86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DAFNA Lifescience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Fariba Ghodsian</w:t>
            </w: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Fariba Ghodsian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C.I.O.</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DAFNA CAPITAL MGMT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3248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10990 Wilshire Blvd. Suite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45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 Angeles, CA. 90024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458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310-445-6594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86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FGhodsian@Dafnacapital.com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86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R.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 Ebsworth</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R. EBSWORTH</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BOARD CHAIRMAN</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32575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690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2575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669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Email:</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257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DR.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Fairmount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2001 Market Street, Suite 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tkiselak@fairmountfunds.com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3" w:name="page54"/>
    <w:bookmarkEnd w:id="5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Fairmount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2001 Market Street, Suite 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tkiselak@fairmountfunds.com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Foresite Capital Management III, LLC, its General Partner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D. Ryan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D. Ryan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600 Montgomery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Suite 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San Francisco, CA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Fax:415-367-3300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docs-investments@foresitecapital.com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5" w:name="page56"/>
    <w:bookmarkEnd w:id="5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Ghost Tree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Matthew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COO/CFO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200 Dorado Beach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3732 West Beach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Dorado, PR 00646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ops@ghosttreecap.com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6" w:name="page57"/>
    <w:bookmarkEnd w:id="5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Hahn</w:t>
            </w: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17"/>
                <w:szCs w:val="17"/>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Self</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Logos Global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Yanni Souroutzidis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Yanni Souroutzidis</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 Head of Research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 Letterman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Building D, Suite D3-700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San Francisco, CA 94129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edward@logoscapital.com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9" w:name="page60"/>
    <w:bookmarkEnd w:id="59"/>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Citron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Louis S. Citron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c/o New Enterprise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1954 Greenspring Drive, Ste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Timonium, MD 21093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Fax:410-842-4115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lcitron@nea.com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Novo Holdings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Dyrberg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Thomas Dyrberg, under specific power of attorney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Tuborg Havnevej 19, DK 2900 Hellerup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66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TDy@Novo.DK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1" w:name="page62"/>
    <w:bookmarkEnd w:id="6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By:OrbiMed Capital GP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Managinhg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Bonita</w:t>
            </w:r>
          </w:p>
        </w:tc>
      </w:tr>
      <w:tr>
        <w:trPr>
          <w:trHeight w:val="195"/>
        </w:trPr>
        <w:tc>
          <w:tcPr>
            <w:tcW w:w="6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David Bonita</w:t>
            </w:r>
          </w:p>
        </w:tc>
      </w:tr>
      <w:tr>
        <w:trPr>
          <w:trHeight w:val="230"/>
        </w:trPr>
        <w:tc>
          <w:tcPr>
            <w:tcW w:w="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Phone: (212) 739-6400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Legal@OrbiMed.com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BIOTECH GROWTH TRUST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OrbiMed Capital LLC, solely in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Capacity as 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Scotland Stevens</w:t>
            </w:r>
          </w:p>
        </w:tc>
      </w:tr>
      <w:tr>
        <w:trPr>
          <w:trHeight w:val="195"/>
        </w:trPr>
        <w:tc>
          <w:tcPr>
            <w:tcW w:w="6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C. Scotland Stevens</w:t>
            </w:r>
          </w:p>
        </w:tc>
      </w:tr>
      <w:tr>
        <w:trPr>
          <w:trHeight w:val="230"/>
        </w:trPr>
        <w:tc>
          <w:tcPr>
            <w:tcW w:w="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Phone: (212) 739-6400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Legal@OrbiMed.com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Parallax Biomedical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Pentopoulos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Pentopoulos</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210 Tiburon 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Walnut Creek, CA 94597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marc@vistapointcap.com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PD Joint Holdings, LLC Series 2016-A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Tiger Lily Capital,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Paul B. Manning</w:t>
            </w:r>
          </w:p>
        </w:tc>
        <w:tc>
          <w:tcPr>
            <w:tcW w:w="2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Bradford Manning</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Paul B. Manning</w:t>
            </w:r>
          </w:p>
        </w:tc>
        <w:tc>
          <w:tcPr>
            <w:tcW w:w="2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Braford Manning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300" w:type="dxa"/>
            <w:vAlign w:val="bottom"/>
            <w:gridSpan w:val="3"/>
          </w:tcPr>
          <w:p>
            <w:pPr>
              <w:spacing w:after="0"/>
              <w:rPr>
                <w:sz w:val="20"/>
                <w:szCs w:val="20"/>
                <w:color w:val="auto"/>
              </w:rPr>
            </w:pPr>
            <w:r>
              <w:rPr>
                <w:rFonts w:ascii="Arial" w:cs="Arial" w:eastAsia="Arial" w:hAnsi="Arial"/>
                <w:sz w:val="18"/>
                <w:szCs w:val="18"/>
                <w:color w:val="auto"/>
              </w:rPr>
              <w:t>Manager</w:t>
            </w:r>
          </w:p>
        </w:tc>
        <w:tc>
          <w:tcPr>
            <w:tcW w:w="2740" w:type="dxa"/>
            <w:vAlign w:val="bottom"/>
          </w:tcPr>
          <w:p>
            <w:pPr>
              <w:ind w:left="160"/>
              <w:spacing w:after="0"/>
              <w:rPr>
                <w:sz w:val="20"/>
                <w:szCs w:val="20"/>
                <w:color w:val="auto"/>
              </w:rPr>
            </w:pPr>
            <w:r>
              <w:rPr>
                <w:rFonts w:ascii="Arial" w:cs="Arial" w:eastAsia="Arial" w:hAnsi="Arial"/>
                <w:sz w:val="18"/>
                <w:szCs w:val="18"/>
                <w:color w:val="auto"/>
              </w:rPr>
              <w:t>Manager</w:t>
            </w:r>
          </w:p>
        </w:tc>
      </w:tr>
      <w:tr>
        <w:trPr>
          <w:trHeight w:val="20"/>
        </w:trPr>
        <w:tc>
          <w:tcPr>
            <w:tcW w:w="6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411"/>
        </w:trPr>
        <w:tc>
          <w:tcPr>
            <w:tcW w:w="2880" w:type="dxa"/>
            <w:vAlign w:val="bottom"/>
            <w:gridSpan w:val="4"/>
          </w:tcPr>
          <w:p>
            <w:pPr>
              <w:spacing w:after="0"/>
              <w:rPr>
                <w:sz w:val="20"/>
                <w:szCs w:val="20"/>
                <w:color w:val="auto"/>
              </w:rPr>
            </w:pPr>
            <w:r>
              <w:rPr>
                <w:rFonts w:ascii="Arial" w:cs="Arial" w:eastAsia="Arial" w:hAnsi="Arial"/>
                <w:sz w:val="18"/>
                <w:szCs w:val="18"/>
                <w:color w:val="auto"/>
              </w:rPr>
              <w:t>Contact Information:</w:t>
            </w:r>
          </w:p>
        </w:tc>
        <w:tc>
          <w:tcPr>
            <w:tcW w:w="2740" w:type="dxa"/>
            <w:vAlign w:val="bottom"/>
          </w:tcPr>
          <w:p>
            <w:pPr>
              <w:spacing w:after="0"/>
              <w:rPr>
                <w:sz w:val="24"/>
                <w:szCs w:val="24"/>
                <w:color w:val="auto"/>
              </w:rPr>
            </w:pPr>
          </w:p>
        </w:tc>
      </w:tr>
      <w:tr>
        <w:trPr>
          <w:trHeight w:val="230"/>
        </w:trPr>
        <w:tc>
          <w:tcPr>
            <w:tcW w:w="2880" w:type="dxa"/>
            <w:vAlign w:val="bottom"/>
            <w:gridSpan w:val="4"/>
          </w:tcPr>
          <w:p>
            <w:pPr>
              <w:spacing w:after="0"/>
              <w:rPr>
                <w:sz w:val="20"/>
                <w:szCs w:val="20"/>
                <w:color w:val="auto"/>
              </w:rPr>
            </w:pPr>
            <w:r>
              <w:rPr>
                <w:rFonts w:ascii="Arial" w:cs="Arial" w:eastAsia="Arial" w:hAnsi="Arial"/>
                <w:sz w:val="18"/>
                <w:szCs w:val="18"/>
                <w:color w:val="auto"/>
                <w:w w:val="96"/>
              </w:rPr>
              <w:t>Address:  200 Garrett Street, Suite O</w:t>
            </w:r>
          </w:p>
        </w:tc>
        <w:tc>
          <w:tcPr>
            <w:tcW w:w="2740" w:type="dxa"/>
            <w:vAlign w:val="bottom"/>
          </w:tcPr>
          <w:p>
            <w:pPr>
              <w:spacing w:after="0"/>
              <w:rPr>
                <w:sz w:val="20"/>
                <w:szCs w:val="20"/>
                <w:color w:val="auto"/>
              </w:rPr>
            </w:pPr>
          </w:p>
        </w:tc>
      </w:tr>
      <w:tr>
        <w:trPr>
          <w:trHeight w:val="20"/>
        </w:trPr>
        <w:tc>
          <w:tcPr>
            <w:tcW w:w="800" w:type="dxa"/>
            <w:vAlign w:val="bottom"/>
            <w:gridSpan w:val="3"/>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196"/>
        </w:trPr>
        <w:tc>
          <w:tcPr>
            <w:tcW w:w="28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rPr>
              <w:t>Charlottesville, VA 22902</w:t>
            </w:r>
          </w:p>
        </w:tc>
        <w:tc>
          <w:tcPr>
            <w:tcW w:w="2740" w:type="dxa"/>
            <w:vAlign w:val="bottom"/>
            <w:tcBorders>
              <w:bottom w:val="single" w:sz="8" w:color="auto"/>
            </w:tcBorders>
          </w:tcPr>
          <w:p>
            <w:pPr>
              <w:spacing w:after="0"/>
              <w:rPr>
                <w:sz w:val="17"/>
                <w:szCs w:val="17"/>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Fax:</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(434) 980-8117</w:t>
            </w:r>
          </w:p>
        </w:tc>
        <w:tc>
          <w:tcPr>
            <w:tcW w:w="2740" w:type="dxa"/>
            <w:vAlign w:val="bottom"/>
          </w:tcPr>
          <w:p>
            <w:pPr>
              <w:spacing w:after="0"/>
              <w:rPr>
                <w:sz w:val="18"/>
                <w:szCs w:val="18"/>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Email: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legal@pbmcap.com</w:t>
            </w:r>
          </w:p>
        </w:tc>
        <w:tc>
          <w:tcPr>
            <w:tcW w:w="2740" w:type="dxa"/>
            <w:vAlign w:val="bottom"/>
            <w:tcBorders>
              <w:top w:val="single" w:sz="8" w:color="auto"/>
              <w:bottom w:val="single" w:sz="8" w:color="auto"/>
            </w:tcBorders>
          </w:tcPr>
          <w:p>
            <w:pPr>
              <w:spacing w:after="0"/>
              <w:rPr>
                <w:sz w:val="18"/>
                <w:szCs w:val="18"/>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5" w:name="page66"/>
    <w:bookmarkEnd w:id="6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Mannix</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H. Mannix</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4820" w:type="dxa"/>
            <w:vAlign w:val="bottom"/>
            <w:gridSpan w:val="2"/>
          </w:tcPr>
          <w:p>
            <w:pPr>
              <w:spacing w:after="0"/>
              <w:rPr>
                <w:sz w:val="20"/>
                <w:szCs w:val="20"/>
                <w:color w:val="auto"/>
              </w:rPr>
            </w:pPr>
            <w:r>
              <w:rPr>
                <w:rFonts w:ascii="Arial" w:cs="Arial" w:eastAsia="Arial" w:hAnsi="Arial"/>
                <w:sz w:val="18"/>
                <w:szCs w:val="18"/>
                <w:color w:val="auto"/>
              </w:rPr>
              <w:t>51 Astor Place, 10Fl</w:t>
            </w:r>
          </w:p>
        </w:tc>
      </w:tr>
      <w:tr>
        <w:trPr>
          <w:trHeight w:val="196"/>
        </w:trPr>
        <w:tc>
          <w:tcPr>
            <w:tcW w:w="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New York,</w:t>
            </w:r>
          </w:p>
        </w:tc>
        <w:tc>
          <w:tcPr>
            <w:tcW w:w="48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NY 10003</w:t>
            </w:r>
          </w:p>
        </w:tc>
      </w:tr>
      <w:tr>
        <w:trPr>
          <w:trHeight w:val="209"/>
        </w:trPr>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 (646) 205-5301</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Email:</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accounting@perceptivelife.com</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Polar Capital Partners LLP - Biotechnology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Boura Kym Tomlinson Cann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Boura Kym Tomlinson Cann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CLO/CCO</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Samir Ayub</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Samir Ayub</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16 Palace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SW1E 5JD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Fax: N/A please send via email due to remote working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polar.operations@polarcapital.co.uk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Claire.edwards@polarcapital.co.uk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r>
        <w:rPr>
          <w:rFonts w:ascii="Arial" w:cs="Arial" w:eastAsia="Arial" w:hAnsi="Arial"/>
          <w:sz w:val="18"/>
          <w:szCs w:val="18"/>
          <w:color w:val="auto"/>
        </w:rPr>
        <w:t>RA CAPITAL HEALTHCARE FUND, L.P.</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By: RA Capital Healthcare Fund GP, LLC</w:t>
      </w:r>
    </w:p>
    <w:p>
      <w:pPr>
        <w:spacing w:after="0" w:line="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Kolchinsky</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Kolchinsky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200 Berkeley Street, 18th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Boston, MA 02116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legal@racap.com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30600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Revach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Chaim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80 Brainard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West Hartford cT 06117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3515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Email: cdavis@revachfund.com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Samsara BioCapital,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204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Samsara BioCapital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Srinivas Akkaraju</w:t>
            </w: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General Partner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628 Middlefield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32232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Palo Alto, CA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204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232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7204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232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Tekla Life Sciences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Woodward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of Fund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02" w:lineRule="auto"/>
        <w:rPr>
          <w:sz w:val="20"/>
          <w:szCs w:val="20"/>
          <w:color w:val="auto"/>
        </w:rPr>
      </w:pPr>
      <w:r>
        <w:rPr>
          <w:rFonts w:ascii="Arial" w:cs="Arial" w:eastAsia="Arial" w:hAnsi="Arial"/>
          <w:sz w:val="18"/>
          <w:szCs w:val="18"/>
          <w:color w:val="auto"/>
        </w:rPr>
        <w:t>Address: 100 Federal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617 772 8515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lwoodward@teklacap.com</w:t>
      </w:r>
    </w:p>
    <w:p>
      <w:pPr>
        <w:spacing w:after="0" w:line="211" w:lineRule="exact"/>
        <w:rPr>
          <w:sz w:val="20"/>
          <w:szCs w:val="20"/>
          <w:color w:val="auto"/>
        </w:rPr>
      </w:pPr>
    </w:p>
    <w:p>
      <w:pPr>
        <w:ind w:right="140" w:firstLine="8"/>
        <w:spacing w:after="0" w:line="259" w:lineRule="auto"/>
        <w:tabs>
          <w:tab w:leader="none" w:pos="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Trustees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11180"/>
          </w:cols>
          <w:pgMar w:left="320" w:top="904" w:right="399" w:bottom="1440" w:gutter="0" w:footer="0" w:header="0"/>
        </w:sectPr>
      </w:pPr>
    </w:p>
    <w:bookmarkStart w:id="71" w:name="page72"/>
    <w:bookmarkEnd w:id="7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Tekla World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Woodward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of Fund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02" w:lineRule="auto"/>
        <w:rPr>
          <w:sz w:val="20"/>
          <w:szCs w:val="20"/>
          <w:color w:val="auto"/>
        </w:rPr>
      </w:pPr>
      <w:r>
        <w:rPr>
          <w:rFonts w:ascii="Arial" w:cs="Arial" w:eastAsia="Arial" w:hAnsi="Arial"/>
          <w:sz w:val="18"/>
          <w:szCs w:val="18"/>
          <w:color w:val="auto"/>
        </w:rPr>
        <w:t>Address: 100 Federal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617 772 8577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lwoodward@teklacap.com</w:t>
      </w:r>
    </w:p>
    <w:p>
      <w:pPr>
        <w:spacing w:after="0" w:line="211" w:lineRule="exact"/>
        <w:rPr>
          <w:sz w:val="20"/>
          <w:szCs w:val="20"/>
          <w:color w:val="auto"/>
        </w:rPr>
      </w:pPr>
    </w:p>
    <w:p>
      <w:pPr>
        <w:jc w:val="both"/>
        <w:ind w:right="160" w:firstLine="8"/>
        <w:spacing w:after="0" w:line="259" w:lineRule="auto"/>
        <w:tabs>
          <w:tab w:leader="none" w:pos="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Tekla World Healthcare Fund is the designation of the Trustees for the time being under an Amended &amp; Restated Declaration of Trust dated May 18, 2015, and all persons dealing with Tekla World Healthcare Fund must look solely to the trust property for the enforcement of any claim against Tekla World Healthcare Fund, as neither the Trustees, officers nor shareholders assume any personal liability for the obligations entered into on behalf of Tekla World Healthcare Fund.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2" w:name="page73"/>
    <w:bookmarkEnd w:id="7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ISHAN SINHA 2019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376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Vivek Sinha</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VIVEK SINAH</w:t>
            </w: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1 FRANKLIN ST PH 2D BOSTON MA 02110-1342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7376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5715</wp:posOffset>
            </wp:positionV>
            <wp:extent cx="32404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04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7376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viveksinha_1@hotmail.com ; sinhavikas45@gmail.com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04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NATASHA SINHA 2019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376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Vivek Sinha</w:t>
            </w: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VIVEK SINAH</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1 FRANKLIN ST PH 2D BOSTON MA 02110-1342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7376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5715</wp:posOffset>
            </wp:positionV>
            <wp:extent cx="32404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04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7376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viveksinha_1@hotmail.com ; sinhavikas45@gmail.com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404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Soleus Capital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wp:posOffset>
            </wp:positionV>
            <wp:extent cx="27089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Soleus Capital,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Musumeci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Musumeci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104 Field Point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Greenwich CT, 06830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Fax:475-223-0865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Steven@soleuscapital.com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Sphera Biotech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376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Doron Breen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Doran Breen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GP</w:t>
            </w:r>
          </w:p>
        </w:tc>
      </w:tr>
      <w:tr>
        <w:trPr>
          <w:trHeight w:val="398"/>
        </w:trPr>
        <w:tc>
          <w:tcPr>
            <w:tcW w:w="5900" w:type="dxa"/>
            <w:vAlign w:val="bottom"/>
            <w:gridSpan w:val="2"/>
          </w:tcPr>
          <w:p>
            <w:pPr>
              <w:spacing w:after="0"/>
              <w:rPr>
                <w:sz w:val="20"/>
                <w:szCs w:val="20"/>
                <w:color w:val="auto"/>
              </w:rPr>
            </w:pPr>
            <w:r>
              <w:rPr>
                <w:rFonts w:ascii="Arial" w:cs="Arial" w:eastAsia="Arial" w:hAnsi="Arial"/>
                <w:sz w:val="18"/>
                <w:szCs w:val="18"/>
                <w:color w:val="auto"/>
              </w:rPr>
              <w:t>Contact Information: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 Ha’arbaa St</w:t>
            </w:r>
          </w:p>
        </w:tc>
      </w:tr>
      <w:tr>
        <w:trPr>
          <w:trHeight w:val="196"/>
        </w:trPr>
        <w:tc>
          <w:tcPr>
            <w:tcW w:w="5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Tel-Aviv Israel 6473921</w:t>
            </w:r>
          </w:p>
        </w:tc>
      </w:tr>
      <w:tr>
        <w:trPr>
          <w:trHeight w:val="209"/>
        </w:trPr>
        <w:tc>
          <w:tcPr>
            <w:tcW w:w="8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+972-3-6845621</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Email:</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dbreen@spherafund.com</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Sphera Global Healthcare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376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Doron Breen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Doran Breen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398"/>
        </w:trPr>
        <w:tc>
          <w:tcPr>
            <w:tcW w:w="5900" w:type="dxa"/>
            <w:vAlign w:val="bottom"/>
            <w:gridSpan w:val="2"/>
          </w:tcPr>
          <w:p>
            <w:pPr>
              <w:spacing w:after="0"/>
              <w:rPr>
                <w:sz w:val="20"/>
                <w:szCs w:val="20"/>
                <w:color w:val="auto"/>
              </w:rPr>
            </w:pPr>
            <w:r>
              <w:rPr>
                <w:rFonts w:ascii="Arial" w:cs="Arial" w:eastAsia="Arial" w:hAnsi="Arial"/>
                <w:sz w:val="18"/>
                <w:szCs w:val="18"/>
                <w:color w:val="auto"/>
              </w:rPr>
              <w:t>Contact Information: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 Ha’arbaa St</w:t>
            </w:r>
          </w:p>
        </w:tc>
      </w:tr>
      <w:tr>
        <w:trPr>
          <w:trHeight w:val="196"/>
        </w:trPr>
        <w:tc>
          <w:tcPr>
            <w:tcW w:w="5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Tel-Aviv Israel 6473921</w:t>
            </w:r>
          </w:p>
        </w:tc>
      </w:tr>
      <w:tr>
        <w:trPr>
          <w:trHeight w:val="209"/>
        </w:trPr>
        <w:tc>
          <w:tcPr>
            <w:tcW w:w="8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+972-3-6845621</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Email:</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dbreen@spherafund.com</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711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Stalfort</w:t>
            </w: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Sean Stalfort</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32143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115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143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7115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2143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A Stalfort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A Stalfort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9" w:name="page80"/>
    <w:bookmarkEnd w:id="79"/>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PROSTEN ULLMANS VÄG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SE43931 ONSALA,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anders@spekedal.se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0" w:name="page81"/>
    <w:bookmarkEnd w:id="80"/>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Vivo Ventures Fund,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Vivo Ventures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C/O Vivo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192 Lytton Avenue, Palo Alto, CA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Fax:(650) 688-0815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legal@vivocapital.com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1" w:name="page82"/>
    <w:bookmarkEnd w:id="8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Vivo Ventures Fund Cayman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Managing Member of Vivo Ventures Fund Cayman VII (GP), 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Parnter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C/O Vivo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192 Lytton Avenue, Palo Alto, CA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Fax:(650) 688-0815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legal@vivocapital.com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Vivo Ventures VII Affiliates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Vivo Ventures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C/O Vivo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192 Lytton Avenue, Palo Alto, CA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Fax:(650) 688-0815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legal@vivocapital.com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3" w:name="page84"/>
    <w:bookmarkEnd w:id="8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Zaccardelli</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tab/>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Private</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Aggregate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Non-Voting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Placement</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Purchase Price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Ordinary</w:t>
            </w: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Aggregate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ADSs to</w:t>
            </w: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of Private</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Shares to</w:t>
            </w: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Be</w:t>
            </w: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Placement</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Be</w:t>
            </w: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of Non-Voting</w:t>
            </w:r>
          </w:p>
        </w:tc>
        <w:tc>
          <w:tcPr>
            <w:tcW w:w="1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Total Aggregate</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b w:val="1"/>
                <w:bCs w:val="1"/>
                <w:color w:val="auto"/>
              </w:rPr>
              <w:t>Investor Name</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ADSs</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Ordinary Shares</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Purchase Price</w:t>
            </w:r>
          </w:p>
        </w:tc>
        <w:tc>
          <w:tcPr>
            <w:tcW w:w="0" w:type="dxa"/>
            <w:vAlign w:val="bottom"/>
          </w:tcPr>
          <w:p>
            <w:pPr>
              <w:spacing w:after="0"/>
              <w:rPr>
                <w:sz w:val="1"/>
                <w:szCs w:val="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RA Capital Healthcare Fund, L.P.</w:t>
            </w:r>
          </w:p>
        </w:tc>
        <w:tc>
          <w:tcPr>
            <w:tcW w:w="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4,596,313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$ 20,683,408.50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43,339,542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  24,378,492.38</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$ 45,061,900.88</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6"/>
                <w:szCs w:val="16"/>
                <w:color w:val="auto"/>
              </w:rPr>
              <w:t>Blackwell Partners LLC - Series A</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503,687</w:t>
            </w:r>
          </w:p>
        </w:tc>
        <w:tc>
          <w:tcPr>
            <w:tcW w:w="1040" w:type="dxa"/>
            <w:vAlign w:val="bottom"/>
          </w:tcPr>
          <w:p>
            <w:pPr>
              <w:jc w:val="right"/>
              <w:spacing w:after="0"/>
              <w:rPr>
                <w:sz w:val="20"/>
                <w:szCs w:val="20"/>
                <w:color w:val="auto"/>
              </w:rPr>
            </w:pPr>
            <w:r>
              <w:rPr>
                <w:rFonts w:ascii="Arial" w:cs="Arial" w:eastAsia="Arial" w:hAnsi="Arial"/>
                <w:sz w:val="16"/>
                <w:szCs w:val="16"/>
                <w:color w:val="auto"/>
              </w:rPr>
              <w:t>2,266,591.50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4,749,354</w:t>
            </w:r>
          </w:p>
        </w:tc>
        <w:tc>
          <w:tcPr>
            <w:tcW w:w="1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2,671,511.63</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4,938,103.13</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AI Biotechnology LLC</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5,555,556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25,000,002.00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25,000,002.00</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6"/>
                <w:szCs w:val="16"/>
                <w:color w:val="auto"/>
              </w:rPr>
              <w:t>OrbiMed Private Investments VI, LP</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3,777,778</w:t>
            </w:r>
          </w:p>
        </w:tc>
        <w:tc>
          <w:tcPr>
            <w:tcW w:w="1040" w:type="dxa"/>
            <w:vAlign w:val="bottom"/>
          </w:tcPr>
          <w:p>
            <w:pPr>
              <w:jc w:val="right"/>
              <w:spacing w:after="0"/>
              <w:rPr>
                <w:sz w:val="20"/>
                <w:szCs w:val="20"/>
                <w:color w:val="auto"/>
              </w:rPr>
            </w:pPr>
            <w:r>
              <w:rPr>
                <w:rFonts w:ascii="Arial" w:cs="Arial" w:eastAsia="Arial" w:hAnsi="Arial"/>
                <w:sz w:val="16"/>
                <w:szCs w:val="16"/>
                <w:color w:val="auto"/>
                <w:w w:val="99"/>
              </w:rPr>
              <w:t>17,000,001.00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17,000,001.00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Biotech Growth Trust PLC</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666,667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3,000,001.50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3,000,001.50</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6"/>
                <w:szCs w:val="16"/>
                <w:color w:val="auto"/>
              </w:rPr>
              <w:t>Growth Equity Opportunities 17, LP</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3,888,889</w:t>
            </w:r>
          </w:p>
        </w:tc>
        <w:tc>
          <w:tcPr>
            <w:tcW w:w="1040" w:type="dxa"/>
            <w:vAlign w:val="bottom"/>
          </w:tcPr>
          <w:p>
            <w:pPr>
              <w:jc w:val="right"/>
              <w:spacing w:after="0"/>
              <w:rPr>
                <w:sz w:val="20"/>
                <w:szCs w:val="20"/>
                <w:color w:val="auto"/>
              </w:rPr>
            </w:pPr>
            <w:r>
              <w:rPr>
                <w:rFonts w:ascii="Arial" w:cs="Arial" w:eastAsia="Arial" w:hAnsi="Arial"/>
                <w:sz w:val="16"/>
                <w:szCs w:val="16"/>
                <w:color w:val="auto"/>
                <w:w w:val="99"/>
              </w:rPr>
              <w:t>17,500,000.50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17,500,000.50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Perceptive Life Sciences Master Fund, Ltd.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2,888,889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13,000,000.50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13,000,000.50</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6"/>
                <w:szCs w:val="16"/>
                <w:color w:val="auto"/>
              </w:rPr>
              <w:t>Vivo Ventures Fund Cayman VII, L.P.</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1,244,445</w:t>
            </w:r>
          </w:p>
        </w:tc>
        <w:tc>
          <w:tcPr>
            <w:tcW w:w="1040" w:type="dxa"/>
            <w:vAlign w:val="bottom"/>
          </w:tcPr>
          <w:p>
            <w:pPr>
              <w:jc w:val="right"/>
              <w:spacing w:after="0"/>
              <w:rPr>
                <w:sz w:val="20"/>
                <w:szCs w:val="20"/>
                <w:color w:val="auto"/>
              </w:rPr>
            </w:pPr>
            <w:r>
              <w:rPr>
                <w:rFonts w:ascii="Arial" w:cs="Arial" w:eastAsia="Arial" w:hAnsi="Arial"/>
                <w:sz w:val="16"/>
                <w:szCs w:val="16"/>
                <w:color w:val="auto"/>
              </w:rPr>
              <w:t>5,600,000.00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5,600,002.50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Vivo Ventures Fund VII, L.P.</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304,475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1,370,137.50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1,370,137.50</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6"/>
                <w:szCs w:val="16"/>
                <w:color w:val="auto"/>
              </w:rPr>
              <w:t>Vivo Ventures VII Affiliates Fund, L.P.</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6,636</w:t>
            </w:r>
          </w:p>
        </w:tc>
        <w:tc>
          <w:tcPr>
            <w:tcW w:w="1040" w:type="dxa"/>
            <w:vAlign w:val="bottom"/>
          </w:tcPr>
          <w:p>
            <w:pPr>
              <w:jc w:val="right"/>
              <w:spacing w:after="0"/>
              <w:rPr>
                <w:sz w:val="20"/>
                <w:szCs w:val="20"/>
                <w:color w:val="auto"/>
              </w:rPr>
            </w:pPr>
            <w:r>
              <w:rPr>
                <w:rFonts w:ascii="Arial" w:cs="Arial" w:eastAsia="Arial" w:hAnsi="Arial"/>
                <w:sz w:val="16"/>
                <w:szCs w:val="16"/>
                <w:color w:val="auto"/>
              </w:rPr>
              <w:t>29,862.00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29,862.00</w:t>
            </w:r>
          </w:p>
        </w:tc>
        <w:tc>
          <w:tcPr>
            <w:tcW w:w="0" w:type="dxa"/>
            <w:vAlign w:val="bottom"/>
          </w:tcPr>
          <w:p>
            <w:pPr>
              <w:spacing w:after="0"/>
              <w:rPr>
                <w:sz w:val="1"/>
                <w:szCs w:val="1"/>
                <w:color w:val="auto"/>
              </w:rPr>
            </w:pPr>
          </w:p>
        </w:tc>
      </w:tr>
      <w:tr>
        <w:trPr>
          <w:trHeight w:val="219"/>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Acorn Bioventures, L.P.</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1,555,556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7,000,002.00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7,000,002.00</w:t>
            </w: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6"/>
                <w:szCs w:val="16"/>
                <w:color w:val="auto"/>
              </w:rPr>
              <w:t>Abingworth Bioventures VI LP</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1,555,556</w:t>
            </w:r>
          </w:p>
        </w:tc>
        <w:tc>
          <w:tcPr>
            <w:tcW w:w="1040" w:type="dxa"/>
            <w:vAlign w:val="bottom"/>
          </w:tcPr>
          <w:p>
            <w:pPr>
              <w:jc w:val="right"/>
              <w:spacing w:after="0"/>
              <w:rPr>
                <w:sz w:val="20"/>
                <w:szCs w:val="20"/>
                <w:color w:val="auto"/>
              </w:rPr>
            </w:pPr>
            <w:r>
              <w:rPr>
                <w:rFonts w:ascii="Arial" w:cs="Arial" w:eastAsia="Arial" w:hAnsi="Arial"/>
                <w:sz w:val="16"/>
                <w:szCs w:val="16"/>
                <w:color w:val="auto"/>
              </w:rPr>
              <w:t>7,000,002.00</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7,000,002.00</w:t>
            </w:r>
          </w:p>
        </w:tc>
        <w:tc>
          <w:tcPr>
            <w:tcW w:w="0" w:type="dxa"/>
            <w:vAlign w:val="bottom"/>
          </w:tcPr>
          <w:p>
            <w:pPr>
              <w:spacing w:after="0"/>
              <w:rPr>
                <w:sz w:val="1"/>
                <w:szCs w:val="1"/>
                <w:color w:val="auto"/>
              </w:rPr>
            </w:pPr>
          </w:p>
        </w:tc>
      </w:tr>
      <w:tr>
        <w:trPr>
          <w:trHeight w:val="654"/>
        </w:trPr>
        <w:tc>
          <w:tcPr>
            <w:tcW w:w="4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0"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Aggregate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Non-Voting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Placement</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Purchase Price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Ordinary</w:t>
            </w: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Aggregate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ADSs to</w:t>
            </w: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of Private</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Shares to</w:t>
            </w: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Be</w:t>
            </w: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Placement</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Be</w:t>
            </w: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of Non-Voting</w:t>
            </w:r>
          </w:p>
        </w:tc>
        <w:tc>
          <w:tcPr>
            <w:tcW w:w="1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Total Aggregate</w:t>
            </w:r>
          </w:p>
        </w:tc>
      </w:tr>
      <w:tr>
        <w:trPr>
          <w:trHeight w:val="21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Investor Name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Purchased</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ADSs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Purchased</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Ordinary Shares</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Purchase Price</w:t>
            </w:r>
          </w:p>
        </w:tc>
      </w:tr>
      <w:tr>
        <w:trPr>
          <w:trHeight w:val="199"/>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BKB Growth Investments, LLC</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777,778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3,500,001.00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3,500,001.00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PD Joint Holdings, LLC Series 2016-A</w:t>
            </w:r>
          </w:p>
        </w:tc>
        <w:tc>
          <w:tcPr>
            <w:tcW w:w="1000" w:type="dxa"/>
            <w:vAlign w:val="bottom"/>
          </w:tcPr>
          <w:p>
            <w:pPr>
              <w:jc w:val="right"/>
              <w:spacing w:after="0"/>
              <w:rPr>
                <w:sz w:val="20"/>
                <w:szCs w:val="20"/>
                <w:color w:val="auto"/>
              </w:rPr>
            </w:pPr>
            <w:r>
              <w:rPr>
                <w:rFonts w:ascii="Arial" w:cs="Arial" w:eastAsia="Arial" w:hAnsi="Arial"/>
                <w:sz w:val="16"/>
                <w:szCs w:val="16"/>
                <w:color w:val="auto"/>
              </w:rPr>
              <w:t>777,778</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3,500,001.00</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3,500,001.00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Samsara BioCapital, L.P.</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1,111,112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5,000,004.00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5,000,004.00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Foresite Capital Fund III, L.P.</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1,111,112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5,000,004.00</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5,000,004.00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Novo Holdings A/S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1,111,111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4,999,999.50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4,999,999.50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Sphera Global Healthcare Master Fund</w:t>
            </w:r>
          </w:p>
        </w:tc>
        <w:tc>
          <w:tcPr>
            <w:tcW w:w="1000" w:type="dxa"/>
            <w:vAlign w:val="bottom"/>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3,375,000.00</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3,375,000.00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Sphera Biotech Master Fund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1,125,000.00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1,125,000.00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Aisling Capital IV, LP</w:t>
            </w:r>
          </w:p>
        </w:tc>
        <w:tc>
          <w:tcPr>
            <w:tcW w:w="1000" w:type="dxa"/>
            <w:vAlign w:val="bottom"/>
          </w:tcPr>
          <w:p>
            <w:pPr>
              <w:jc w:val="right"/>
              <w:spacing w:after="0"/>
              <w:rPr>
                <w:sz w:val="20"/>
                <w:szCs w:val="20"/>
                <w:color w:val="auto"/>
              </w:rPr>
            </w:pPr>
            <w:r>
              <w:rPr>
                <w:rFonts w:ascii="Arial" w:cs="Arial" w:eastAsia="Arial" w:hAnsi="Arial"/>
                <w:sz w:val="16"/>
                <w:szCs w:val="16"/>
                <w:color w:val="auto"/>
              </w:rPr>
              <w:t>888,889</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4,000,000.50</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4,000,000.50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Polar Capital Partners LLP - Biotechnology Fund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888,889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4,000,000,50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4,000,000.50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Soleus Capital Master Fund, L.P.</w:t>
            </w:r>
          </w:p>
        </w:tc>
        <w:tc>
          <w:tcPr>
            <w:tcW w:w="1000" w:type="dxa"/>
            <w:vAlign w:val="bottom"/>
          </w:tcPr>
          <w:p>
            <w:pPr>
              <w:jc w:val="right"/>
              <w:spacing w:after="0"/>
              <w:rPr>
                <w:sz w:val="20"/>
                <w:szCs w:val="20"/>
                <w:color w:val="auto"/>
              </w:rPr>
            </w:pPr>
            <w:r>
              <w:rPr>
                <w:rFonts w:ascii="Arial" w:cs="Arial" w:eastAsia="Arial" w:hAnsi="Arial"/>
                <w:sz w:val="16"/>
                <w:szCs w:val="16"/>
                <w:color w:val="auto"/>
              </w:rPr>
              <w:t>888,889</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4,000,000.50</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4,000,000.50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Fairmount Healthcare Fund II LP</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747,595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3,364,177.50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3,364,177.50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Fairmount Healthcare Fund LP</w:t>
            </w:r>
          </w:p>
        </w:tc>
        <w:tc>
          <w:tcPr>
            <w:tcW w:w="1000" w:type="dxa"/>
            <w:vAlign w:val="bottom"/>
          </w:tcPr>
          <w:p>
            <w:pPr>
              <w:jc w:val="right"/>
              <w:spacing w:after="0"/>
              <w:rPr>
                <w:sz w:val="20"/>
                <w:szCs w:val="20"/>
                <w:color w:val="auto"/>
              </w:rPr>
            </w:pPr>
            <w:r>
              <w:rPr>
                <w:rFonts w:ascii="Arial" w:cs="Arial" w:eastAsia="Arial" w:hAnsi="Arial"/>
                <w:sz w:val="16"/>
                <w:szCs w:val="16"/>
                <w:color w:val="auto"/>
              </w:rPr>
              <w:t>141,294</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635,823</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635,823.00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Ghost Tree Master Fund, LP</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2,500,002.00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2,500,002.00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CVI Investments, Inc.</w:t>
            </w:r>
          </w:p>
        </w:tc>
        <w:tc>
          <w:tcPr>
            <w:tcW w:w="1000" w:type="dxa"/>
            <w:vAlign w:val="bottom"/>
          </w:tcPr>
          <w:p>
            <w:pPr>
              <w:jc w:val="right"/>
              <w:spacing w:after="0"/>
              <w:rPr>
                <w:sz w:val="20"/>
                <w:szCs w:val="20"/>
                <w:color w:val="auto"/>
              </w:rPr>
            </w:pPr>
            <w:r>
              <w:rPr>
                <w:rFonts w:ascii="Arial" w:cs="Arial" w:eastAsia="Arial" w:hAnsi="Arial"/>
                <w:sz w:val="16"/>
                <w:szCs w:val="16"/>
                <w:color w:val="auto"/>
              </w:rPr>
              <w:t>444,445</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2,000,002.00</w:t>
            </w:r>
          </w:p>
        </w:tc>
        <w:tc>
          <w:tcPr>
            <w:tcW w:w="2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2,000,002.50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Logos Global Master Fund, L.P.</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1,500,003.00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1,500,003.00</w:t>
            </w:r>
          </w:p>
        </w:tc>
      </w:tr>
      <w:tr>
        <w:trPr>
          <w:trHeight w:val="648"/>
        </w:trPr>
        <w:tc>
          <w:tcPr>
            <w:tcW w:w="4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Number of</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Aggregate</w:t>
            </w: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Non-Voting</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Placement</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Purchase Price</w:t>
            </w:r>
          </w:p>
        </w:tc>
        <w:tc>
          <w:tcPr>
            <w:tcW w:w="1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Ordinary</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Aggregate</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ADSs to</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of Private</w:t>
            </w:r>
          </w:p>
        </w:tc>
        <w:tc>
          <w:tcPr>
            <w:tcW w:w="12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Shares to</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Purchase Price</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Be</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Placement</w:t>
            </w:r>
          </w:p>
        </w:tc>
        <w:tc>
          <w:tcPr>
            <w:tcW w:w="1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Be</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of Non-Voting</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Total Aggregate</w:t>
            </w:r>
          </w:p>
        </w:tc>
        <w:tc>
          <w:tcPr>
            <w:tcW w:w="0" w:type="dxa"/>
            <w:vAlign w:val="bottom"/>
          </w:tcPr>
          <w:p>
            <w:pPr>
              <w:spacing w:after="0"/>
              <w:rPr>
                <w:sz w:val="1"/>
                <w:szCs w:val="1"/>
                <w:color w:val="auto"/>
              </w:rPr>
            </w:pPr>
          </w:p>
        </w:tc>
      </w:tr>
      <w:tr>
        <w:trPr>
          <w:trHeight w:val="213"/>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Investor Name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Purchased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ADSs</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Purchased</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Ordinary Shares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Purchase Price</w:t>
            </w:r>
          </w:p>
        </w:tc>
        <w:tc>
          <w:tcPr>
            <w:tcW w:w="0" w:type="dxa"/>
            <w:vAlign w:val="bottom"/>
          </w:tcPr>
          <w:p>
            <w:pPr>
              <w:spacing w:after="0"/>
              <w:rPr>
                <w:sz w:val="1"/>
                <w:szCs w:val="1"/>
                <w:color w:val="auto"/>
              </w:rPr>
            </w:pPr>
          </w:p>
        </w:tc>
      </w:tr>
      <w:tr>
        <w:trPr>
          <w:trHeight w:val="199"/>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Altium Growth Fund, LP</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1,000,003.50</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1,000,003.50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Tekla World Healthcare Fund</w:t>
            </w:r>
          </w:p>
        </w:tc>
        <w:tc>
          <w:tcPr>
            <w:tcW w:w="1000" w:type="dxa"/>
            <w:vAlign w:val="bottom"/>
          </w:tcPr>
          <w:p>
            <w:pPr>
              <w:jc w:val="right"/>
              <w:spacing w:after="0"/>
              <w:rPr>
                <w:sz w:val="20"/>
                <w:szCs w:val="20"/>
                <w:color w:val="auto"/>
              </w:rPr>
            </w:pPr>
            <w:r>
              <w:rPr>
                <w:rFonts w:ascii="Arial" w:cs="Arial" w:eastAsia="Arial" w:hAnsi="Arial"/>
                <w:sz w:val="16"/>
                <w:szCs w:val="16"/>
                <w:color w:val="auto"/>
              </w:rPr>
              <w:t>128,889</w:t>
            </w:r>
          </w:p>
        </w:tc>
        <w:tc>
          <w:tcPr>
            <w:tcW w:w="10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580,000.50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580,000.50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Tekla Life Sciences Investors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93,334</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420,003</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420,003.00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DFNA Life Science LP</w:t>
            </w:r>
          </w:p>
        </w:tc>
        <w:tc>
          <w:tcPr>
            <w:tcW w:w="1000" w:type="dxa"/>
            <w:vAlign w:val="bottom"/>
          </w:tcPr>
          <w:p>
            <w:pPr>
              <w:jc w:val="right"/>
              <w:spacing w:after="0"/>
              <w:rPr>
                <w:sz w:val="20"/>
                <w:szCs w:val="20"/>
                <w:color w:val="auto"/>
              </w:rPr>
            </w:pPr>
            <w:r>
              <w:rPr>
                <w:rFonts w:ascii="Arial" w:cs="Arial" w:eastAsia="Arial" w:hAnsi="Arial"/>
                <w:sz w:val="16"/>
                <w:szCs w:val="16"/>
                <w:color w:val="auto"/>
              </w:rPr>
              <w:t>163,334</w:t>
            </w:r>
          </w:p>
        </w:tc>
        <w:tc>
          <w:tcPr>
            <w:tcW w:w="10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735,003.00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735,003.00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DFNA Lifescience Select LP</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58,888</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264,996.00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264,996.00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John A. Stalfort III</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111,112</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500,004.00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500,004.00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Revach Fund LP</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55,556</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250,002.00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250,002.00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Steven M. Goldman</w:t>
            </w:r>
          </w:p>
        </w:tc>
        <w:tc>
          <w:tcPr>
            <w:tcW w:w="1000" w:type="dxa"/>
            <w:vAlign w:val="bottom"/>
          </w:tcPr>
          <w:p>
            <w:pPr>
              <w:jc w:val="right"/>
              <w:spacing w:after="0"/>
              <w:rPr>
                <w:sz w:val="20"/>
                <w:szCs w:val="20"/>
                <w:color w:val="auto"/>
              </w:rPr>
            </w:pPr>
            <w:r>
              <w:rPr>
                <w:rFonts w:ascii="Arial" w:cs="Arial" w:eastAsia="Arial" w:hAnsi="Arial"/>
                <w:sz w:val="16"/>
                <w:szCs w:val="16"/>
                <w:color w:val="auto"/>
              </w:rPr>
              <w:t>55,556</w:t>
            </w:r>
          </w:p>
        </w:tc>
        <w:tc>
          <w:tcPr>
            <w:tcW w:w="10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250,002.00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250,002.00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Zaccardelli</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249,997.50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249,997.50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Parallax Biomedical Fund, LP</w:t>
            </w:r>
          </w:p>
        </w:tc>
        <w:tc>
          <w:tcPr>
            <w:tcW w:w="1000" w:type="dxa"/>
            <w:vAlign w:val="bottom"/>
          </w:tcPr>
          <w:p>
            <w:pPr>
              <w:jc w:val="right"/>
              <w:spacing w:after="0"/>
              <w:rPr>
                <w:sz w:val="20"/>
                <w:szCs w:val="20"/>
                <w:color w:val="auto"/>
              </w:rPr>
            </w:pPr>
            <w:r>
              <w:rPr>
                <w:rFonts w:ascii="Arial" w:cs="Arial" w:eastAsia="Arial" w:hAnsi="Arial"/>
                <w:sz w:val="16"/>
                <w:szCs w:val="16"/>
                <w:color w:val="auto"/>
              </w:rPr>
              <w:t>44,445</w:t>
            </w:r>
          </w:p>
        </w:tc>
        <w:tc>
          <w:tcPr>
            <w:tcW w:w="10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200,002.50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200,002.50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Inshan Sinha 2019 Trust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149,998.50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149,998.50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Natasha Sinha 2019 Trust</w:t>
            </w:r>
          </w:p>
        </w:tc>
        <w:tc>
          <w:tcPr>
            <w:tcW w:w="1000" w:type="dxa"/>
            <w:vAlign w:val="bottom"/>
          </w:tcPr>
          <w:p>
            <w:pPr>
              <w:jc w:val="right"/>
              <w:spacing w:after="0"/>
              <w:rPr>
                <w:sz w:val="20"/>
                <w:szCs w:val="20"/>
                <w:color w:val="auto"/>
              </w:rPr>
            </w:pPr>
            <w:r>
              <w:rPr>
                <w:rFonts w:ascii="Arial" w:cs="Arial" w:eastAsia="Arial" w:hAnsi="Arial"/>
                <w:sz w:val="16"/>
                <w:szCs w:val="16"/>
                <w:color w:val="auto"/>
              </w:rPr>
              <w:t>33,333</w:t>
            </w:r>
          </w:p>
        </w:tc>
        <w:tc>
          <w:tcPr>
            <w:tcW w:w="10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149,998.50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149,998.50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Anders Ullman</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149,998.50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149,998.50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Mark W. Hahn</w:t>
            </w:r>
          </w:p>
        </w:tc>
        <w:tc>
          <w:tcPr>
            <w:tcW w:w="1000" w:type="dxa"/>
            <w:vAlign w:val="bottom"/>
          </w:tcPr>
          <w:p>
            <w:pPr>
              <w:jc w:val="right"/>
              <w:spacing w:after="0"/>
              <w:rPr>
                <w:sz w:val="20"/>
                <w:szCs w:val="20"/>
                <w:color w:val="auto"/>
              </w:rPr>
            </w:pPr>
            <w:r>
              <w:rPr>
                <w:rFonts w:ascii="Arial" w:cs="Arial" w:eastAsia="Arial" w:hAnsi="Arial"/>
                <w:sz w:val="16"/>
                <w:szCs w:val="16"/>
                <w:color w:val="auto"/>
              </w:rPr>
              <w:t>22,223</w:t>
            </w:r>
          </w:p>
        </w:tc>
        <w:tc>
          <w:tcPr>
            <w:tcW w:w="10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100,003.50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100,003.50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Martin Edwards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29,997.00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29,997.00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860" w:type="dxa"/>
            <w:vAlign w:val="bottom"/>
            <w:gridSpan w:val="2"/>
            <w:vMerge w:val="continue"/>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38,440,009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$ 168,980,037.00</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48,088,896</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  27,050,004.01</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$ 200,030,044.51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2"/>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87" w:name="page88"/>
    <w:bookmarkEnd w:id="87"/>
    <w:p>
      <w:pPr>
        <w:jc w:val="center"/>
        <w:ind w:right="312"/>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VERONA PHARMA PLC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27"/>
        <w:spacing w:after="0"/>
        <w:rPr>
          <w:sz w:val="20"/>
          <w:szCs w:val="20"/>
          <w:color w:val="auto"/>
        </w:rPr>
      </w:pPr>
      <w:r>
        <w:rPr>
          <w:rFonts w:ascii="Arial" w:cs="Arial" w:eastAsia="Arial" w:hAnsi="Arial"/>
          <w:sz w:val="18"/>
          <w:szCs w:val="18"/>
          <w:b w:val="1"/>
          <w:bCs w:val="1"/>
          <w:color w:val="auto"/>
        </w:rPr>
        <w:t>TERMS OF ISSUE OF NON-VOTING ORDINARY SHARES</w:t>
      </w:r>
    </w:p>
    <w:p>
      <w:pPr>
        <w:spacing w:after="0" w:line="229" w:lineRule="exact"/>
        <w:rPr>
          <w:sz w:val="20"/>
          <w:szCs w:val="20"/>
          <w:color w:val="auto"/>
        </w:rPr>
      </w:pPr>
    </w:p>
    <w:p>
      <w:pPr>
        <w:jc w:val="both"/>
        <w:ind w:left="328" w:hanging="328"/>
        <w:spacing w:after="0" w:line="263"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Non-Voting Ordinary Shares of the Company shall have the same rights and restrictions as the Company’s Ordinary Shares and shall otherwise rank parri passu in all respects with the Ordinary Shares and a holder of Non-Voting Ordinary Shares shall be subject to the same obligations and liabilities as a holder of Ordinary Shares save as set out below:</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holder of the Non-Voting Ordinary Shares shall, in relation to the Non-Voting Ordinary Shares held by him, have no right to receive notice of, or to attend or vote at, any general meeting of shareholders (save in relation to a variation of class rights of the Non-Voting Ordinary Shares);</w:t>
      </w:r>
    </w:p>
    <w:p>
      <w:pPr>
        <w:spacing w:after="0" w:line="183" w:lineRule="exact"/>
        <w:rPr>
          <w:rFonts w:ascii="Arial" w:cs="Arial" w:eastAsia="Arial" w:hAnsi="Arial"/>
          <w:sz w:val="18"/>
          <w:szCs w:val="18"/>
          <w:color w:val="auto"/>
        </w:rPr>
      </w:pPr>
    </w:p>
    <w:p>
      <w:pPr>
        <w:ind w:left="968" w:hanging="320"/>
        <w:spacing w:after="0"/>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Non-Voting Ordinary Shares shall be non-transferrable; and</w:t>
      </w:r>
    </w:p>
    <w:p>
      <w:pPr>
        <w:spacing w:after="0" w:line="225" w:lineRule="exact"/>
        <w:rPr>
          <w:rFonts w:ascii="Arial" w:cs="Arial" w:eastAsia="Arial" w:hAnsi="Arial"/>
          <w:sz w:val="18"/>
          <w:szCs w:val="18"/>
          <w:color w:val="auto"/>
        </w:rPr>
      </w:pPr>
    </w:p>
    <w:p>
      <w:pPr>
        <w:ind w:left="968" w:hanging="320"/>
        <w:spacing w:after="0" w:line="308" w:lineRule="auto"/>
        <w:tabs>
          <w:tab w:leader="none" w:pos="968"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Non-Voting Ordinary Shares may be redesignated as Ordinary Shares by the Board, or a duly authorised representative thereof, only upon receipt of a Notice (as defined here) and otherwise subject to the terms and conditions set out in this document.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holder of the Non-Voting Ordinary Shares may elect to have some or all of their Non-Voting Shares redesignated as Ordinary Shares by providing a written notice (“</w:t>
      </w:r>
      <w:r>
        <w:rPr>
          <w:rFonts w:ascii="Arial" w:cs="Arial" w:eastAsia="Arial" w:hAnsi="Arial"/>
          <w:sz w:val="18"/>
          <w:szCs w:val="18"/>
          <w:u w:val="single" w:color="auto"/>
          <w:color w:val="auto"/>
        </w:rPr>
        <w:t>Notice</w:t>
      </w:r>
      <w:r>
        <w:rPr>
          <w:rFonts w:ascii="Arial" w:cs="Arial" w:eastAsia="Arial" w:hAnsi="Arial"/>
          <w:sz w:val="18"/>
          <w:szCs w:val="18"/>
          <w:color w:val="auto"/>
        </w:rPr>
        <w:t>”) in a form reasonably acceptable to the Company, specifying the number of Non-Voting Ordinary Shares it wishes to have redesignated as Ordinary Shares.</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Following the delivery of the Notice, the relevant Non-Voting Ordinary Shares shall be redesignated as Ordinary Shares by the Board, or a duly authorised representative thereof:</w:t>
      </w:r>
    </w:p>
    <w:p>
      <w:pPr>
        <w:spacing w:after="0" w:line="170" w:lineRule="exact"/>
        <w:rPr>
          <w:rFonts w:ascii="Arial" w:cs="Arial" w:eastAsia="Arial" w:hAnsi="Arial"/>
          <w:sz w:val="18"/>
          <w:szCs w:val="18"/>
          <w:color w:val="auto"/>
        </w:rPr>
      </w:pPr>
    </w:p>
    <w:p>
      <w:pPr>
        <w:jc w:val="both"/>
        <w:ind w:left="968" w:hanging="320"/>
        <w:spacing w:after="0" w:line="301" w:lineRule="auto"/>
        <w:tabs>
          <w:tab w:leader="none" w:pos="9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within three business days of the Notice if the holder provides the Company with confirmation in writing in a form reasonably satisfactory to the Company (the “</w:t>
      </w:r>
      <w:r>
        <w:rPr>
          <w:rFonts w:ascii="Arial" w:cs="Arial" w:eastAsia="Arial" w:hAnsi="Arial"/>
          <w:sz w:val="16"/>
          <w:szCs w:val="16"/>
          <w:b w:val="1"/>
          <w:bCs w:val="1"/>
          <w:color w:val="auto"/>
        </w:rPr>
        <w:t>Confirmation</w:t>
      </w:r>
      <w:r>
        <w:rPr>
          <w:rFonts w:ascii="Arial" w:cs="Arial" w:eastAsia="Arial" w:hAnsi="Arial"/>
          <w:sz w:val="16"/>
          <w:szCs w:val="16"/>
          <w:color w:val="auto"/>
        </w:rPr>
        <w:t>”) that, immediately following the redesignation, such holder (together with its affiliates and any other persons acting as a group together) would beneficially own (as defined in the Securities Act of 1934, as amended) no more than 9.99% of the Ordinary Shares outstanding (including any Ordinary Shares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968" w:hanging="320"/>
        <w:spacing w:after="0"/>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earlier than 61 calendar days after the Notice if the holder does not or is unable to provide such Confirmation.</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redesignation of the Non-Voting Ordinary Shares to Ordinary Shares, such Ordinary Shares shall rank pari passu with the other Ordinary Shares of the Company in all respects.</w:t>
      </w:r>
    </w:p>
    <w:p>
      <w:pPr>
        <w:spacing w:after="0" w:line="170"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procure that following a redesignation the resulting Ordinary Shares shall be admitted to trading on AIM by no later than 8:00 a.m. (UK time) on the third business day following the date of redesignation, provided that the Company is listed and trading on AIM at the time of such redesignation.</w:t>
      </w:r>
    </w:p>
    <w:p>
      <w:pPr>
        <w:spacing w:after="0" w:line="183"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holder of Non-Voting Ordinary Shares (or of Ordinary Shares following a redesignation of Non-Voting Ordinary Shares pursuant to these Terms of Issue) shall pay, reimburse or indemnify (as appropriate) the Company for any amounts in respect of UK stamp duty or stamp duty reserve tax incurred or payable by the Company in connection with the deposit of such shares with the Company’s depositary and the exchange of such shares for ADSs.</w:t>
      </w:r>
    </w:p>
    <w:p>
      <w:pPr>
        <w:spacing w:after="0" w:line="186"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Terms used in this Terms of Issue shall have the meaning ascribed to them in the Articles of Association of the Company in force from time to time save to the extent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391795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Investor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July 16, 2020 by and among Verona Pharma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“Investors” named in that certain Securities Purchase Agreement by and among the Company and the Investors, dated as of July 16, 2020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Capitalized terms used herein have the respective meanings ascribed thereto in the Purchase Agreement unless otherwise defined 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660" w:right="3000" w:hanging="4"/>
        <w:spacing w:after="0" w:line="500"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 “</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first paragraph.</w:t>
      </w:r>
    </w:p>
    <w:p>
      <w:pPr>
        <w:spacing w:after="0" w:line="1" w:lineRule="exact"/>
        <w:rPr>
          <w:rFonts w:ascii="Arial" w:cs="Arial" w:eastAsia="Arial" w:hAnsi="Arial"/>
          <w:sz w:val="18"/>
          <w:szCs w:val="18"/>
          <w:color w:val="auto"/>
        </w:rPr>
      </w:pPr>
    </w:p>
    <w:p>
      <w:pPr>
        <w:ind w:left="660" w:right="612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Allowed Delay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 “</w:t>
      </w:r>
      <w:r>
        <w:rPr>
          <w:rFonts w:ascii="Arial" w:cs="Arial" w:eastAsia="Arial" w:hAnsi="Arial"/>
          <w:sz w:val="16"/>
          <w:szCs w:val="16"/>
          <w:u w:val="single" w:color="auto"/>
          <w:color w:val="auto"/>
        </w:rPr>
        <w:t>Blackout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 “</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first paragraph.</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 Back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576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Failure</w:t>
      </w:r>
      <w:r>
        <w:rPr>
          <w:rFonts w:ascii="Arial" w:cs="Arial" w:eastAsia="Arial" w:hAnsi="Arial"/>
          <w:sz w:val="16"/>
          <w:szCs w:val="16"/>
          <w:color w:val="auto"/>
        </w:rPr>
        <w:t>” has the meaning set forth in Section 2.4(b).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 “</w:t>
      </w:r>
      <w:r>
        <w:rPr>
          <w:rFonts w:ascii="Arial" w:cs="Arial" w:eastAsia="Arial" w:hAnsi="Arial"/>
          <w:sz w:val="16"/>
          <w:szCs w:val="16"/>
          <w:u w:val="single" w:color="auto"/>
          <w:color w:val="auto"/>
        </w:rPr>
        <w:t>Filing Deadline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2.1(a)</w:t>
      </w:r>
      <w:r>
        <w:rPr>
          <w:rFonts w:ascii="Arial" w:cs="Arial" w:eastAsia="Arial" w:hAnsi="Arial"/>
          <w:sz w:val="16"/>
          <w:szCs w:val="16"/>
          <w:color w:val="auto"/>
        </w:rPr>
        <w:t>. “</w:t>
      </w:r>
      <w:r>
        <w:rPr>
          <w:rFonts w:ascii="Arial" w:cs="Arial" w:eastAsia="Arial" w:hAnsi="Arial"/>
          <w:sz w:val="16"/>
          <w:szCs w:val="16"/>
          <w:u w:val="single" w:color="auto"/>
          <w:color w:val="auto"/>
        </w:rPr>
        <w:t>Filing Failure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 “</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Investors identified in the Purchase Agreement and any Affiliate or permitted transferee of any Investor who is a subsequent holder of Registrable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set forth in the first paragraph.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Private Placement Shares and the Redesignated Shares and (ii) any other Ordinary Shares issued as a dividend or other distribution with respect to, in exchange for or in replacement of the Private Placement Shares and Redesignated Shares; provided, however, that any such Registrable Securities shall cease to be Registrable Securities (and the Company shall not be required to maintain the effectiveness of any, or file another, Registration Statement hereunder with respect thereto) with respect to a particular holder upon the first to occur of (A) a Registration Statement with respect to the sale of such Registrable Securities being declared effective by the SEC under the 1933 Act and such Registrable Securities having been disposed of or transferred by the holder thereof in accordance with such effective Registration Statement, (B) such Registrable Securities having been previously sold or transferred by the holder in accordance with Rule 144 (or another exemption from the registration requirements of the 1933 Act but excluding transfers to Affiliates ), (C) such Registrable Securities becoming eligible for resale by the holder without volume or manner-of-sale restrictions and without current public information requirements pursuant to Rule 144 and (D) the fifth anniversary of the Closing Date.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Restrictions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Selling Securityholder Questionnaire</w:t>
      </w:r>
      <w:r>
        <w:rPr>
          <w:rFonts w:ascii="Arial" w:cs="Arial" w:eastAsia="Arial" w:hAnsi="Arial"/>
          <w:sz w:val="17"/>
          <w:szCs w:val="17"/>
          <w:color w:val="auto"/>
        </w:rPr>
        <w:t xml:space="preserve">” means the Selling Securityholder Questionnaire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left="1380" w:hanging="724"/>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w:t>
      </w:r>
    </w:p>
    <w:p>
      <w:pPr>
        <w:spacing w:after="0" w:line="225" w:lineRule="exact"/>
        <w:rPr>
          <w:sz w:val="20"/>
          <w:szCs w:val="20"/>
          <w:color w:val="auto"/>
        </w:rPr>
      </w:pPr>
    </w:p>
    <w:p>
      <w:pPr>
        <w:jc w:val="both"/>
        <w:ind w:left="1300" w:firstLine="652"/>
        <w:spacing w:after="0" w:line="254" w:lineRule="auto"/>
        <w:tabs>
          <w:tab w:leader="none" w:pos="27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later than thirty (30) calendar days following the Closing Date (the “</w:t>
      </w:r>
      <w:r>
        <w:rPr>
          <w:rFonts w:ascii="Arial" w:cs="Arial" w:eastAsia="Arial" w:hAnsi="Arial"/>
          <w:sz w:val="18"/>
          <w:szCs w:val="18"/>
          <w:u w:val="single" w:color="auto"/>
          <w:color w:val="auto"/>
        </w:rPr>
        <w:t>Filing Deadline</w:t>
      </w:r>
      <w:r>
        <w:rPr>
          <w:rFonts w:ascii="Arial" w:cs="Arial" w:eastAsia="Arial" w:hAnsi="Arial"/>
          <w:sz w:val="18"/>
          <w:szCs w:val="18"/>
          <w:color w:val="auto"/>
        </w:rPr>
        <w:t>”), the Company shall prepare and file with the SEC one Registration Statement covering the resale of all of the Registrable Securities. Subject to any SEC comments, such Registration Statement shall include the plan of distribution substantially in form and substance as set forth in Part III of each Investor’s Selling Securityholder Questionnaire. Such Registration Statement also shall cover, to the extent allowable under the 1933 Act and the rules promulgated thereunder (including Rule 416), such indeterminate number of additional Ordinary Shares resulting from share splits or sub-divisions, share dividends or similar transactions with respect to the Private Placement Shares and Redesignated Shares. Such Registration Statement (and each amendment or supplement thereto) shall be provided to the Investors prior to its filing or other submission.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left="640" w:firstLine="652"/>
        <w:spacing w:after="0" w:line="254" w:lineRule="auto"/>
        <w:tabs>
          <w:tab w:leader="none" w:pos="20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register the Registrable Securities on Form F-3 or S-3, as the case may be, following the date such form is available for use by the Company for all of the Registrable Securities, provided that if at such time the Registration Statement is on Form F-1 or Form S-1, as the case may be, the Company shall maintain the effectiveness of the Registration Statement then in effect until such time as a Registration Statement on Form F-3 or S-3, as applicable, covering the Registrable Securities has been declared effective by the SEC. In the event the Company is eligible to file a Registration Statement on Form F-3 or S-3 at a time when Registrable Securities are covered under a Registration Statement on Form F-1 or S-1, the Company shall use its reasonable best efforts to file such Registration Statement on Form F-3 or S-3 to cover such Registrable Securities as promptly as possible.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for the one legal counsel selected by the Investors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Company shall not be responsible for legal fees incurred by holders of Registrable Securities in connection with the performance of its rights and obligations under the Transaction Documents. The Company shall pay all expenses of the Depositary in connection with issuance of the Private Placement ADSs.</w:t>
      </w:r>
    </w:p>
    <w:p>
      <w:pPr>
        <w:spacing w:after="0" w:line="17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w:t>
      </w:r>
    </w:p>
    <w:p>
      <w:pPr>
        <w:spacing w:after="0" w:line="225" w:lineRule="exact"/>
        <w:rPr>
          <w:sz w:val="20"/>
          <w:szCs w:val="20"/>
          <w:color w:val="auto"/>
        </w:rPr>
      </w:pPr>
    </w:p>
    <w:p>
      <w:pPr>
        <w:jc w:val="both"/>
        <w:ind w:left="640" w:firstLine="652"/>
        <w:spacing w:after="0" w:line="296" w:lineRule="auto"/>
        <w:tabs>
          <w:tab w:leader="none" w:pos="221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shall use reasonable best efforts to have each Registration Statement declared effective as soon as practicable following notification by the SEC to the Company that it has completed its review of (or will not be reviewing) such Registration Statement. The Company shall notify the Investors by facsimile or e-mail as promptly as practicable, and in any event, within twenty-four (24) hours, after the Registration Statement is declared effective or is supplemented and shall provide the Investors with copies of any related Prospectus to be used in connection with the sale or other disposition of the securities covered thereby.</w:t>
      </w:r>
    </w:p>
    <w:p>
      <w:pPr>
        <w:spacing w:after="0" w:line="3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3" w:name="page94"/>
    <w:bookmarkEnd w:id="93"/>
    <w:p>
      <w:pPr>
        <w:jc w:val="both"/>
        <w:ind w:left="180" w:firstLine="652"/>
        <w:spacing w:after="0" w:line="267" w:lineRule="auto"/>
        <w:tabs>
          <w:tab w:leader="none" w:pos="16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nonpublic information in the Registration Statement concerning the Company, the disclosure of which at the time is not, in the good faith opinion of the Company, in the best interests of the Company or (Y) the Company determines in good faith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in no event shall holders of Registrable Securities be suspended from selling Registrable Securities pursuant to the Registration Statement for a period that exceeds 30 consecutive calendar days or 60 total calendar days in any 360-day period (any such suspension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2.3(b)</w:t>
      </w:r>
      <w:r>
        <w:rPr>
          <w:rFonts w:ascii="Arial" w:cs="Arial" w:eastAsia="Arial" w:hAnsi="Arial"/>
          <w:sz w:val="17"/>
          <w:szCs w:val="17"/>
          <w:color w:val="auto"/>
        </w:rPr>
        <w:t>, an “</w:t>
      </w:r>
      <w:r>
        <w:rPr>
          <w:rFonts w:ascii="Arial" w:cs="Arial" w:eastAsia="Arial" w:hAnsi="Arial"/>
          <w:sz w:val="17"/>
          <w:szCs w:val="17"/>
          <w:u w:val="single" w:color="auto"/>
          <w:color w:val="auto"/>
        </w:rPr>
        <w:t>Allowed Delay</w:t>
      </w:r>
      <w:r>
        <w:rPr>
          <w:rFonts w:ascii="Arial" w:cs="Arial" w:eastAsia="Arial" w:hAnsi="Arial"/>
          <w:sz w:val="17"/>
          <w:szCs w:val="17"/>
          <w:color w:val="auto"/>
        </w:rPr>
        <w:t>”); provided, further,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such Registration Statement until the end of the Allowed Delay and (c) use reasonable best efforts to terminate an Allowed Delay as promptly as practicable.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90"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Effect of Failure to File and Obtain and Maintain Effectiveness of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left="180" w:firstLine="652"/>
        <w:spacing w:after="0" w:line="287" w:lineRule="auto"/>
        <w:tabs>
          <w:tab w:leader="none" w:pos="18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 Registration Statement covering the Registrable Securities is not filed with the SEC on or prior to the third Business Day following the Filing Deadline (a “</w:t>
      </w:r>
      <w:r>
        <w:rPr>
          <w:rFonts w:ascii="Arial" w:cs="Arial" w:eastAsia="Arial" w:hAnsi="Arial"/>
          <w:sz w:val="16"/>
          <w:szCs w:val="16"/>
          <w:u w:val="single" w:color="auto"/>
          <w:color w:val="auto"/>
        </w:rPr>
        <w:t>Filing Failure</w:t>
      </w:r>
      <w:r>
        <w:rPr>
          <w:rFonts w:ascii="Arial" w:cs="Arial" w:eastAsia="Arial" w:hAnsi="Arial"/>
          <w:sz w:val="16"/>
          <w:szCs w:val="16"/>
          <w:color w:val="auto"/>
        </w:rPr>
        <w:t>”), the Company will make pro rata payments to each Investor, as liquidated damages and not as a penalty, in an amount equal to 1.5% of the aggregate amount paid pursuant to the Purchase Agreement</w:t>
      </w:r>
    </w:p>
    <w:p>
      <w:pPr>
        <w:spacing w:after="0" w:line="2" w:lineRule="exact"/>
        <w:rPr>
          <w:sz w:val="20"/>
          <w:szCs w:val="20"/>
          <w:color w:val="auto"/>
        </w:rPr>
      </w:pPr>
    </w:p>
    <w:p>
      <w:pPr>
        <w:jc w:val="both"/>
        <w:ind w:left="180"/>
        <w:spacing w:after="0" w:line="269" w:lineRule="auto"/>
        <w:rPr>
          <w:sz w:val="20"/>
          <w:szCs w:val="20"/>
          <w:color w:val="auto"/>
        </w:rPr>
      </w:pPr>
      <w:r>
        <w:rPr>
          <w:rFonts w:ascii="Arial" w:cs="Arial" w:eastAsia="Arial" w:hAnsi="Arial"/>
          <w:sz w:val="16"/>
          <w:szCs w:val="16"/>
          <w:color w:val="auto"/>
        </w:rPr>
        <w:t>by such Investor for such Registrable Securities then held by such Investor on the initial day of a Filing Failure and every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thereafter (pro-rated for periods less than thirty (30) days). Such payments shall constitute the Investors’ exclusive monetary remedy for such events, but shall not affect the right of the Investors to seek injunctive relief. Such payments shall be made to each Investor in cash no later than ten (10) Business Days after the end of each 30-day period (the “</w:t>
      </w:r>
      <w:r>
        <w:rPr>
          <w:rFonts w:ascii="Arial" w:cs="Arial" w:eastAsia="Arial" w:hAnsi="Arial"/>
          <w:sz w:val="16"/>
          <w:szCs w:val="16"/>
          <w:u w:val="single" w:color="auto"/>
          <w:color w:val="auto"/>
        </w:rPr>
        <w:t>Payment Date</w:t>
      </w:r>
      <w:r>
        <w:rPr>
          <w:rFonts w:ascii="Arial" w:cs="Arial" w:eastAsia="Arial" w:hAnsi="Arial"/>
          <w:sz w:val="16"/>
          <w:szCs w:val="16"/>
          <w:color w:val="auto"/>
        </w:rPr>
        <w:t xml:space="preserve">”). Interest shall accrue at the rate of 1.5% per month on any such liquidated damages payments that shall not be paid by the Payment Date until such amount is paid in full. Notwithstanding the foregoing, the Company will not be liable for any liquidated damages under this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with respect to any Redesignated Shares prior to the Redesignation of the Non-Voting Ordinary Shares to such Redesignated Shares.</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4" w:name="page95"/>
    <w:bookmarkEnd w:id="94"/>
    <w:p>
      <w:pPr>
        <w:jc w:val="both"/>
        <w:ind w:left="180" w:firstLine="652"/>
        <w:spacing w:after="0" w:line="283" w:lineRule="auto"/>
        <w:tabs>
          <w:tab w:leader="none" w:pos="17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2.5</w:t>
      </w:r>
      <w:r>
        <w:rPr>
          <w:rFonts w:ascii="Arial" w:cs="Arial" w:eastAsia="Arial" w:hAnsi="Arial"/>
          <w:sz w:val="16"/>
          <w:szCs w:val="16"/>
          <w:color w:val="auto"/>
        </w:rPr>
        <w:t>, if (A) a Registration Statement covering the Registrable Securities is not declared effective by the SEC (an “</w:t>
      </w:r>
      <w:r>
        <w:rPr>
          <w:rFonts w:ascii="Arial" w:cs="Arial" w:eastAsia="Arial" w:hAnsi="Arial"/>
          <w:sz w:val="16"/>
          <w:szCs w:val="16"/>
          <w:u w:val="single" w:color="auto"/>
          <w:color w:val="auto"/>
        </w:rPr>
        <w:t>Effectiveness Failure</w:t>
      </w:r>
      <w:r>
        <w:rPr>
          <w:rFonts w:ascii="Arial" w:cs="Arial" w:eastAsia="Arial" w:hAnsi="Arial"/>
          <w:sz w:val="16"/>
          <w:szCs w:val="16"/>
          <w:color w:val="auto"/>
        </w:rPr>
        <w:t>”) prior to the earlier of (i) five (5) Business Days after the SEC informs the Company that no review of such Registration Statement will be made or that the SEC has no further comments on such Registration Statement and (ii) the 90th day after the Closing Date (or the 120th day if the SEC reviews such Registration Statement)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or, if the Registration Statement is on Form F-1 or S-1, for a period of twenty (20) days following the date on which the Company files a post-effective amendment to incorporate the Company’s Annual Report on Form 20-F or Form 10-K, as the case may be (a “</w:t>
      </w:r>
      <w:r>
        <w:rPr>
          <w:rFonts w:ascii="Arial" w:cs="Arial" w:eastAsia="Arial" w:hAnsi="Arial"/>
          <w:sz w:val="16"/>
          <w:szCs w:val="16"/>
          <w:u w:val="single" w:color="auto"/>
          <w:color w:val="auto"/>
        </w:rPr>
        <w:t>Maintenance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Failure</w:t>
      </w:r>
      <w:r>
        <w:rPr>
          <w:rFonts w:ascii="Arial" w:cs="Arial" w:eastAsia="Arial" w:hAnsi="Arial"/>
          <w:sz w:val="16"/>
          <w:szCs w:val="16"/>
          <w:color w:val="auto"/>
        </w:rPr>
        <w:t>”), then the Company will make pro rata payments to each Investor then holding Registrable Securities, as liquidated damages and not as a penalty, in an amount equal to 1.5% of the aggregate amount paid pursuant to the Purchase Agreement by such Investor for such Registrable Securities then held by such Investor on each of the following dates: (i) the initial day of an Effectiveness Failure and on</w:t>
      </w:r>
    </w:p>
    <w:p>
      <w:pPr>
        <w:spacing w:after="0" w:line="3" w:lineRule="exact"/>
        <w:rPr>
          <w:sz w:val="20"/>
          <w:szCs w:val="20"/>
          <w:color w:val="auto"/>
        </w:rPr>
      </w:pPr>
    </w:p>
    <w:p>
      <w:pPr>
        <w:jc w:val="both"/>
        <w:ind w:left="180"/>
        <w:spacing w:after="0" w:line="272" w:lineRule="auto"/>
        <w:rPr>
          <w:sz w:val="20"/>
          <w:szCs w:val="20"/>
          <w:color w:val="auto"/>
        </w:rPr>
      </w:pPr>
      <w:r>
        <w:rPr>
          <w:rFonts w:ascii="Arial" w:cs="Arial" w:eastAsia="Arial" w:hAnsi="Arial"/>
          <w:sz w:val="16"/>
          <w:szCs w:val="16"/>
          <w:color w:val="auto"/>
        </w:rPr>
        <w:t>every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thereafter (pro-rated for periods less than thirty (30) days) and (ii) the initial day of a Maintenance Failure and every thirtieth day thereafter (pro-rated for periods less than thirty (30) days) (the “</w:t>
      </w:r>
      <w:r>
        <w:rPr>
          <w:rFonts w:ascii="Arial" w:cs="Arial" w:eastAsia="Arial" w:hAnsi="Arial"/>
          <w:sz w:val="16"/>
          <w:szCs w:val="16"/>
          <w:u w:val="single" w:color="auto"/>
          <w:color w:val="auto"/>
        </w:rPr>
        <w:t>Blackout Period</w:t>
      </w:r>
      <w:r>
        <w:rPr>
          <w:rFonts w:ascii="Arial" w:cs="Arial" w:eastAsia="Arial" w:hAnsi="Arial"/>
          <w:sz w:val="16"/>
          <w:szCs w:val="16"/>
          <w:color w:val="auto"/>
        </w:rPr>
        <w:t>”). Such payments shall constitute the Investors’ exclusive monetary remedy for such events, but shall not affect the right of the Investors to seek injunctive relief. The amounts payable as liquidated damages pursuant to this paragraph shall be paid promptly but no later than ten (10) Business Days after each such 30-day period following the commencement of the Blackout Period until the termination of the Blackout Period (the “</w:t>
      </w:r>
      <w:r>
        <w:rPr>
          <w:rFonts w:ascii="Arial" w:cs="Arial" w:eastAsia="Arial" w:hAnsi="Arial"/>
          <w:sz w:val="16"/>
          <w:szCs w:val="16"/>
          <w:u w:val="single" w:color="auto"/>
          <w:color w:val="auto"/>
        </w:rPr>
        <w:t>Blackout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Date</w:t>
      </w:r>
      <w:r>
        <w:rPr>
          <w:rFonts w:ascii="Arial" w:cs="Arial" w:eastAsia="Arial" w:hAnsi="Arial"/>
          <w:sz w:val="16"/>
          <w:szCs w:val="16"/>
          <w:color w:val="auto"/>
        </w:rPr>
        <w:t xml:space="preserve">”). Such payments shall be made to each Investor in cash. Interest shall accrue at the rate of 1.5% per month on any such liquidated damages payments that shall not be paid by the Blackout Period Payment Date until such amount is paid in full. Notwithstanding the foregoing, the Company will not be liable for any liquidated damages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with respect to any Redesignated Shares prior to the Redesignation of the Non-Voting Ordinary Shares to such Redesignated Shares.</w:t>
      </w:r>
    </w:p>
    <w:p>
      <w:pPr>
        <w:spacing w:after="0" w:line="179" w:lineRule="exact"/>
        <w:rPr>
          <w:sz w:val="20"/>
          <w:szCs w:val="20"/>
          <w:color w:val="auto"/>
        </w:rPr>
      </w:pPr>
    </w:p>
    <w:p>
      <w:pPr>
        <w:ind w:left="1580" w:hanging="748"/>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parties agree that notwithstanding anything to the contrary herein or in the Purchase Agreement:</w:t>
      </w:r>
    </w:p>
    <w:p>
      <w:pPr>
        <w:spacing w:after="0" w:line="225" w:lineRule="exact"/>
        <w:rPr>
          <w:rFonts w:ascii="Arial" w:cs="Arial" w:eastAsia="Arial" w:hAnsi="Arial"/>
          <w:sz w:val="18"/>
          <w:szCs w:val="18"/>
          <w:color w:val="auto"/>
        </w:rPr>
      </w:pPr>
    </w:p>
    <w:p>
      <w:pPr>
        <w:jc w:val="both"/>
        <w:ind w:left="840" w:firstLine="640"/>
        <w:spacing w:after="0" w:line="257" w:lineRule="auto"/>
        <w:tabs>
          <w:tab w:leader="none" w:pos="2319"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liquidated damages shall be payable with respect to any period after the expiration of the Effectiveness Period (as defined below) (it being understood that this sentence shall not relieve the Company of any such payments accruing prior to the expiration of the Effectiveness Period), and in no event shall the aggregate amount of liquidated damages (or interest thereon) payable to the Investors exceed, in the aggregate, six percent (6%) of the aggregate purchase price paid by the Investors pursuant to the Purchase Agreement; and</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5" w:name="page96"/>
    <w:bookmarkEnd w:id="95"/>
    <w:p>
      <w:pPr>
        <w:jc w:val="both"/>
        <w:ind w:left="1300" w:firstLine="640"/>
        <w:spacing w:after="0" w:line="291" w:lineRule="auto"/>
        <w:tabs>
          <w:tab w:leader="none" w:pos="273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Filing Deadline and each Effectiveness Deadline for a Registration Statement shall be extended and any Maintenance Failure shall be automatically waived by no action of an Investor, in each case, without default by or liquidated damages payable by the Company hereunder to such investor in the event that the Company’s failure to make such filing or obtain such effectiveness or a Maintenance Failure results solely and directly from the failure of such Investor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Investor provides such requested information).</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reasonable best efforts to advocate before the SEC its reasonable position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including participation in any meetings or discussions with the SEC regarding the SEC’s position and to comment on any written submission made to the SEC with respect thereto, which counsel shall be designated by the Required Investors. In the event that, despite the Company’s reasonable best efforts and compliance with the terms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the SEC does not alter its position, the Company shall (i) remove from such Registration Statement such portion of the Registrable Securities (the “</w:t>
      </w:r>
      <w:r>
        <w:rPr>
          <w:rFonts w:ascii="Arial" w:cs="Arial" w:eastAsia="Arial" w:hAnsi="Arial"/>
          <w:sz w:val="16"/>
          <w:szCs w:val="16"/>
          <w:u w:val="single" w:color="auto"/>
          <w:color w:val="auto"/>
        </w:rPr>
        <w:t>Cut</w:t>
      </w:r>
      <w:r>
        <w:rPr>
          <w:rFonts w:ascii="Arial" w:cs="Arial" w:eastAsia="Arial" w:hAnsi="Arial"/>
          <w:sz w:val="16"/>
          <w:szCs w:val="16"/>
          <w:color w:val="auto"/>
        </w:rPr>
        <w:t xml:space="preserve"> </w:t>
      </w:r>
      <w:r>
        <w:rPr>
          <w:rFonts w:ascii="Arial" w:cs="Arial" w:eastAsia="Arial" w:hAnsi="Arial"/>
          <w:sz w:val="16"/>
          <w:szCs w:val="16"/>
          <w:u w:val="single" w:color="auto"/>
          <w:color w:val="auto"/>
        </w:rPr>
        <w:t>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u w:val="single" w:color="auto"/>
          <w:color w:val="auto"/>
        </w:rPr>
        <w:t>SEC Restrictions</w:t>
      </w:r>
      <w:r>
        <w:rPr>
          <w:rFonts w:ascii="Arial" w:cs="Arial" w:eastAsia="Arial" w:hAnsi="Arial"/>
          <w:sz w:val="16"/>
          <w:szCs w:val="16"/>
          <w:color w:val="auto"/>
        </w:rPr>
        <w:t xml:space="preserve">”); provided, however, that the Company shall not agree to name any Investor as an “underwriter” in such Registration Statement without the prior written consent of such Investor. Any cut-back imposed on the Investors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Arial" w:cs="Arial" w:eastAsia="Arial" w:hAnsi="Arial"/>
          <w:sz w:val="16"/>
          <w:szCs w:val="16"/>
          <w:u w:val="single" w:color="auto"/>
          <w:color w:val="auto"/>
        </w:rPr>
        <w:t>Restriction Termination Date</w:t>
      </w:r>
      <w:r>
        <w:rPr>
          <w:rFonts w:ascii="Arial" w:cs="Arial" w:eastAsia="Arial" w:hAnsi="Arial"/>
          <w:sz w:val="16"/>
          <w:szCs w:val="16"/>
          <w:color w:val="auto"/>
        </w:rPr>
        <w:t xml:space="preserve">”). From and after the Restriction Termination Date applicable to any Cut Back Shares, all of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provided, however, that (i) the Filing Deadline for such Registration Statement including such Cut Back Shares shall be ten (10) Business Days after such Restriction Termination Date, and (ii) the date by which the Company is required to obtain effectiveness with respect to such Cut Back Shares under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the 90th day immediately after the Restriction Termination Date (or the 120th day if the SEC reviews such Registration Statement).</w:t>
      </w:r>
    </w:p>
    <w:p>
      <w:pPr>
        <w:spacing w:after="0" w:line="39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6" w:name="page97"/>
    <w:bookmarkEnd w:id="96"/>
    <w:p>
      <w:pPr>
        <w:jc w:val="both"/>
        <w:ind w:left="660" w:right="20" w:firstLine="648"/>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ADS Registration</w:t>
      </w:r>
      <w:r>
        <w:rPr>
          <w:rFonts w:ascii="Arial" w:cs="Arial" w:eastAsia="Arial" w:hAnsi="Arial"/>
          <w:sz w:val="18"/>
          <w:szCs w:val="18"/>
          <w:color w:val="auto"/>
        </w:rPr>
        <w:t>. During the Effectiveness Period (as defined below), the Company shall use its commercially reasonable efforts to ensure that the ADSs representing Ordinary Shares constituting Registrable Securities are registered under the 1933 Act and that the ADSs are registered under the 1934 Act.</w:t>
      </w:r>
    </w:p>
    <w:p>
      <w:pPr>
        <w:spacing w:after="0" w:line="184" w:lineRule="exact"/>
        <w:rPr>
          <w:sz w:val="20"/>
          <w:szCs w:val="20"/>
          <w:color w:val="auto"/>
        </w:rPr>
      </w:pPr>
    </w:p>
    <w:p>
      <w:pPr>
        <w:ind w:firstLine="656"/>
        <w:spacing w:after="0" w:line="277" w:lineRule="auto"/>
        <w:tabs>
          <w:tab w:leader="none" w:pos="13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reasonable best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jc w:val="both"/>
        <w:ind w:left="1300" w:firstLine="652"/>
        <w:spacing w:after="0" w:line="301" w:lineRule="auto"/>
        <w:tabs>
          <w:tab w:leader="none" w:pos="2858" w:val="left"/>
        </w:tabs>
        <w:numPr>
          <w:ilvl w:val="1"/>
          <w:numId w:val="46"/>
        </w:numPr>
        <w:rPr>
          <w:rFonts w:ascii="Arial" w:cs="Arial" w:eastAsia="Arial" w:hAnsi="Arial"/>
          <w:sz w:val="16"/>
          <w:szCs w:val="16"/>
          <w:color w:val="auto"/>
        </w:rPr>
      </w:pPr>
      <w:r>
        <w:rPr>
          <w:rFonts w:ascii="Arial" w:cs="Arial" w:eastAsia="Arial" w:hAnsi="Arial"/>
          <w:sz w:val="16"/>
          <w:szCs w:val="16"/>
          <w:color w:val="auto"/>
        </w:rPr>
        <w:t>use reasonable best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there cease to be any Registrable Securities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and advise the Investors promptly in writing when the Effectiveness Period has expired;</w:t>
      </w:r>
    </w:p>
    <w:p>
      <w:pPr>
        <w:spacing w:after="0" w:line="157" w:lineRule="exact"/>
        <w:rPr>
          <w:rFonts w:ascii="Arial" w:cs="Arial" w:eastAsia="Arial" w:hAnsi="Arial"/>
          <w:sz w:val="16"/>
          <w:szCs w:val="16"/>
          <w:color w:val="auto"/>
        </w:rPr>
      </w:pPr>
    </w:p>
    <w:p>
      <w:pPr>
        <w:jc w:val="both"/>
        <w:ind w:left="1300" w:firstLine="652"/>
        <w:spacing w:after="0" w:line="311" w:lineRule="auto"/>
        <w:tabs>
          <w:tab w:leader="none" w:pos="26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48" w:lineRule="exact"/>
        <w:rPr>
          <w:rFonts w:ascii="Arial" w:cs="Arial" w:eastAsia="Arial" w:hAnsi="Arial"/>
          <w:sz w:val="16"/>
          <w:szCs w:val="16"/>
          <w:color w:val="auto"/>
        </w:rPr>
      </w:pPr>
    </w:p>
    <w:p>
      <w:pPr>
        <w:ind w:left="1300" w:firstLine="652"/>
        <w:spacing w:after="0" w:line="277" w:lineRule="auto"/>
        <w:tabs>
          <w:tab w:leader="none" w:pos="26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provide copies to and permit each Investor to review each Registration Statement and all amendments and supplements thereto prior to their filing with the SEC;</w:t>
      </w:r>
    </w:p>
    <w:p>
      <w:pPr>
        <w:spacing w:after="0" w:line="170" w:lineRule="exact"/>
        <w:rPr>
          <w:rFonts w:ascii="Arial" w:cs="Arial" w:eastAsia="Arial" w:hAnsi="Arial"/>
          <w:sz w:val="18"/>
          <w:szCs w:val="18"/>
          <w:color w:val="auto"/>
        </w:rPr>
      </w:pPr>
    </w:p>
    <w:p>
      <w:pPr>
        <w:jc w:val="both"/>
        <w:ind w:left="1300" w:firstLine="652"/>
        <w:spacing w:after="0" w:line="270" w:lineRule="auto"/>
        <w:tabs>
          <w:tab w:leader="none" w:pos="2679" w:val="left"/>
        </w:tabs>
        <w:numPr>
          <w:ilvl w:val="1"/>
          <w:numId w:val="46"/>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 (it being understood and agreed that such documents, or access thereto, may be provided electronically);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180" w:firstLine="652"/>
        <w:spacing w:after="0" w:line="277" w:lineRule="auto"/>
        <w:tabs>
          <w:tab w:leader="none" w:pos="15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reasonable best efforts to (i) prevent the issuance of any stop order or other suspension of effectiveness and, (ii) if such order is issued, obtain the withdrawal of any such order as soon as practicable;</w:t>
      </w:r>
    </w:p>
    <w:p>
      <w:pPr>
        <w:spacing w:after="0" w:line="170" w:lineRule="exact"/>
        <w:rPr>
          <w:rFonts w:ascii="Arial" w:cs="Arial" w:eastAsia="Arial" w:hAnsi="Arial"/>
          <w:sz w:val="18"/>
          <w:szCs w:val="18"/>
          <w:color w:val="auto"/>
        </w:rPr>
      </w:pPr>
    </w:p>
    <w:p>
      <w:pPr>
        <w:jc w:val="both"/>
        <w:ind w:left="180" w:firstLine="652"/>
        <w:spacing w:after="0" w:line="293" w:lineRule="auto"/>
        <w:tabs>
          <w:tab w:leader="none" w:pos="16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prior to any public offering of Registrable Securities, use reasonable best efforts to register or qualify or cooperate with the Investors and their counsel in connection with the registration or qualification of such Registrable Securities for the offer and sale under the securities or blue sky laws of such jurisdictions reasonably requested by the Investors;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(ii) subject itself to general taxation in any jurisdiction where it would not otherwise be so subject but for this </w:t>
      </w:r>
      <w:r>
        <w:rPr>
          <w:rFonts w:ascii="Arial" w:cs="Arial" w:eastAsia="Arial" w:hAnsi="Arial"/>
          <w:sz w:val="16"/>
          <w:szCs w:val="16"/>
          <w:u w:val="single" w:color="auto"/>
          <w:color w:val="auto"/>
        </w:rPr>
        <w:t>Section 3(f)</w:t>
      </w:r>
      <w:r>
        <w:rPr>
          <w:rFonts w:ascii="Arial" w:cs="Arial" w:eastAsia="Arial" w:hAnsi="Arial"/>
          <w:sz w:val="16"/>
          <w:szCs w:val="16"/>
          <w:color w:val="auto"/>
        </w:rPr>
        <w:t>, or (iii) file a general consent to service of process in any such jurisdiction;</w:t>
      </w:r>
    </w:p>
    <w:p>
      <w:pPr>
        <w:spacing w:after="0" w:line="164" w:lineRule="exact"/>
        <w:rPr>
          <w:rFonts w:ascii="Arial" w:cs="Arial" w:eastAsia="Arial" w:hAnsi="Arial"/>
          <w:sz w:val="16"/>
          <w:szCs w:val="16"/>
          <w:color w:val="auto"/>
        </w:rPr>
      </w:pPr>
    </w:p>
    <w:p>
      <w:pPr>
        <w:ind w:left="180" w:firstLine="652"/>
        <w:spacing w:after="0" w:line="342" w:lineRule="auto"/>
        <w:tabs>
          <w:tab w:leader="none" w:pos="1573" w:val="left"/>
        </w:tabs>
        <w:numPr>
          <w:ilvl w:val="0"/>
          <w:numId w:val="47"/>
        </w:numPr>
        <w:rPr>
          <w:rFonts w:ascii="Arial" w:cs="Arial" w:eastAsia="Arial" w:hAnsi="Arial"/>
          <w:sz w:val="16"/>
          <w:szCs w:val="16"/>
          <w:color w:val="auto"/>
        </w:rPr>
      </w:pPr>
      <w:r>
        <w:rPr>
          <w:rFonts w:ascii="Arial" w:cs="Arial" w:eastAsia="Arial" w:hAnsi="Arial"/>
          <w:sz w:val="16"/>
          <w:szCs w:val="16"/>
          <w:color w:val="auto"/>
        </w:rPr>
        <w:t>use reasonable best efforts to cause all Registrable Securities covered by a Registration Statement to be listed on each securities exchange, interdealer quotation system or other market on which similar securities issued by the Company are then listed;</w:t>
      </w:r>
    </w:p>
    <w:p>
      <w:pPr>
        <w:spacing w:after="0" w:line="123" w:lineRule="exact"/>
        <w:rPr>
          <w:rFonts w:ascii="Arial" w:cs="Arial" w:eastAsia="Arial" w:hAnsi="Arial"/>
          <w:sz w:val="16"/>
          <w:szCs w:val="16"/>
          <w:color w:val="auto"/>
        </w:rPr>
      </w:pPr>
    </w:p>
    <w:p>
      <w:pPr>
        <w:jc w:val="both"/>
        <w:ind w:left="180" w:firstLine="652"/>
        <w:spacing w:after="0" w:line="254" w:lineRule="auto"/>
        <w:tabs>
          <w:tab w:leader="none" w:pos="1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91" w:lineRule="exact"/>
        <w:rPr>
          <w:rFonts w:ascii="Arial" w:cs="Arial" w:eastAsia="Arial" w:hAnsi="Arial"/>
          <w:sz w:val="18"/>
          <w:szCs w:val="18"/>
          <w:color w:val="auto"/>
        </w:rPr>
      </w:pPr>
    </w:p>
    <w:p>
      <w:pPr>
        <w:jc w:val="both"/>
        <w:ind w:left="180" w:firstLine="652"/>
        <w:spacing w:after="0" w:line="273" w:lineRule="auto"/>
        <w:tabs>
          <w:tab w:leader="none" w:pos="16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otherwise use reasonable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177" w:lineRule="exact"/>
        <w:rPr>
          <w:rFonts w:ascii="Arial" w:cs="Arial" w:eastAsia="Arial" w:hAnsi="Arial"/>
          <w:sz w:val="17"/>
          <w:szCs w:val="17"/>
          <w:color w:val="auto"/>
        </w:rPr>
      </w:pPr>
    </w:p>
    <w:p>
      <w:pPr>
        <w:jc w:val="both"/>
        <w:ind w:left="180" w:firstLine="652"/>
        <w:spacing w:after="0" w:line="311" w:lineRule="auto"/>
        <w:tabs>
          <w:tab w:leader="none" w:pos="16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two (2) Business Days after a Registration Statement which covers Registrable Securities is ordered effective by the SEC, the Company shall deliver to the Depositary (with copies to the Investors whose Registrable Securities are included in such Registration Statement) confirmation that such Registration Statement has been declared effective by the SEC; and</w:t>
      </w:r>
    </w:p>
    <w:p>
      <w:pPr>
        <w:spacing w:after="0" w:line="3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8" w:name="page99"/>
    <w:bookmarkEnd w:id="98"/>
    <w:p>
      <w:pPr>
        <w:jc w:val="both"/>
        <w:ind w:left="1300" w:firstLine="652"/>
        <w:spacing w:after="0" w:line="268" w:lineRule="auto"/>
        <w:tabs>
          <w:tab w:leader="none" w:pos="2720" w:val="left"/>
        </w:tabs>
        <w:numPr>
          <w:ilvl w:val="2"/>
          <w:numId w:val="48"/>
        </w:numPr>
        <w:rPr>
          <w:rFonts w:ascii="Arial" w:cs="Arial" w:eastAsia="Arial" w:hAnsi="Arial"/>
          <w:sz w:val="17"/>
          <w:szCs w:val="17"/>
          <w:color w:val="auto"/>
        </w:rPr>
      </w:pPr>
      <w:r>
        <w:rPr>
          <w:rFonts w:ascii="Arial" w:cs="Arial" w:eastAsia="Arial" w:hAnsi="Arial"/>
          <w:sz w:val="17"/>
          <w:szCs w:val="17"/>
          <w:color w:val="auto"/>
        </w:rPr>
        <w:t>with a view to making available to the Investors the benefits of Rule 144 (or its successor rule) and any other rule or regulation of the SEC that may at any time permit the Investors to sell the Private Placement ADSs and any Redesignated ADSs to the public without registration, the Company covenants and agrees to: (i) make and keep adequate current public information available, as those terms are understood and defined in Rule 144, until the earlier of (A) six months after such date as all of the Private Placement ADSs and any Redesignated ADSs may be sold without restriction (including any volume or manner-of-sale restrictions and taking into consideration the tacking provisions available under Rule 144) by the holders thereof pursuant to Rule 144 or any other rule of similar effect or (B) such date as all of the Private Placement ADSs and any Redesignated ADSs shall have been resold; (ii) file with the SEC in a timely manner all reports and other documents required of the Company under the 1934 Act; and (iii) furnish to each Investor upon request, as long as such Investor owns any Private Placement ADSs or Redesignated ADSs, (A) a written statement by the Company that it has complied with the reporting requirements of the 1934 Act, (B) a copy of the Company’s most recent Annual Report on Form 20-F or Form 10-K, as the case may be, or quarterly financial statements on Form 6-K or Form 10-Q, as the case may be, and (C) such other information as may be reasonably requested in order to avail such Investor of any rule or regulation of the SEC that permits the selling of any such Registrable Securities without registration.</w:t>
      </w:r>
    </w:p>
    <w:p>
      <w:pPr>
        <w:spacing w:after="0" w:line="186" w:lineRule="exact"/>
        <w:rPr>
          <w:rFonts w:ascii="Arial" w:cs="Arial" w:eastAsia="Arial" w:hAnsi="Arial"/>
          <w:sz w:val="17"/>
          <w:szCs w:val="17"/>
          <w:color w:val="auto"/>
        </w:rPr>
      </w:pPr>
    </w:p>
    <w:p>
      <w:pPr>
        <w:jc w:val="both"/>
        <w:ind w:firstLine="656"/>
        <w:spacing w:after="0" w:line="283" w:lineRule="auto"/>
        <w:tabs>
          <w:tab w:leader="none" w:pos="1417"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Due Diligence Review; Information</w:t>
      </w:r>
      <w:r>
        <w:rPr>
          <w:rFonts w:ascii="Arial" w:cs="Arial" w:eastAsia="Arial" w:hAnsi="Arial"/>
          <w:sz w:val="16"/>
          <w:szCs w:val="16"/>
          <w:color w:val="auto"/>
        </w:rPr>
        <w:t>. The Company shall, upon reasonable prior notice, make available, during normal business hours, for inspection and review by the Investors, and advisors to and representatives of the Investors (who may or may not be affiliated with the Investors and who are reasonably acceptable to the Company)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pertinent financial and other records, and all other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for the purpose of establishing a due diligence defense to underwriter liability under the 1933 Act; provided, however, that each Inspector shall have 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w:t>
      </w:r>
    </w:p>
    <w:p>
      <w:pPr>
        <w:spacing w:after="0" w:line="2" w:lineRule="exact"/>
        <w:rPr>
          <w:rFonts w:ascii="Arial" w:cs="Arial" w:eastAsia="Arial" w:hAnsi="Arial"/>
          <w:sz w:val="16"/>
          <w:szCs w:val="16"/>
          <w:color w:val="auto"/>
        </w:rPr>
      </w:pPr>
    </w:p>
    <w:p>
      <w:pPr>
        <w:jc w:val="both"/>
        <w:ind w:firstLine="8"/>
        <w:spacing w:after="0" w:line="253" w:lineRule="auto"/>
        <w:tabs>
          <w:tab w:leader="none" w:pos="2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information in such Records has been made generally available to the public other than by disclosure in violation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any other Transaction Document.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75" w:lineRule="auto"/>
        <w:rPr>
          <w:sz w:val="20"/>
          <w:szCs w:val="20"/>
          <w:color w:val="auto"/>
        </w:rPr>
      </w:pPr>
      <w:r>
        <w:rPr>
          <w:rFonts w:ascii="Arial" w:cs="Arial" w:eastAsia="Arial" w:hAnsi="Arial"/>
          <w:sz w:val="17"/>
          <w:szCs w:val="17"/>
          <w:color w:val="auto"/>
        </w:rPr>
        <w:t>Notwithstanding the foregoing, the Company shall not disclose material nonpublic information and/or inside information (as defined in Article 7 of MAR) to the Investors, or to advisors to or representatives of the Investors, unless prior to disclosure of such information the Company identifies such information as being material nonpublic information and/or inside information and provides the Investors, such advisors and such representatives with the opportunity to accept or refuse to accept such material nonpublic information and/or inside information for review and any Investor wishing to obtain such information enters into an appropriate confidentiality and non-use agreement with the Company with respect thereto.</w:t>
      </w:r>
    </w:p>
    <w:p>
      <w:pPr>
        <w:spacing w:after="0" w:line="176" w:lineRule="exact"/>
        <w:rPr>
          <w:sz w:val="20"/>
          <w:szCs w:val="20"/>
          <w:color w:val="auto"/>
        </w:rPr>
      </w:pPr>
    </w:p>
    <w:p>
      <w:pPr>
        <w:ind w:left="1340" w:hanging="684"/>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8" w:lineRule="auto"/>
        <w:tabs>
          <w:tab w:leader="none" w:pos="2642"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including the Selling Securityholders Questionnaire,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to the Company at least two (2) Business Days prior to the first anticipated filing date of such Registration Statement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181" w:lineRule="exact"/>
        <w:rPr>
          <w:rFonts w:ascii="Arial" w:cs="Arial" w:eastAsia="Arial" w:hAnsi="Arial"/>
          <w:sz w:val="17"/>
          <w:szCs w:val="17"/>
          <w:color w:val="auto"/>
        </w:rPr>
      </w:pPr>
    </w:p>
    <w:p>
      <w:pPr>
        <w:jc w:val="both"/>
        <w:ind w:left="1300" w:firstLine="652"/>
        <w:spacing w:after="0" w:line="311" w:lineRule="auto"/>
        <w:tabs>
          <w:tab w:leader="none" w:pos="2774"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left="644" w:firstLine="652"/>
        <w:spacing w:after="0" w:line="259" w:lineRule="auto"/>
        <w:tabs>
          <w:tab w:leader="none" w:pos="1986"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Each Investor agrees that, upon receipt of any notice from the Company of either (i) the commencement of an Allowed Delay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or (ii) the happening of an event pursuant to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86" w:lineRule="exact"/>
        <w:rPr>
          <w:rFonts w:ascii="Arial" w:cs="Arial" w:eastAsia="Arial" w:hAnsi="Arial"/>
          <w:sz w:val="18"/>
          <w:szCs w:val="18"/>
          <w:color w:val="auto"/>
        </w:rPr>
      </w:pPr>
    </w:p>
    <w:p>
      <w:pPr>
        <w:ind w:left="644" w:firstLine="652"/>
        <w:spacing w:after="0" w:line="342" w:lineRule="auto"/>
        <w:tabs>
          <w:tab w:leader="none" w:pos="207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23" w:lineRule="exact"/>
        <w:rPr>
          <w:rFonts w:ascii="Arial" w:cs="Arial" w:eastAsia="Arial" w:hAnsi="Arial"/>
          <w:sz w:val="16"/>
          <w:szCs w:val="16"/>
          <w:color w:val="auto"/>
        </w:rPr>
      </w:pPr>
    </w:p>
    <w:p>
      <w:pPr>
        <w:ind w:left="684" w:hanging="684"/>
        <w:spacing w:after="0"/>
        <w:tabs>
          <w:tab w:leader="none" w:pos="68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will indemnify and hold harmless each Investor and its officers, directors, partners, members, employees, investment advisers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1933 Act or 1934 Act applicable to the Company or its agents and relating to action or inaction required of the Company in connection with such registration, and will reimburse such Investor, and each such officer, director, partner, member, employee, investment adviser, agent and each such controlling person for any documented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 or (iv) an Investor’s bad faith, gross negligence, recklessness, fraud or willful misconduct.</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1" w:name="page102"/>
    <w:bookmarkEnd w:id="101"/>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Indemnification by the Investors</w:t>
      </w:r>
      <w:r>
        <w:rPr>
          <w:rFonts w:ascii="Arial" w:cs="Arial" w:eastAsia="Arial" w:hAnsi="Arial"/>
          <w:sz w:val="17"/>
          <w:szCs w:val="17"/>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8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3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2" w:name="page103"/>
    <w:bookmarkEnd w:id="102"/>
    <w:p>
      <w:pPr>
        <w:jc w:val="both"/>
        <w:ind w:left="4" w:firstLine="648"/>
        <w:spacing w:after="0" w:line="26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Contribution</w:t>
      </w:r>
      <w:r>
        <w:rPr>
          <w:rFonts w:ascii="Arial" w:cs="Arial" w:eastAsia="Arial" w:hAnsi="Arial"/>
          <w:sz w:val="17"/>
          <w:szCs w:val="17"/>
          <w:color w:val="auto"/>
        </w:rPr>
        <w:t>. If for any reason the indemnification provided for in the preceding Sections 6.1 and 6.2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2" w:lineRule="exact"/>
        <w:rPr>
          <w:sz w:val="20"/>
          <w:szCs w:val="20"/>
          <w:color w:val="auto"/>
        </w:rPr>
      </w:pPr>
    </w:p>
    <w:p>
      <w:pPr>
        <w:ind w:left="684" w:hanging="684"/>
        <w:spacing w:after="0"/>
        <w:tabs>
          <w:tab w:leader="none" w:pos="68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only by a writing signed by the Company and the Required Investors; provided that no such amendment shall be effective to the extent that it applies to less than all of the Investors or holders of Registrable Securities.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71"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as set forth in Section 10.4 of the Purchase Agreement.</w:t>
      </w:r>
    </w:p>
    <w:p>
      <w:pPr>
        <w:spacing w:after="0" w:line="170"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Assignments and Transfers by Investors</w:t>
      </w:r>
      <w:r>
        <w:rPr>
          <w:rFonts w:ascii="Arial" w:cs="Arial" w:eastAsia="Arial" w:hAnsi="Arial"/>
          <w:sz w:val="17"/>
          <w:szCs w:val="17"/>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(v) such transfer shall have been made in accordance with the applicable requirements of the Purchase Agreement and (vi) unless the transferee or assignee is an Affiliate of, and after such transfer or assignment continues to be an Affiliate of, such Investor, the amount of Registrable Securities transferred or assigned to such transferee or assignee represents at least $1.0 million of Registrable Securities (based on the then-current market price of the ADSs).</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3" w:name="page104"/>
    <w:bookmarkEnd w:id="103"/>
    <w:p>
      <w:pPr>
        <w:jc w:val="both"/>
        <w:ind w:firstLine="648"/>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Assignments and Transfers by the Company</w:t>
      </w:r>
      <w:r>
        <w:rPr>
          <w:rFonts w:ascii="Arial" w:cs="Arial" w:eastAsia="Arial" w:hAnsi="Arial"/>
          <w:sz w:val="16"/>
          <w:szCs w:val="16"/>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Securities (or the Private Placement Shares and Redesignated Shares)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4" w:name="page105"/>
    <w:bookmarkEnd w:id="104"/>
    <w:p>
      <w:pPr>
        <w:jc w:val="both"/>
        <w:ind w:firstLine="648"/>
        <w:spacing w:after="0" w:line="259"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Transaction Documents are intended by the parties as a final expression of their agreement and intended to be a complete and exclusive statement of the agreement and understanding of the parties hereto in respect of the subject matter contained herein. This Agreement and the other Transaction Documents supersede all prior agreements and understandings between the parties with respect to such subject matter.</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8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provided herein are cumulative and not exclusive of any remedies provided by law.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Tekla Funds</w:t>
      </w:r>
      <w:r>
        <w:rPr>
          <w:rFonts w:ascii="Arial" w:cs="Arial" w:eastAsia="Arial" w:hAnsi="Arial"/>
          <w:sz w:val="18"/>
          <w:szCs w:val="18"/>
          <w:color w:val="auto"/>
        </w:rPr>
        <w:t>. A copy of the Declaration of Trust, as amended and restated, for each of Tekla Fund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p>
    <w:p>
      <w:pPr>
        <w:spacing w:after="0" w:line="18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5" w:name="page106"/>
    <w:bookmarkEnd w:id="105"/>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Zaccardelli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Abingworth Bioventures VI LP acting by its Manager Abingworth LLP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Heard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 General Counsel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ACORN BIOVENTURES,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ACORN CAPITAL ADVISORS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Anders Hove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 BIOTECHNOLOGY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gridSpan w:val="2"/>
          </w:tcPr>
          <w:p>
            <w:pPr>
              <w:spacing w:after="0"/>
              <w:rPr>
                <w:sz w:val="20"/>
                <w:szCs w:val="20"/>
                <w:color w:val="auto"/>
              </w:rPr>
            </w:pPr>
            <w:r>
              <w:rPr>
                <w:rFonts w:ascii="Arial" w:cs="Arial" w:eastAsia="Arial" w:hAnsi="Arial"/>
                <w:sz w:val="18"/>
                <w:szCs w:val="18"/>
                <w:color w:val="auto"/>
              </w:rPr>
              <w:t>/s/ Suzette Del Giudice and Alejandro Moreno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Suzette Del Giudice and Alejandro Moreno</w:t>
            </w:r>
          </w:p>
        </w:tc>
        <w:tc>
          <w:tcPr>
            <w:tcW w:w="5620" w:type="dxa"/>
            <w:vAlign w:val="bottom"/>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660" w:type="dxa"/>
            <w:vAlign w:val="bottom"/>
            <w:gridSpan w:val="2"/>
          </w:tcPr>
          <w:p>
            <w:pPr>
              <w:spacing w:after="0"/>
              <w:rPr>
                <w:sz w:val="20"/>
                <w:szCs w:val="20"/>
                <w:color w:val="auto"/>
              </w:rPr>
            </w:pPr>
            <w:r>
              <w:rPr>
                <w:rFonts w:ascii="Arial" w:cs="Arial" w:eastAsia="Arial" w:hAnsi="Arial"/>
                <w:sz w:val="18"/>
                <w:szCs w:val="18"/>
                <w:color w:val="auto"/>
              </w:rPr>
              <w:t>Executive Vice Presidents of Access Industries Management, LLC,</w:t>
            </w:r>
          </w:p>
        </w:tc>
      </w:tr>
      <w:tr>
        <w:trPr>
          <w:trHeight w:val="230"/>
        </w:trPr>
        <w:tc>
          <w:tcPr>
            <w:tcW w:w="580" w:type="dxa"/>
            <w:vAlign w:val="bottom"/>
          </w:tcPr>
          <w:p>
            <w:pPr>
              <w:spacing w:after="0"/>
              <w:rPr>
                <w:sz w:val="20"/>
                <w:szCs w:val="20"/>
                <w:color w:val="auto"/>
              </w:rPr>
            </w:pPr>
          </w:p>
        </w:tc>
        <w:tc>
          <w:tcPr>
            <w:tcW w:w="1066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4"/>
                <w:szCs w:val="24"/>
                <w:color w:val="auto"/>
              </w:rPr>
            </w:pPr>
          </w:p>
        </w:tc>
        <w:tc>
          <w:tcPr>
            <w:tcW w:w="10660" w:type="dxa"/>
            <w:vAlign w:val="bottom"/>
            <w:gridSpan w:val="2"/>
          </w:tcPr>
          <w:p>
            <w:pPr>
              <w:ind w:left="3200"/>
              <w:spacing w:after="0"/>
              <w:rPr>
                <w:sz w:val="20"/>
                <w:szCs w:val="20"/>
                <w:color w:val="auto"/>
              </w:rPr>
            </w:pPr>
            <w:r>
              <w:rPr>
                <w:rFonts w:ascii="Arial" w:cs="Arial" w:eastAsia="Arial" w:hAnsi="Arial"/>
                <w:sz w:val="18"/>
                <w:szCs w:val="18"/>
                <w:color w:val="auto"/>
              </w:rPr>
              <w:t>[Signature Page to Registration Rights Agreement]</w:t>
            </w:r>
          </w:p>
        </w:tc>
      </w:tr>
      <w:tr>
        <w:trPr>
          <w:trHeight w:val="432"/>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9" w:name="page110"/>
    <w:bookmarkEnd w:id="109"/>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Aisling Capital IV,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Robert Wenzel</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Altium Growth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Gottlieb</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Mark Gottlieb</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BKB Growth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Tiger Lily Capital, LLC, its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 Manning</w:t>
            </w:r>
          </w:p>
        </w:tc>
        <w:tc>
          <w:tcPr>
            <w:tcW w:w="2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Manning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320" w:type="dxa"/>
            <w:vAlign w:val="bottom"/>
            <w:gridSpan w:val="2"/>
          </w:tcPr>
          <w:p>
            <w:pPr>
              <w:spacing w:after="0" w:line="195" w:lineRule="exact"/>
              <w:rPr>
                <w:sz w:val="20"/>
                <w:szCs w:val="20"/>
                <w:color w:val="auto"/>
              </w:rPr>
            </w:pPr>
            <w:r>
              <w:rPr>
                <w:rFonts w:ascii="Arial" w:cs="Arial" w:eastAsia="Arial" w:hAnsi="Arial"/>
                <w:sz w:val="18"/>
                <w:szCs w:val="18"/>
                <w:color w:val="auto"/>
              </w:rPr>
              <w:t>Paul B. Manning</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Bradford Manning</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2320" w:type="dxa"/>
            <w:vAlign w:val="bottom"/>
            <w:gridSpan w:val="2"/>
          </w:tcPr>
          <w:p>
            <w:pPr>
              <w:spacing w:after="0" w:line="190" w:lineRule="exact"/>
              <w:rPr>
                <w:sz w:val="20"/>
                <w:szCs w:val="20"/>
                <w:color w:val="auto"/>
              </w:rPr>
            </w:pPr>
            <w:r>
              <w:rPr>
                <w:rFonts w:ascii="Arial" w:cs="Arial" w:eastAsia="Arial" w:hAnsi="Arial"/>
                <w:sz w:val="18"/>
                <w:szCs w:val="18"/>
                <w:color w:val="auto"/>
              </w:rPr>
              <w:t>Manager</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Pr>
          <w:p>
            <w:pPr>
              <w:spacing w:after="0" w:line="190" w:lineRule="exact"/>
              <w:rPr>
                <w:sz w:val="20"/>
                <w:szCs w:val="20"/>
                <w:color w:val="auto"/>
              </w:rPr>
            </w:pPr>
            <w:r>
              <w:rPr>
                <w:rFonts w:ascii="Arial" w:cs="Arial" w:eastAsia="Arial" w:hAnsi="Arial"/>
                <w:sz w:val="18"/>
                <w:szCs w:val="18"/>
                <w:color w:val="auto"/>
              </w:rPr>
              <w:t>Manager</w:t>
            </w:r>
          </w:p>
        </w:tc>
      </w:tr>
      <w:tr>
        <w:trPr>
          <w:trHeight w:val="453"/>
        </w:trPr>
        <w:tc>
          <w:tcPr>
            <w:tcW w:w="5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8340" w:type="dxa"/>
            <w:vAlign w:val="bottom"/>
            <w:gridSpan w:val="3"/>
          </w:tcPr>
          <w:p>
            <w:pPr>
              <w:ind w:left="880"/>
              <w:spacing w:after="0"/>
              <w:rPr>
                <w:sz w:val="20"/>
                <w:szCs w:val="20"/>
                <w:color w:val="auto"/>
              </w:rPr>
            </w:pPr>
            <w:r>
              <w:rPr>
                <w:rFonts w:ascii="Arial" w:cs="Arial" w:eastAsia="Arial" w:hAnsi="Arial"/>
                <w:sz w:val="18"/>
                <w:szCs w:val="18"/>
                <w:color w:val="auto"/>
              </w:rPr>
              <w:t>[Signature Page to Registration Rights Agreement]</w:t>
            </w:r>
          </w:p>
        </w:tc>
      </w:tr>
      <w:tr>
        <w:trPr>
          <w:trHeight w:val="432"/>
        </w:trPr>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2" w:name="page113"/>
    <w:bookmarkEnd w:id="112"/>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BLACKWELL PARTNERS LLC – SERIES A</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Abayomi A. Adigun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Abayomi A. Adigun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Investment Manager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DUMAC, Inc., Authorized Agent</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Jannine M. Lall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Jannine M. Lall</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of Finance &amp; Controller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DUMAC, Inc., Authorized Agent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CVI Investments,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Kobinger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Martin Kobinger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Investment 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DAFNA Lifescience Select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FARIBA Ghodsian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FARIBA Ghodsian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C.I.O.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DAFNA Lifescience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FARIBA Ghodsian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FARIBA Ghodsian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C.I.O.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J. EBSWORTH</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DAVID R. EBSWORTH</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BOARD CHAIRMAN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DR. MARTIN EDWARDS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Fairmount Healthcare Fund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Tomas Kiselak</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Managing 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Fairmount Healthcare Fund II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Tomas Kiselak</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Managing 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Foresite Capital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D. Ryan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Dennis D. Ryan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Ghost Tree Master Fund,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Matthew Diaz</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COO/CFO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M. Goldman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Hahn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Mark W. Hahn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Self</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Logos Global Master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Yanni Souroutzidis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Yanni Souroutzidis</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25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7"/>
              </w:rPr>
              <w:t>General Partner, Head of Research</w:t>
            </w:r>
          </w:p>
        </w:tc>
        <w:tc>
          <w:tcPr>
            <w:tcW w:w="2540" w:type="dxa"/>
            <w:vAlign w:val="bottom"/>
          </w:tcPr>
          <w:p>
            <w:pPr>
              <w:spacing w:after="0"/>
              <w:rPr>
                <w:sz w:val="16"/>
                <w:szCs w:val="16"/>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Growth Equity Opportunities 17,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Louis Citron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Louis Citron</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14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3"/>
              </w:rPr>
              <w:t>Chief Legal Officer</w:t>
            </w:r>
          </w:p>
        </w:tc>
        <w:tc>
          <w:tcPr>
            <w:tcW w:w="3620" w:type="dxa"/>
            <w:vAlign w:val="bottom"/>
          </w:tcPr>
          <w:p>
            <w:pPr>
              <w:spacing w:after="0"/>
              <w:rPr>
                <w:sz w:val="16"/>
                <w:szCs w:val="16"/>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Novo Holdings 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660" w:type="dxa"/>
            <w:vAlign w:val="bottom"/>
            <w:gridSpan w:val="3"/>
          </w:tcPr>
          <w:p>
            <w:pPr>
              <w:spacing w:after="0"/>
              <w:rPr>
                <w:sz w:val="20"/>
                <w:szCs w:val="20"/>
                <w:color w:val="auto"/>
              </w:rPr>
            </w:pPr>
            <w:r>
              <w:rPr>
                <w:rFonts w:ascii="Arial" w:cs="Arial" w:eastAsia="Arial" w:hAnsi="Arial"/>
                <w:sz w:val="18"/>
                <w:szCs w:val="18"/>
                <w:color w:val="auto"/>
              </w:rPr>
              <w:t>/s/ Thomas Dyrberg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Dyrberg, under specific power of attorney</w:t>
            </w:r>
          </w:p>
        </w:tc>
        <w:tc>
          <w:tcPr>
            <w:tcW w:w="5620" w:type="dxa"/>
            <w:vAlign w:val="bottom"/>
          </w:tcPr>
          <w:p>
            <w:pPr>
              <w:spacing w:after="0"/>
              <w:rPr>
                <w:sz w:val="16"/>
                <w:szCs w:val="16"/>
                <w:color w:val="auto"/>
              </w:rPr>
            </w:pP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10660" w:type="dxa"/>
            <w:vAlign w:val="bottom"/>
            <w:gridSpan w:val="3"/>
          </w:tcPr>
          <w:p>
            <w:pPr>
              <w:spacing w:after="0" w:line="190" w:lineRule="exact"/>
              <w:rPr>
                <w:sz w:val="20"/>
                <w:szCs w:val="20"/>
                <w:color w:val="auto"/>
              </w:rPr>
            </w:pPr>
            <w:r>
              <w:rPr>
                <w:rFonts w:ascii="Arial" w:cs="Arial" w:eastAsia="Arial" w:hAnsi="Arial"/>
                <w:sz w:val="18"/>
                <w:szCs w:val="18"/>
                <w:color w:val="auto"/>
              </w:rPr>
              <w:t>Managing Partners</w:t>
            </w:r>
          </w:p>
        </w:tc>
      </w:tr>
      <w:tr>
        <w:trPr>
          <w:trHeight w:val="453"/>
        </w:trPr>
        <w:tc>
          <w:tcPr>
            <w:tcW w:w="5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300" w:type="dxa"/>
            <w:vAlign w:val="bottom"/>
            <w:gridSpan w:val="2"/>
          </w:tcPr>
          <w:p>
            <w:pPr>
              <w:ind w:left="1840"/>
              <w:spacing w:after="0"/>
              <w:rPr>
                <w:sz w:val="20"/>
                <w:szCs w:val="20"/>
                <w:color w:val="auto"/>
              </w:rPr>
            </w:pPr>
            <w:r>
              <w:rPr>
                <w:rFonts w:ascii="Arial" w:cs="Arial" w:eastAsia="Arial" w:hAnsi="Arial"/>
                <w:sz w:val="18"/>
                <w:szCs w:val="18"/>
                <w:color w:val="auto"/>
              </w:rPr>
              <w:t>[Signature Page to Registration Rights Agreement]</w:t>
            </w:r>
          </w:p>
        </w:tc>
      </w:tr>
      <w:tr>
        <w:trPr>
          <w:trHeight w:val="675"/>
        </w:trPr>
        <w:tc>
          <w:tcPr>
            <w:tcW w:w="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27" w:name="page128"/>
    <w:bookmarkEnd w:id="127"/>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OrbiMed Capital GP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Bonita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Bonita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739-6400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Legal@OrbiMed.com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BIOTECH GROWTH TRUST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OrbiMed Capital LLC, solely in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capacity as Portfolio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Scotland Stevens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 Scotland Stevens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739-6400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Legal@OrbiMed.com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Parallax Biomedical Fund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Pentopoulos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Marc Pentopoulos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PD Joint Holdings, LLC Series 2016-A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Tiger Lily Capital, LLC, its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 Manning</w:t>
            </w:r>
          </w:p>
        </w:tc>
        <w:tc>
          <w:tcPr>
            <w:tcW w:w="2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Manning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320" w:type="dxa"/>
            <w:vAlign w:val="bottom"/>
            <w:gridSpan w:val="2"/>
          </w:tcPr>
          <w:p>
            <w:pPr>
              <w:spacing w:after="0" w:line="195" w:lineRule="exact"/>
              <w:rPr>
                <w:sz w:val="20"/>
                <w:szCs w:val="20"/>
                <w:color w:val="auto"/>
              </w:rPr>
            </w:pPr>
            <w:r>
              <w:rPr>
                <w:rFonts w:ascii="Arial" w:cs="Arial" w:eastAsia="Arial" w:hAnsi="Arial"/>
                <w:sz w:val="18"/>
                <w:szCs w:val="18"/>
                <w:color w:val="auto"/>
              </w:rPr>
              <w:t>Paul B. Manning</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Bradford Manning</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2320" w:type="dxa"/>
            <w:vAlign w:val="bottom"/>
            <w:gridSpan w:val="2"/>
          </w:tcPr>
          <w:p>
            <w:pPr>
              <w:spacing w:after="0" w:line="190" w:lineRule="exact"/>
              <w:rPr>
                <w:sz w:val="20"/>
                <w:szCs w:val="20"/>
                <w:color w:val="auto"/>
              </w:rPr>
            </w:pPr>
            <w:r>
              <w:rPr>
                <w:rFonts w:ascii="Arial" w:cs="Arial" w:eastAsia="Arial" w:hAnsi="Arial"/>
                <w:sz w:val="18"/>
                <w:szCs w:val="18"/>
                <w:color w:val="auto"/>
              </w:rPr>
              <w:t>Manager</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Pr>
          <w:p>
            <w:pPr>
              <w:spacing w:after="0" w:line="190" w:lineRule="exact"/>
              <w:rPr>
                <w:sz w:val="20"/>
                <w:szCs w:val="20"/>
                <w:color w:val="auto"/>
              </w:rPr>
            </w:pPr>
            <w:r>
              <w:rPr>
                <w:rFonts w:ascii="Arial" w:cs="Arial" w:eastAsia="Arial" w:hAnsi="Arial"/>
                <w:sz w:val="18"/>
                <w:szCs w:val="18"/>
                <w:color w:val="auto"/>
              </w:rPr>
              <w:t>Manager</w:t>
            </w:r>
          </w:p>
        </w:tc>
      </w:tr>
      <w:tr>
        <w:trPr>
          <w:trHeight w:val="453"/>
        </w:trPr>
        <w:tc>
          <w:tcPr>
            <w:tcW w:w="5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8340" w:type="dxa"/>
            <w:vAlign w:val="bottom"/>
            <w:gridSpan w:val="3"/>
          </w:tcPr>
          <w:p>
            <w:pPr>
              <w:ind w:left="880"/>
              <w:spacing w:after="0"/>
              <w:rPr>
                <w:sz w:val="20"/>
                <w:szCs w:val="20"/>
                <w:color w:val="auto"/>
              </w:rPr>
            </w:pPr>
            <w:r>
              <w:rPr>
                <w:rFonts w:ascii="Arial" w:cs="Arial" w:eastAsia="Arial" w:hAnsi="Arial"/>
                <w:sz w:val="18"/>
                <w:szCs w:val="18"/>
                <w:color w:val="auto"/>
              </w:rPr>
              <w:t>[Signature Page to Registration Rights Agreement]</w:t>
            </w:r>
          </w:p>
        </w:tc>
      </w:tr>
      <w:tr>
        <w:trPr>
          <w:trHeight w:val="675"/>
        </w:trPr>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31" w:name="page132"/>
    <w:bookmarkEnd w:id="131"/>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H. Mannix</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James H. Mannix</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line="190" w:lineRule="exact"/>
              <w:rPr>
                <w:sz w:val="20"/>
                <w:szCs w:val="20"/>
                <w:color w:val="auto"/>
              </w:rPr>
            </w:pPr>
            <w:r>
              <w:rPr>
                <w:rFonts w:ascii="Arial" w:cs="Arial" w:eastAsia="Arial" w:hAnsi="Arial"/>
                <w:sz w:val="18"/>
                <w:szCs w:val="18"/>
                <w:color w:val="auto"/>
              </w:rPr>
              <w:t>Chief Operating Officer</w:t>
            </w:r>
          </w:p>
        </w:tc>
      </w:tr>
      <w:tr>
        <w:trPr>
          <w:trHeight w:val="20"/>
        </w:trPr>
        <w:tc>
          <w:tcPr>
            <w:tcW w:w="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Polar Capital Partners LLP – Biotechnology fund</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Boura Kym Tomlinson 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Boura Kym Tomlinson Cann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u w:val="single" w:color="auto"/>
          <w:color w:val="auto"/>
        </w:rPr>
        <w:t>CLO/CCO</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Samir Ayub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Samir Ayub</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FD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RA Capital Healthcare Fund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Kolchinsky</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Peter Kolchinsky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Revach Fund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Chaim Davis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Samsara BioCapital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Srinivas Akkaraju</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Srinivas Akkaraju</w:t>
            </w: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line="190" w:lineRule="exact"/>
              <w:rPr>
                <w:sz w:val="20"/>
                <w:szCs w:val="20"/>
                <w:color w:val="auto"/>
              </w:rPr>
            </w:pPr>
            <w:r>
              <w:rPr>
                <w:rFonts w:ascii="Arial" w:cs="Arial" w:eastAsia="Arial" w:hAnsi="Arial"/>
                <w:sz w:val="18"/>
                <w:szCs w:val="18"/>
                <w:color w:val="auto"/>
              </w:rPr>
              <w:t>Managing General Partner</w:t>
            </w:r>
          </w:p>
        </w:tc>
      </w:tr>
      <w:tr>
        <w:trPr>
          <w:trHeight w:val="20"/>
        </w:trPr>
        <w:tc>
          <w:tcPr>
            <w:tcW w:w="5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Tekla Life Sciences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Woodward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of Fund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02" w:lineRule="auto"/>
        <w:rPr>
          <w:sz w:val="20"/>
          <w:szCs w:val="20"/>
          <w:color w:val="auto"/>
        </w:rPr>
      </w:pPr>
      <w:r>
        <w:rPr>
          <w:rFonts w:ascii="Arial" w:cs="Arial" w:eastAsia="Arial" w:hAnsi="Arial"/>
          <w:sz w:val="18"/>
          <w:szCs w:val="18"/>
          <w:color w:val="auto"/>
        </w:rPr>
        <w:t>Address: 100 Federal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617 772 8577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lwoodward@teklacap.com</w:t>
      </w:r>
    </w:p>
    <w:p>
      <w:pPr>
        <w:spacing w:after="0" w:line="211" w:lineRule="exact"/>
        <w:rPr>
          <w:sz w:val="20"/>
          <w:szCs w:val="20"/>
          <w:color w:val="auto"/>
        </w:rPr>
      </w:pPr>
    </w:p>
    <w:p>
      <w:pPr>
        <w:ind w:right="140" w:firstLine="8"/>
        <w:spacing w:after="0" w:line="259" w:lineRule="auto"/>
        <w:tabs>
          <w:tab w:leader="none" w:pos="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Tekla Life Sciences Investors is the designation of the Trustees for the time being under a Declaration of Trust dated February 20, 1992, as amended, and all persons dealing with Tekla Life Sciences Investors must look solely to the trust property for the enforcement of any claim against Tekla Life Sciences Investors, as neither the Trustees, officers nor shareholders assume any personal liability for the obligations entered into on behalf of Tekla Life Sciences Investors.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7" w:name="page138"/>
    <w:bookmarkEnd w:id="13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Tekla World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Woodward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of Fund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02" w:lineRule="auto"/>
        <w:rPr>
          <w:sz w:val="20"/>
          <w:szCs w:val="20"/>
          <w:color w:val="auto"/>
        </w:rPr>
      </w:pPr>
      <w:r>
        <w:rPr>
          <w:rFonts w:ascii="Arial" w:cs="Arial" w:eastAsia="Arial" w:hAnsi="Arial"/>
          <w:sz w:val="18"/>
          <w:szCs w:val="18"/>
          <w:color w:val="auto"/>
        </w:rPr>
        <w:t>Address: 100 Federal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617 772 8577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lwoodward@teklacap.com</w:t>
      </w:r>
    </w:p>
    <w:p>
      <w:pPr>
        <w:spacing w:after="0" w:line="211" w:lineRule="exact"/>
        <w:rPr>
          <w:sz w:val="20"/>
          <w:szCs w:val="20"/>
          <w:color w:val="auto"/>
        </w:rPr>
      </w:pPr>
    </w:p>
    <w:p>
      <w:pPr>
        <w:jc w:val="both"/>
        <w:ind w:right="160" w:firstLine="8"/>
        <w:spacing w:after="0" w:line="259" w:lineRule="auto"/>
        <w:tabs>
          <w:tab w:leader="none" w:pos="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Tekla World Healthcare Fund is the designation of the Trustees for the time being under an Amended &amp; Restated Declaration of Trust dated May 18, 2015, and all persons dealing with Tekla World Healthcare Fund must look solely to the trust property for the enforcement of any claim against Tekla World Healthcare Fund, as neither the Trustees, officers nor shareholders assume any personal liability for the obligations entered into on behalf of Tekla World Healthcare Fund.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8" w:name="page139"/>
    <w:bookmarkEnd w:id="138"/>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ISHAN SINHA 2019 TRUST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VIVEK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VIVEK SINHA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NATASHA SINHA 2019 TRUST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VIVEK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VIVEK SINHA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Soleus Capital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Soleus Capital, LLC, its General Partner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Musumeci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Musumeci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Sphera Biotech Master Fund,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Doron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Doron Breen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GP</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Sphera Global Healthcare Master Fund</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Doron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Doron Breen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A. Stalfort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A. Stalfort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Stalfort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Sean Stalfort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ANDERS ULLMAN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Vivo Ventures Fund VII,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Albert Cha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Vivo Ventures VII, LLC, General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Vivo Ventures VII Affiliates Fund,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Albert Cha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Vivo Ventures VII, LLC, General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Vivo Ventures Fund Cayman VII,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Albert Cha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Vivo Ventures Fund Cayman VII (GP), L.P.,</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Zaccardelli</w:t>
            </w:r>
          </w:p>
        </w:tc>
      </w:tr>
      <w:tr>
        <w:trPr>
          <w:trHeight w:val="169"/>
        </w:trPr>
        <w:tc>
          <w:tcPr>
            <w:tcW w:w="580" w:type="dxa"/>
            <w:vAlign w:val="bottom"/>
          </w:tcPr>
          <w:p>
            <w:pPr>
              <w:spacing w:after="0" w:line="169"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69" w:lineRule="exact"/>
              <w:rPr>
                <w:sz w:val="20"/>
                <w:szCs w:val="20"/>
                <w:color w:val="auto"/>
              </w:rPr>
            </w:pPr>
            <w:r>
              <w:rPr>
                <w:rFonts w:ascii="Arial" w:cs="Arial" w:eastAsia="Arial" w:hAnsi="Arial"/>
                <w:sz w:val="18"/>
                <w:szCs w:val="18"/>
                <w:color w:val="auto"/>
              </w:rPr>
              <w:t>David Zaccardelli</w:t>
            </w: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President &amp; CEO</w:t>
            </w:r>
          </w:p>
        </w:tc>
        <w:tc>
          <w:tcPr>
            <w:tcW w:w="3760" w:type="dxa"/>
            <w:vAlign w:val="bottom"/>
          </w:tcPr>
          <w:p>
            <w:pPr>
              <w:spacing w:after="0"/>
              <w:rPr>
                <w:sz w:val="21"/>
                <w:szCs w:val="2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Selling Securityholder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148590</wp:posOffset>
            </wp:positionV>
            <wp:extent cx="2074545" cy="10115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0745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NOT FOR RELEASE, PUBLICATION OR DISTRIBUTION, IN WHOLE OR IN PART, IN OR INTO OR FROM ANY JURISDICTION WHERE TO DO SO WOULD CONSTITUTE A VIOLATION OF THE RELEVANT LAWS OF SUCH JURISDICTION. NEITHER THIS ANNOUNCEMENT, NOR ANYTHING CONTAINED HEREIN, SHALL FORM THE BASIS OF, OR BE RELIED UPON IN CONNECTION WITH, ANY OFFER OR COMMITMENT WHATSOEVER IN ANY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of Financing, Issued Share Capital and Total Voting Rights</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LONDON, UK, and RALEIGH, NC, July 22, 2020 </w:t>
      </w:r>
      <w:r>
        <w:rPr>
          <w:rFonts w:ascii="Arial" w:cs="Arial" w:eastAsia="Arial" w:hAnsi="Arial"/>
          <w:sz w:val="16"/>
          <w:szCs w:val="16"/>
          <w:color w:val="auto"/>
        </w:rPr>
        <w:t>– Verona Pharma plc (AIM: VRP) (Nasdaq: VRNA) (“Verona Pharma” or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clinical-stage biopharmaceutical company focused on respiratory diseases, provides an update on the $200 million Financing announced on July 17, 2020.</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Capitalised terms in this announcement have the same meanings to those defined in the Financing announcement, unless otherwise indicated.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announces that closing of the Financing raising approximately $200 million before expenses was completed today.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Financing, the Company’s issued share capital is 462,367,190, comprising 106,536,006 voting Ordinary Shares in issue prior to the Financing, 307,742,288* newly issued voting Ordinary Shares (of which 307,520,072* are represented by 38,440,009* new ADSs resulting from the Financing), and 48,088,896* newly issued non-voting Ordinary Shares.</w:t>
      </w:r>
    </w:p>
    <w:p>
      <w:pPr>
        <w:spacing w:after="0" w:line="184" w:lineRule="exact"/>
        <w:rPr>
          <w:sz w:val="20"/>
          <w:szCs w:val="20"/>
          <w:color w:val="auto"/>
        </w:rPr>
      </w:pPr>
    </w:p>
    <w:p>
      <w:pPr>
        <w:jc w:val="both"/>
        <w:ind w:firstLine="8"/>
        <w:spacing w:after="0" w:line="301" w:lineRule="auto"/>
        <w:tabs>
          <w:tab w:leader="none" w:pos="144"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Note: the number of ADSs, voting Ordinary Shares and non-voting Ordinary Shares issued have been revised since the announcement of the Financing on July 17, 2020 following the election by two investors to receive a higher proportion of their combined participation in the Financing in non-voting Ordinary Shares instead of ADSs. Consequently, this has resulted in an overall decrease of 650,000 ADSs and an equivalent increase of 5,200,000 non-voting Ordinary Shares. The total number of Ordinary Shares issued and the proceeds raised by the Financing remain unchanged by this election.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Voting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Application has been made to the London Stock Exchange for the 307,742,288 new voting Ordinary Shares to be admitted to trading on AIM, with dealings expected to commence at 0800 BST tomorrow, July 23, 2020 (“Admission”).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Admission, the Company will have a total of 414,278,294 Ordinary Shares in issue each carrying one voting right, and 48,088,896 non-voting Ordinary Shares not admitted to trading. The Company does not hold any Ordinary Shares in treasury.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figure of 414,278,294 Ordinary Shares may be used by shareholders as the denominator for the calculations by which they will determine if they are required to notify their interest in, or a change to their interest in, the share capital of the Company under the Financial Conduct Authority's Disclosure and Transparency Rules. The new voting and non-voting Ordinary Shares will rank pari passu in all respects with the Ordinary Shares of the Company currently traded on AIM. The non-voting Ordinary Shares shall be non-transferrable and shall have no voting rights attached to them, and may from time to time, at the discretion of the respective shareholders, be redesignated as voting Ordinary Shares pursuant to the terms of issue of the non-voting Ordinary Shares. Following redesignation of the non-voting Ordinary Shares to voting Ordinary Shares, application will be made for the admission of the redesignated shares to trading on AIM and an announcement will be made of the resultant Total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PDMR Dealings – Updated interest in Company following Closing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made an announcement regarding the transactions by persons discharging managerial responsibilities (“PDMRs”) in connection with the Financing on July 17, 2020. Whilst there have been no changes to the individual PDMRs’ participation in the Financing, due to the revision to the total voting Ordinary Shares of the Company as detailed above, the resultant interest in the Company in respect of the individual PDMRs has changed as detailed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of Ordinary</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Updated</w:t>
            </w: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No.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or</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Interest in</w:t>
            </w: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Ordinary</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No. of ADSs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ADSs held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Company</w:t>
            </w: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to be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w:t>
            </w:r>
          </w:p>
        </w:tc>
        <w:tc>
          <w:tcPr>
            <w:tcW w:w="1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following</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following</w:t>
            </w: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PDMR Name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consideration</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Closing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Closing</w:t>
            </w:r>
          </w:p>
        </w:tc>
      </w:tr>
      <w:tr>
        <w:trPr>
          <w:trHeight w:val="195"/>
        </w:trPr>
        <w:tc>
          <w:tcPr>
            <w:tcW w:w="5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David Ebsworth</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617,603</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(ordinary</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5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99,659.71</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shares)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David Zaccardelli</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0"/>
              </w:rPr>
              <w:t>77,829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55,555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249,997.50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(ADSs)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Anders Ullman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33,333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149,998.50</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(ADSs)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Martin Edwards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6,666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29,997</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(ADSs)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Hahn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33,360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100,003.50</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(ADSs)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For further information, please contact: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Verona Pharma plc</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4"/>
          </w:tcPr>
          <w:p>
            <w:pPr>
              <w:ind w:left="220"/>
              <w:spacing w:after="0"/>
              <w:rPr>
                <w:sz w:val="20"/>
                <w:szCs w:val="20"/>
                <w:color w:val="auto"/>
              </w:rPr>
            </w:pPr>
            <w:r>
              <w:rPr>
                <w:rFonts w:ascii="Arial" w:cs="Arial" w:eastAsia="Arial" w:hAnsi="Arial"/>
                <w:sz w:val="18"/>
                <w:szCs w:val="18"/>
                <w:b w:val="1"/>
                <w:bCs w:val="1"/>
                <w:color w:val="auto"/>
              </w:rPr>
              <w:t>Tel: +44 (0)20 3283 4200</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David Zaccardelli, Chief Executive Officer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8"/>
                <w:szCs w:val="18"/>
                <w:color w:val="auto"/>
              </w:rPr>
              <w:t>info@veronapharma.com</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Victoria Stewart, Director of Communications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N+1 Singer (Nominated Adviser and UK Broker)</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4"/>
          </w:tcPr>
          <w:p>
            <w:pPr>
              <w:ind w:left="220"/>
              <w:spacing w:after="0"/>
              <w:rPr>
                <w:sz w:val="20"/>
                <w:szCs w:val="20"/>
                <w:color w:val="auto"/>
              </w:rPr>
            </w:pPr>
            <w:r>
              <w:rPr>
                <w:rFonts w:ascii="Arial" w:cs="Arial" w:eastAsia="Arial" w:hAnsi="Arial"/>
                <w:sz w:val="18"/>
                <w:szCs w:val="18"/>
                <w:b w:val="1"/>
                <w:bCs w:val="1"/>
                <w:color w:val="auto"/>
              </w:rPr>
              <w:t>Tel: +44 (0)20 7496 3000</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Aubrey Powell / George Tzimas / Iqra Amin (Corporate Finance)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Tom Salvesen (Corporate Broking)</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48"/>
        </w:trPr>
        <w:tc>
          <w:tcPr>
            <w:tcW w:w="5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decimal"/>
      <w:start w:val="2"/>
    </w:lvl>
  </w:abstractNum>
  <w:abstractNum w:abstractNumId="3">
    <w:nsid w:val="1E7FF521"/>
    <w:multiLevelType w:val="hybridMultilevel"/>
    <w:lvl w:ilvl="0">
      <w:lvlJc w:val="left"/>
      <w:lvlText w:val="%1."/>
      <w:numFmt w:val="decimal"/>
      <w:start w:val="4"/>
    </w:lvl>
  </w:abstractNum>
  <w:abstractNum w:abstractNumId="4">
    <w:nsid w:val="7C3DBD3D"/>
    <w:multiLevelType w:val="hybridMultilevel"/>
    <w:lvl w:ilvl="0">
      <w:lvlJc w:val="left"/>
      <w:lvlText w:val="(%1)"/>
      <w:numFmt w:val="lowerRoman"/>
      <w:start w:val="1"/>
    </w:lvl>
  </w:abstractNum>
  <w:abstractNum w:abstractNumId="5">
    <w:nsid w:val="737B8DDC"/>
    <w:multiLevelType w:val="hybridMultilevel"/>
    <w:lvl w:ilvl="0">
      <w:lvlJc w:val="left"/>
      <w:lvlText w:val="(%1)"/>
      <w:numFmt w:val="lowerRoman"/>
      <w:start w:val="5"/>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5"/>
    </w:lvl>
  </w:abstractNum>
  <w:abstractNum w:abstractNumId="9">
    <w:nsid w:val="3006C83E"/>
    <w:multiLevelType w:val="hybridMultilevel"/>
    <w:lvl w:ilvl="0">
      <w:lvlJc w:val="left"/>
      <w:lvlText w:val="(%1)"/>
      <w:numFmt w:val="lowerLetter"/>
      <w:start w:val="4"/>
    </w:lvl>
  </w:abstractNum>
  <w:abstractNum w:abstractNumId="10">
    <w:nsid w:val="614FD4A1"/>
    <w:multiLevelType w:val="hybridMultilevel"/>
    <w:lvl w:ilvl="0">
      <w:lvlJc w:val="left"/>
      <w:lvlText w:val="%1"/>
      <w:numFmt w:val="upperLetter"/>
      <w:start w:val="1"/>
    </w:lvl>
    <w:lvl w:ilvl="1">
      <w:lvlJc w:val="left"/>
      <w:lvlText w:val="(%2)"/>
      <w:numFmt w:val="lowerLetter"/>
      <w:start w:val="1"/>
    </w:lvl>
  </w:abstractNum>
  <w:abstractNum w:abstractNumId="11">
    <w:nsid w:val="419AC241"/>
    <w:multiLevelType w:val="hybridMultilevel"/>
    <w:lvl w:ilvl="0">
      <w:lvlJc w:val="left"/>
      <w:lvlText w:val="(%1)"/>
      <w:numFmt w:val="upperLetter"/>
      <w:start w:val="2"/>
    </w:lvl>
    <w:lvl w:ilvl="1">
      <w:lvlJc w:val="left"/>
      <w:lvlText w:val="(%2)"/>
      <w:numFmt w:val="lowerLetter"/>
      <w:start w:val="2"/>
    </w:lvl>
  </w:abstractNum>
  <w:abstractNum w:abstractNumId="12">
    <w:nsid w:val="5577F8E1"/>
    <w:multiLevelType w:val="hybridMultilevel"/>
    <w:lvl w:ilvl="0">
      <w:lvlJc w:val="left"/>
      <w:lvlText w:val="%1."/>
      <w:numFmt w:val="decimal"/>
      <w:start w:val="5"/>
    </w:lvl>
  </w:abstractNum>
  <w:abstractNum w:abstractNumId="13">
    <w:nsid w:val="440BADFC"/>
    <w:multiLevelType w:val="hybridMultilevel"/>
    <w:lvl w:ilvl="0">
      <w:lvlJc w:val="left"/>
      <w:lvlText w:val="%1"/>
      <w:numFmt w:val="upperLetter"/>
      <w:start w:val="35"/>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2"/>
    </w:lvl>
  </w:abstractNum>
  <w:abstractNum w:abstractNumId="16">
    <w:nsid w:val="77465F01"/>
    <w:multiLevelType w:val="hybridMultilevel"/>
    <w:lvl w:ilvl="0">
      <w:lvlJc w:val="left"/>
      <w:lvlText w:val="(%1)"/>
      <w:numFmt w:val="lowerRoman"/>
      <w:start w:val="1"/>
    </w:lvl>
  </w:abstractNum>
  <w:abstractNum w:abstractNumId="17">
    <w:nsid w:val="7724C67E"/>
    <w:multiLevelType w:val="hybridMultilevel"/>
    <w:lvl w:ilvl="0">
      <w:lvlJc w:val="left"/>
      <w:lvlText w:val="%1."/>
      <w:numFmt w:val="decimal"/>
      <w:start w:val="6"/>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6"/>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1"/>
    </w:lvl>
    <w:lvl w:ilvl="1">
      <w:lvlJc w:val="left"/>
      <w:lvlText w:val="(%2)"/>
      <w:numFmt w:val="lowerRoman"/>
      <w:start w:val="1"/>
    </w:lvl>
  </w:abstractNum>
  <w:abstractNum w:abstractNumId="22">
    <w:nsid w:val="2D517796"/>
    <w:multiLevelType w:val="hybridMultilevel"/>
    <w:lvl w:ilvl="0">
      <w:lvlJc w:val="left"/>
      <w:lvlText w:val="%1"/>
      <w:numFmt w:val="decimal"/>
      <w:start w:val="1"/>
    </w:lvl>
    <w:lvl w:ilvl="1">
      <w:lvlJc w:val="left"/>
      <w:lvlText w:val="(%2)"/>
      <w:numFmt w:val="lowerLetter"/>
      <w:start w:val="2"/>
    </w:lvl>
  </w:abstractNum>
  <w:abstractNum w:abstractNumId="23">
    <w:nsid w:val="580BD78F"/>
    <w:multiLevelType w:val="hybridMultilevel"/>
    <w:lvl w:ilvl="0">
      <w:lvlJc w:val="left"/>
      <w:lvlText w:val="%1."/>
      <w:numFmt w:val="decimal"/>
      <w:start w:val="7"/>
    </w:lvl>
    <w:lvl w:ilvl="1">
      <w:lvlJc w:val="left"/>
      <w:lvlText w:val="%2"/>
      <w:numFmt w:val="lowerLetter"/>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Letter"/>
      <w:start w:val="2"/>
    </w:lvl>
  </w:abstractNum>
  <w:abstractNum w:abstractNumId="26">
    <w:nsid w:val="70A64E2A"/>
    <w:multiLevelType w:val="hybridMultilevel"/>
    <w:lvl w:ilvl="0">
      <w:lvlJc w:val="left"/>
      <w:lvlText w:val="%1."/>
      <w:numFmt w:val="decimal"/>
      <w:start w:val="8"/>
    </w:lvl>
  </w:abstractNum>
  <w:abstractNum w:abstractNumId="27">
    <w:nsid w:val="6A2342EC"/>
    <w:multiLevelType w:val="hybridMultilevel"/>
    <w:lvl w:ilvl="0">
      <w:lvlJc w:val="left"/>
      <w:lvlText w:val="%1."/>
      <w:numFmt w:val="decimal"/>
      <w:start w:val="10"/>
    </w:lvl>
  </w:abstractNum>
  <w:abstractNum w:abstractNumId="28">
    <w:nsid w:val="2A487CB0"/>
    <w:multiLevelType w:val="hybridMultilevel"/>
    <w:lvl w:ilvl="0">
      <w:lvlJc w:val="left"/>
      <w:lvlText w:val="(%1)"/>
      <w:numFmt w:val="lowerRoman"/>
      <w:start w:val="2"/>
    </w:lvl>
  </w:abstractNum>
  <w:abstractNum w:abstractNumId="29">
    <w:nsid w:val="1D4ED43B"/>
    <w:multiLevelType w:val="hybridMultilevel"/>
    <w:lvl w:ilvl="0">
      <w:lvlJc w:val="left"/>
      <w:lvlText w:val="(%1)"/>
      <w:numFmt w:val="lowerRoman"/>
      <w:start w:val="2"/>
    </w:lvl>
  </w:abstractNum>
  <w:abstractNum w:abstractNumId="30">
    <w:nsid w:val="725A06FB"/>
    <w:multiLevelType w:val="hybridMultilevel"/>
    <w:lvl w:ilvl="0">
      <w:lvlJc w:val="left"/>
      <w:lvlText w:val="%1"/>
      <w:numFmt w:val="lowerRoman"/>
      <w:start w:val="1"/>
    </w:lvl>
    <w:lvl w:ilvl="1">
      <w:lvlJc w:val="left"/>
      <w:lvlText w:val="(%2)"/>
      <w:numFmt w:val="lowerRoman"/>
      <w:start w:val="1"/>
    </w:lvl>
  </w:abstractNum>
  <w:abstractNum w:abstractNumId="31">
    <w:nsid w:val="2CD89A32"/>
    <w:multiLevelType w:val="hybridMultilevel"/>
    <w:lvl w:ilvl="0">
      <w:lvlJc w:val="left"/>
      <w:lvlText w:val="(%1)"/>
      <w:numFmt w:val="lowerRoman"/>
      <w:start w:val="10"/>
    </w:lvl>
    <w:lvl w:ilvl="1">
      <w:lvlJc w:val="left"/>
      <w:lvlText w:val="(%2)"/>
      <w:numFmt w:val="lowerRoman"/>
      <w:start w:val="2"/>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lvl w:ilvl="1">
      <w:lvlJc w:val="left"/>
      <w:lvlText w:val="%2."/>
      <w:numFmt w:val="lowerLetter"/>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2"/>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2"/>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2"/>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3"/>
    </w:lvl>
    <w:lvl w:ilvl="1">
      <w:lvlJc w:val="left"/>
      <w:lvlText w:val="(%2)"/>
      <w:numFmt w:val="lowerLetter"/>
      <w:start w:val="9"/>
    </w:lvl>
  </w:abstractNum>
  <w:abstractNum w:abstractNumId="44">
    <w:nsid w:val="1BA026FA"/>
    <w:multiLevelType w:val="hybridMultilevel"/>
    <w:lvl w:ilvl="0">
      <w:lvlJc w:val="left"/>
      <w:lvlText w:val="(%1)"/>
      <w:numFmt w:val="lowerRoman"/>
      <w:start w:val="2"/>
    </w:lvl>
  </w:abstractNum>
  <w:abstractNum w:abstractNumId="45">
    <w:nsid w:val="79A1DEAA"/>
    <w:multiLevelType w:val="hybridMultilevel"/>
    <w:lvl w:ilvl="0">
      <w:lvlJc w:val="left"/>
      <w:lvlText w:val="%1."/>
      <w:numFmt w:val="decimal"/>
      <w:start w:val="3"/>
    </w:lvl>
    <w:lvl w:ilvl="1">
      <w:lvlJc w:val="left"/>
      <w:lvlText w:val="(%2)"/>
      <w:numFmt w:val="lowerLetter"/>
      <w:start w:val="1"/>
    </w:lvl>
  </w:abstractNum>
  <w:abstractNum w:abstractNumId="46">
    <w:nsid w:val="75C6C33A"/>
    <w:multiLevelType w:val="hybridMultilevel"/>
    <w:lvl w:ilvl="0">
      <w:lvlJc w:val="left"/>
      <w:lvlText w:val="(%1)"/>
      <w:numFmt w:val="lowerLetter"/>
      <w:start w:val="5"/>
    </w:lvl>
  </w:abstractNum>
  <w:abstractNum w:abstractNumId="47">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48">
    <w:nsid w:val="70C6A52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9">
    <w:nsid w:val="520EEDD1"/>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50">
    <w:nsid w:val="374A3FE6"/>
    <w:multiLevelType w:val="hybridMultilevel"/>
    <w:lvl w:ilvl="0">
      <w:lvlJc w:val="left"/>
      <w:lvlText w:val="%1."/>
      <w:numFmt w:val="decimal"/>
      <w:start w:val="5"/>
    </w:lvl>
    <w:lvl w:ilvl="1">
      <w:lvlJc w:val="left"/>
      <w:lvlText w:val="(%2)"/>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3"/>
    </w:lvl>
  </w:abstractNum>
  <w:abstractNum w:abstractNumId="52">
    <w:nsid w:val="23F9C13C"/>
    <w:multiLevelType w:val="hybridMultilevel"/>
    <w:lvl w:ilvl="0">
      <w:lvlJc w:val="left"/>
      <w:lvlText w:val="%1."/>
      <w:numFmt w:val="decimal"/>
      <w:start w:val="6"/>
    </w:lvl>
    <w:lvl w:ilvl="1">
      <w:lvlJc w:val="left"/>
      <w:lvlText w:val="%2"/>
      <w:numFmt w:val="lowerLetter"/>
      <w:start w:val="1"/>
    </w:lvl>
  </w:abstractNum>
  <w:abstractNum w:abstractNumId="53">
    <w:nsid w:val="649BB77C"/>
    <w:multiLevelType w:val="hybridMultilevel"/>
    <w:lvl w:ilvl="0">
      <w:lvlJc w:val="left"/>
      <w:lvlText w:val="%1."/>
      <w:numFmt w:val="decimal"/>
      <w:start w:val="7"/>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2020-07-22T15:06:41Z</dcterms:created>
  <dcterms:modified xsi:type="dcterms:W3CDTF">2020-07-22T15:06:41Z</dcterms:modified>
</cp:coreProperties>
</file>