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177165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188595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July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188595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188595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Verona Pharma plc</w:t>
      </w:r>
    </w:p>
    <w:p>
      <w:pPr>
        <w:spacing w:after="0" w:line="34"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175895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177165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 w:name="page2"/>
    <w:bookmarkEnd w:id="1"/>
    <w:p>
      <w:pPr>
        <w:ind w:left="302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and Subscription Announcement (the "Financing Press Release")</w:t>
      </w:r>
    </w:p>
    <w:p>
      <w:pPr>
        <w:spacing w:after="0" w:line="22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On July 17, 2020, Verona Pharma plc (the "Company") issued a press release announcing it has raised approximately $200 million in a private placement and subscription with new and existing institutional and accredited investors, including certain of the Company’s directors and officers (the “Financing”).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Financing Press Release is furnished herewith as Exhibit 1 to this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 Discharging Managerial Responsibilities ("PDMR") Announcement (the "PDMR Announcement")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17, 2020, the Company issued a press release reporting transactions by PDMRs in connection with the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PDMR Announcement is furnished herewith as Exhibit 2 to this Report on Form 6-K.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2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Exhibit</w:t>
            </w:r>
          </w:p>
        </w:tc>
        <w:tc>
          <w:tcPr>
            <w:tcW w:w="9520" w:type="dxa"/>
            <w:vAlign w:val="bottom"/>
          </w:tcPr>
          <w:p>
            <w:pPr>
              <w:spacing w:after="0"/>
              <w:rPr>
                <w:sz w:val="24"/>
                <w:szCs w:val="24"/>
                <w:color w:val="auto"/>
              </w:rPr>
            </w:pPr>
          </w:p>
        </w:tc>
      </w:tr>
      <w:tr>
        <w:trPr>
          <w:trHeight w:val="230"/>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60" w:type="dxa"/>
            <w:vAlign w:val="bottom"/>
          </w:tcPr>
          <w:p>
            <w:pPr>
              <w:spacing w:after="0"/>
              <w:rPr>
                <w:sz w:val="20"/>
                <w:szCs w:val="20"/>
                <w:color w:val="auto"/>
              </w:rPr>
            </w:pPr>
          </w:p>
        </w:tc>
        <w:tc>
          <w:tcPr>
            <w:tcW w:w="9520" w:type="dxa"/>
            <w:vAlign w:val="bottom"/>
            <w:tcBorders>
              <w:bottom w:val="single" w:sz="8" w:color="auto"/>
            </w:tcBorders>
          </w:tcPr>
          <w:p>
            <w:pPr>
              <w:ind w:left="4340"/>
              <w:spacing w:after="0"/>
              <w:rPr>
                <w:sz w:val="20"/>
                <w:szCs w:val="20"/>
                <w:color w:val="auto"/>
              </w:rPr>
            </w:pPr>
            <w:r>
              <w:rPr>
                <w:rFonts w:ascii="Arial" w:cs="Arial" w:eastAsia="Arial" w:hAnsi="Arial"/>
                <w:sz w:val="18"/>
                <w:szCs w:val="18"/>
                <w:color w:val="auto"/>
              </w:rPr>
              <w:t>Description</w:t>
            </w:r>
          </w:p>
        </w:tc>
      </w:tr>
    </w:tbl>
    <w:p>
      <w:pPr>
        <w:spacing w:after="0" w:line="202" w:lineRule="exact"/>
        <w:rPr>
          <w:sz w:val="20"/>
          <w:szCs w:val="20"/>
          <w:color w:val="auto"/>
        </w:rPr>
      </w:pPr>
    </w:p>
    <w:p>
      <w:pPr>
        <w:ind w:left="1780" w:hanging="1041"/>
        <w:spacing w:after="0"/>
        <w:tabs>
          <w:tab w:leader="none" w:pos="1780" w:val="left"/>
        </w:tabs>
        <w:numPr>
          <w:ilvl w:val="0"/>
          <w:numId w:val="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Financing Press Release</w:t>
      </w:r>
    </w:p>
    <w:p>
      <w:pPr>
        <w:spacing w:after="0" w:line="23" w:lineRule="exact"/>
        <w:rPr>
          <w:sz w:val="20"/>
          <w:szCs w:val="20"/>
          <w:color w:val="auto"/>
        </w:rPr>
      </w:pPr>
    </w:p>
    <w:p>
      <w:pPr>
        <w:ind w:left="1780" w:hanging="1041"/>
        <w:spacing w:after="0"/>
        <w:tabs>
          <w:tab w:leader="none" w:pos="1780" w:val="left"/>
        </w:tabs>
        <w:numPr>
          <w:ilvl w:val="0"/>
          <w:numId w:val="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PDMR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3"/>
          </w:tcPr>
          <w:p>
            <w:pPr>
              <w:ind w:left="23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July 17, 2020</w:t>
            </w:r>
          </w:p>
        </w:tc>
        <w:tc>
          <w:tcPr>
            <w:tcW w:w="7480" w:type="dxa"/>
            <w:vAlign w:val="bottom"/>
            <w:gridSpan w:val="3"/>
          </w:tcPr>
          <w:p>
            <w:pPr>
              <w:ind w:left="2320"/>
              <w:spacing w:after="0"/>
              <w:rPr>
                <w:sz w:val="20"/>
                <w:szCs w:val="20"/>
                <w:color w:val="auto"/>
              </w:rPr>
            </w:pPr>
            <w:r>
              <w:rPr>
                <w:rFonts w:ascii="Arial" w:cs="Arial" w:eastAsia="Arial" w:hAnsi="Arial"/>
                <w:sz w:val="18"/>
                <w:szCs w:val="18"/>
                <w:color w:val="auto"/>
              </w:rPr>
              <w:t>By:  /s/ Claire Poll</w:t>
            </w:r>
          </w:p>
        </w:tc>
      </w:tr>
      <w:tr>
        <w:trPr>
          <w:trHeight w:val="195"/>
        </w:trPr>
        <w:tc>
          <w:tcPr>
            <w:tcW w:w="37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Claire Poll</w:t>
            </w:r>
          </w:p>
        </w:tc>
      </w:tr>
      <w:tr>
        <w:trPr>
          <w:trHeight w:val="230"/>
        </w:trPr>
        <w:tc>
          <w:tcPr>
            <w:tcW w:w="3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60"/>
              <w:spacing w:after="0"/>
              <w:rPr>
                <w:sz w:val="20"/>
                <w:szCs w:val="20"/>
                <w:color w:val="auto"/>
              </w:rPr>
            </w:pPr>
            <w:r>
              <w:rPr>
                <w:rFonts w:ascii="Arial" w:cs="Arial" w:eastAsia="Arial" w:hAnsi="Arial"/>
                <w:sz w:val="18"/>
                <w:szCs w:val="18"/>
                <w:color w:val="auto"/>
              </w:rPr>
              <w:t>Legal Counsel</w:t>
            </w:r>
          </w:p>
        </w:tc>
      </w:tr>
      <w:tr>
        <w:trPr>
          <w:trHeight w:val="432"/>
        </w:trPr>
        <w:tc>
          <w:tcPr>
            <w:tcW w:w="37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154305</wp:posOffset>
            </wp:positionV>
            <wp:extent cx="2151380"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13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820"/>
        <w:spacing w:after="0" w:line="266" w:lineRule="auto"/>
        <w:rPr>
          <w:sz w:val="20"/>
          <w:szCs w:val="20"/>
          <w:color w:val="auto"/>
        </w:rPr>
      </w:pPr>
      <w:r>
        <w:rPr>
          <w:rFonts w:ascii="Arial" w:cs="Arial" w:eastAsia="Arial" w:hAnsi="Arial"/>
          <w:sz w:val="18"/>
          <w:szCs w:val="18"/>
          <w:b w:val="1"/>
          <w:bCs w:val="1"/>
          <w:color w:val="auto"/>
        </w:rPr>
        <w:t>THIS ANNOUNCEMENT CONTAINS INSIDE INFORMATION FOR THE PURPOSES OF ARTICLE 7 OF THE MARKET ABUSE REGULATION (EU) NO. 596/2014 (“MAR”). UPON PUBLICATION OF THIS ANNOUNCEMENT THIS INFORMATION IS NOW CONSIDERED IN THE PUBLIC DOMAIN.</w:t>
      </w:r>
    </w:p>
    <w:p>
      <w:pPr>
        <w:spacing w:after="0" w:line="1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NOT FOR RELEASE, PUBLICATION OR DISTRIBUTION, IN WHOLE OR IN PART, IN OR INTO OR FROM ANY JURISDICTION WHERE TO DO SO WOULD CONSTITUTE A VIOLATION OF THE RELEVANT LAWS OF SUCH JURISDICTION. NEITHER THIS ANNOUNCEMENT, NOR ANYTHING CONTAINED HEREIN, SHALL FORM THE BASIS OF, OR BE RELIED UPON IN CONNECTION WITH, ANY OFFER OR COMMITMENT WHATSOEVER IN ANY JURISDICTION.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Raises $200 Million in Oversubscribed Private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and Subscription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Funding to support Phase 3 ENHANCE clinical program in COPD</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LONDON, UK, and RALEIGH, NC, July 17, 2020 </w:t>
      </w:r>
      <w:r>
        <w:rPr>
          <w:rFonts w:ascii="Arial" w:cs="Arial" w:eastAsia="Arial" w:hAnsi="Arial"/>
          <w:sz w:val="18"/>
          <w:szCs w:val="18"/>
          <w:color w:val="auto"/>
        </w:rPr>
        <w:t>– Verona Pharma plc (AIM: VRP) (Nasdaq: VRNA) (“Verona Pharma”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biopharmaceutical company focused on respiratory diseases, announces it has raised approximately $200 million (£159 million*) in an oversubscribed private placement and subscription with new and existing institutional and accredited investors (the “Financing”). The Financing comprises a private placement of 39,090,009 of the Company’s American Depositary Shares (“ADSs”), each representing eight ordinary shares of the Company (“Ordinary Shares”), at a price of $4.50 per ADS, and 43,111,112 of the Company’s Ordinary Shares at the equivalent price per Ordinary Share, being £0.45 or $0.5625 (together the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Verona Pharma anticipates net proceeds of the Financing will be approximately $183 million after deducting placement agent fees and estimated expenses.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Financing was led by new investors RA Capital Management, Access Biotechnology, Perceptive Advisors, Acorn Bioventures, PBM Capital, Samsara BioCapital, Foresite Capital, Sphera, Fairmount and Soleus Capital, as well as additional investors. Existing investors, OrbiMed, New Enterprise Associates (NEA), Vivo Capital, Abingworth, Novo Holdings A/S, Polar Capital and Aisling Capital also participated.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Jefferies LLC (“Jefferies”) is acting as the lead placement agent to the Company in connection with the Financing.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Verona Pharma intends to use the net proceeds from the Financing primarily to fund its Phase 3 clinical program ENHANCE (</w:t>
      </w:r>
      <w:r>
        <w:rPr>
          <w:rFonts w:ascii="Arial" w:cs="Arial" w:eastAsia="Arial" w:hAnsi="Arial"/>
          <w:sz w:val="18"/>
          <w:szCs w:val="18"/>
          <w:b w:val="1"/>
          <w:bCs w:val="1"/>
          <w:color w:val="auto"/>
        </w:rPr>
        <w:t>E</w:t>
      </w:r>
      <w:r>
        <w:rPr>
          <w:rFonts w:ascii="Arial" w:cs="Arial" w:eastAsia="Arial" w:hAnsi="Arial"/>
          <w:sz w:val="18"/>
          <w:szCs w:val="18"/>
          <w:color w:val="auto"/>
        </w:rPr>
        <w:t xml:space="preserve">nsifentrine as a </w:t>
      </w:r>
      <w:r>
        <w:rPr>
          <w:rFonts w:ascii="Arial" w:cs="Arial" w:eastAsia="Arial" w:hAnsi="Arial"/>
          <w:sz w:val="18"/>
          <w:szCs w:val="18"/>
          <w:b w:val="1"/>
          <w:bCs w:val="1"/>
          <w:color w:val="auto"/>
        </w:rPr>
        <w:t>N</w:t>
      </w:r>
      <w:r>
        <w:rPr>
          <w:rFonts w:ascii="Arial" w:cs="Arial" w:eastAsia="Arial" w:hAnsi="Arial"/>
          <w:sz w:val="18"/>
          <w:szCs w:val="18"/>
          <w:color w:val="auto"/>
        </w:rPr>
        <w:t>ovel in</w:t>
      </w:r>
      <w:r>
        <w:rPr>
          <w:rFonts w:ascii="Arial" w:cs="Arial" w:eastAsia="Arial" w:hAnsi="Arial"/>
          <w:sz w:val="18"/>
          <w:szCs w:val="18"/>
          <w:b w:val="1"/>
          <w:bCs w:val="1"/>
          <w:color w:val="auto"/>
        </w:rPr>
        <w:t>HA</w:t>
      </w:r>
      <w:r>
        <w:rPr>
          <w:rFonts w:ascii="Arial" w:cs="Arial" w:eastAsia="Arial" w:hAnsi="Arial"/>
          <w:sz w:val="18"/>
          <w:szCs w:val="18"/>
          <w:color w:val="auto"/>
        </w:rPr>
        <w:t xml:space="preserve">led </w:t>
      </w:r>
      <w:r>
        <w:rPr>
          <w:rFonts w:ascii="Arial" w:cs="Arial" w:eastAsia="Arial" w:hAnsi="Arial"/>
          <w:sz w:val="18"/>
          <w:szCs w:val="18"/>
          <w:b w:val="1"/>
          <w:bCs w:val="1"/>
          <w:color w:val="auto"/>
        </w:rPr>
        <w:t>N</w:t>
      </w:r>
      <w:r>
        <w:rPr>
          <w:rFonts w:ascii="Arial" w:cs="Arial" w:eastAsia="Arial" w:hAnsi="Arial"/>
          <w:sz w:val="18"/>
          <w:szCs w:val="18"/>
          <w:color w:val="auto"/>
        </w:rPr>
        <w:t xml:space="preserve">ebulized </w:t>
      </w:r>
      <w:r>
        <w:rPr>
          <w:rFonts w:ascii="Arial" w:cs="Arial" w:eastAsia="Arial" w:hAnsi="Arial"/>
          <w:sz w:val="18"/>
          <w:szCs w:val="18"/>
          <w:b w:val="1"/>
          <w:bCs w:val="1"/>
          <w:color w:val="auto"/>
        </w:rPr>
        <w:t>C</w:t>
      </w:r>
      <w:r>
        <w:rPr>
          <w:rFonts w:ascii="Arial" w:cs="Arial" w:eastAsia="Arial" w:hAnsi="Arial"/>
          <w:sz w:val="18"/>
          <w:szCs w:val="18"/>
          <w:color w:val="auto"/>
        </w:rPr>
        <w:t>OPD th</w:t>
      </w:r>
      <w:r>
        <w:rPr>
          <w:rFonts w:ascii="Arial" w:cs="Arial" w:eastAsia="Arial" w:hAnsi="Arial"/>
          <w:sz w:val="18"/>
          <w:szCs w:val="18"/>
          <w:b w:val="1"/>
          <w:bCs w:val="1"/>
          <w:color w:val="auto"/>
        </w:rPr>
        <w:t>E</w:t>
      </w:r>
      <w:r>
        <w:rPr>
          <w:rFonts w:ascii="Arial" w:cs="Arial" w:eastAsia="Arial" w:hAnsi="Arial"/>
          <w:sz w:val="18"/>
          <w:szCs w:val="18"/>
          <w:color w:val="auto"/>
        </w:rPr>
        <w:t>rapy) in chronic obstructive pulmonary disease (COPD) and for general corporate purposes. The Phase 3 clinical trials are planned to start later in 2020.</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extremely pleased to have received support from this group of highly experienced life science investors who understand the potential benefit of ensifentrine for patients with COPD,” said David Zaccardelli, Pharm. D., President and CEO of Verona Pharma. “With this financing we plan to initiate our Phase 3 ENHANCE clinical trials later this year and expect to support our programs into 2023. This important milestone brings us closer to our goal of ensuring ensifentrine is available for millions of COPD patients who urgently need additional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586105</wp:posOffset>
            </wp:positionV>
            <wp:extent cx="2151380" cy="857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513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Interests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Financing, certain Directors and an Officer of the Company (the “Participating Directors and Officer”) intend to subscribe for new ordinary shares or ADSs at the applicable price per ordinary share or per ADSs to contribute, in aggregate, gross proceeds of approximately $955,000.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 Participating Directors and Officer has agreed to participate in the Financing by acquiring such number of Securities at the applicable price (rounded down to the nearest whole share) as is equal to the following participation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Director Name</w:t>
            </w:r>
          </w:p>
        </w:tc>
        <w:tc>
          <w:tcPr>
            <w:tcW w:w="100" w:type="dxa"/>
            <w:vAlign w:val="bottom"/>
          </w:tcPr>
          <w:p>
            <w:pPr>
              <w:spacing w:after="0"/>
              <w:rPr>
                <w:sz w:val="20"/>
                <w:szCs w:val="20"/>
                <w:color w:val="auto"/>
              </w:rPr>
            </w:pPr>
          </w:p>
        </w:tc>
        <w:tc>
          <w:tcPr>
            <w:tcW w:w="1340" w:type="dxa"/>
            <w:vAlign w:val="bottom"/>
          </w:tcPr>
          <w:p>
            <w:pPr>
              <w:ind w:left="500"/>
              <w:spacing w:after="0"/>
              <w:rPr>
                <w:sz w:val="20"/>
                <w:szCs w:val="20"/>
                <w:color w:val="auto"/>
              </w:rPr>
            </w:pPr>
            <w:r>
              <w:rPr>
                <w:rFonts w:ascii="Arial" w:cs="Arial" w:eastAsia="Arial" w:hAnsi="Arial"/>
                <w:sz w:val="18"/>
                <w:szCs w:val="18"/>
                <w:color w:val="auto"/>
              </w:rPr>
              <w:t>Title</w:t>
            </w: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w w:val="98"/>
              </w:rPr>
              <w:t>Participation Amount</w:t>
            </w:r>
          </w:p>
        </w:tc>
      </w:tr>
      <w:tr>
        <w:trPr>
          <w:trHeight w:val="209"/>
        </w:trPr>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Ebsworth</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David Zaccardelli</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CEO</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Vikas Sinha (connected persons)</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Anders Ullman</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Martin Edwards</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Mark Hahn</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CFO</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dealing disclosures will be made in accordance with MAR in respect of the above transactions by Persons Discharging Managerial Responsibility (PDMR).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15, 2020, Novo Holdings A/S and Vivo Capital held approximately 11.63 per cent and 11.21 per cent, respectively, of Verona Pharma’s issued ordinary share capital and as such each is considered to be a related party of the Company as defined in the AIM Rules for Companies. The participations by Novo Holdings A/S and Vivo Capital in the Financing are deemed to each constitute a related party transaction pursuant to AIM Rule 13 (the “Related Party Transactions”).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Independent Directors (being for this purpose the directors of the Company other than the Participating Directors and Dr Mahendra Shah appointed by Vivo Capital) consider, having consulted with N+1 Singer, the Company’s nominated adviser for the purposes of the AIM Rules, that the terms of each of the Related Party Transactions are fair and reasonable insofar as the shareholders of the Company are concerned.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 on further issue of securities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undertaken to the investors that, between July 16, 2020 and 90 calendar days after Closing, it will not, without the prior written consent of Jefferies, directly or indirectly issue or allot any Ordinary Shares or equivalent securities, subject to customary exceptions and waiver by Jefferies.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of Financing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will represent 77.0% of the issued share capital as enlarged for the Financing. The issue price of the Securities represents a discount of approximately 4.7% to the closing mid-market price of $4.72 per ADS on July 15, 2020, being the last practicable date before the pricing of the Financing. The issuance of the Securities is being made under the Company’s existing authority to issue new securities on a non pre-emptive basis, as granted at the recent Annual General Meeting of shareholders on April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586105</wp:posOffset>
            </wp:positionV>
            <wp:extent cx="2151380" cy="857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513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issuance of the Securities is expected to close on July 22, 2020 (“Closing”). Of the Securities, 312,720,080 of the Securities will be voting Ordinary Shares represented by 39,090,009 ADSs, 222,216 will be voting Ordinary Shares, and 42,888,896 will be non-voting Ordinary Shares. Application is expected to be made to the London Stock Exchange for the voting Ordinary Shares to be admitted to trading on AIM (“Admission”) at 0800 BST on July 23, 2020. A further announcement will be made confirming Closing and Admission.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offer and sale of the foregoing securities are being made in a transaction not involving a public offering and have not been registered under the Securities Act of 1933, as amended (the “Securities Act”), or applicable state securities laws, and will be sold in a private placement pursuant to Section 4(a)(2) and Regulation D of the Securities Act. The securities being issued in the Financing may not be offered or sold in the United States absent registration or pursuant to an exemption from the registration requirements of the Securities Act and applicable state securities laws. Verona Pharma has agreed to file a registration statement with the Securities and Exchange Commission (“SEC”) registering the resale of the ADSs sold in the Financing.</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press release does not constitute an offer to sell or the solicitation of an offer to buy the securities, nor shall there be any sale of the securities in any state in which such offer or sale would be unlawful prior to the registration or qualification under the securities laws of such state.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conversion of pounds sterling to U.S. dollars in this press release is based on an exchange rate of £0.7973 per US$1.00 as of July 15,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Ensifentrine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Ensifentrine (RPL554) is an investigational, first-in-class, inhaled, dual inhibitor of the enzymes phosphodiesterase 3 and 4 (PDE3 and PDE4). This dual inhibition enables it to combine both bronchodilator and anti-inflammatory effects in one compound. Ensifentrine has demonstrated significant and clinically meaningful improvements in both lung function and COPD symptoms, including breathlessness, in Verona Pharma’s prior Phase 2 clinical studies in patients with moderate to severe COPD. In addition, nebulized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people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Following a response from the U.S. FDA to Verona Pharma’s End-of-Phase 2 briefing package, the Company is accelerating preparations for the Phase 3 clinical program ENHANCE (</w:t>
      </w:r>
      <w:r>
        <w:rPr>
          <w:rFonts w:ascii="Arial" w:cs="Arial" w:eastAsia="Arial" w:hAnsi="Arial"/>
          <w:sz w:val="18"/>
          <w:szCs w:val="18"/>
          <w:b w:val="1"/>
          <w:bCs w:val="1"/>
          <w:color w:val="auto"/>
        </w:rPr>
        <w:t>E</w:t>
      </w:r>
      <w:r>
        <w:rPr>
          <w:rFonts w:ascii="Arial" w:cs="Arial" w:eastAsia="Arial" w:hAnsi="Arial"/>
          <w:sz w:val="18"/>
          <w:szCs w:val="18"/>
          <w:color w:val="auto"/>
        </w:rPr>
        <w:t xml:space="preserve">nsifentrine as a </w:t>
      </w:r>
      <w:r>
        <w:rPr>
          <w:rFonts w:ascii="Arial" w:cs="Arial" w:eastAsia="Arial" w:hAnsi="Arial"/>
          <w:sz w:val="18"/>
          <w:szCs w:val="18"/>
          <w:b w:val="1"/>
          <w:bCs w:val="1"/>
          <w:color w:val="auto"/>
        </w:rPr>
        <w:t>N</w:t>
      </w:r>
      <w:r>
        <w:rPr>
          <w:rFonts w:ascii="Arial" w:cs="Arial" w:eastAsia="Arial" w:hAnsi="Arial"/>
          <w:sz w:val="18"/>
          <w:szCs w:val="18"/>
          <w:color w:val="auto"/>
        </w:rPr>
        <w:t>ovel in</w:t>
      </w:r>
      <w:r>
        <w:rPr>
          <w:rFonts w:ascii="Arial" w:cs="Arial" w:eastAsia="Arial" w:hAnsi="Arial"/>
          <w:sz w:val="18"/>
          <w:szCs w:val="18"/>
          <w:b w:val="1"/>
          <w:bCs w:val="1"/>
          <w:color w:val="auto"/>
        </w:rPr>
        <w:t>HA</w:t>
      </w:r>
      <w:r>
        <w:rPr>
          <w:rFonts w:ascii="Arial" w:cs="Arial" w:eastAsia="Arial" w:hAnsi="Arial"/>
          <w:sz w:val="18"/>
          <w:szCs w:val="18"/>
          <w:color w:val="auto"/>
        </w:rPr>
        <w:t xml:space="preserve">led </w:t>
      </w:r>
      <w:r>
        <w:rPr>
          <w:rFonts w:ascii="Arial" w:cs="Arial" w:eastAsia="Arial" w:hAnsi="Arial"/>
          <w:sz w:val="18"/>
          <w:szCs w:val="18"/>
          <w:b w:val="1"/>
          <w:bCs w:val="1"/>
          <w:color w:val="auto"/>
        </w:rPr>
        <w:t>N</w:t>
      </w:r>
      <w:r>
        <w:rPr>
          <w:rFonts w:ascii="Arial" w:cs="Arial" w:eastAsia="Arial" w:hAnsi="Arial"/>
          <w:sz w:val="18"/>
          <w:szCs w:val="18"/>
          <w:color w:val="auto"/>
        </w:rPr>
        <w:t xml:space="preserve">ebulized </w:t>
      </w:r>
      <w:r>
        <w:rPr>
          <w:rFonts w:ascii="Arial" w:cs="Arial" w:eastAsia="Arial" w:hAnsi="Arial"/>
          <w:sz w:val="18"/>
          <w:szCs w:val="18"/>
          <w:b w:val="1"/>
          <w:bCs w:val="1"/>
          <w:color w:val="auto"/>
        </w:rPr>
        <w:t>C</w:t>
      </w:r>
      <w:r>
        <w:rPr>
          <w:rFonts w:ascii="Arial" w:cs="Arial" w:eastAsia="Arial" w:hAnsi="Arial"/>
          <w:sz w:val="18"/>
          <w:szCs w:val="18"/>
          <w:color w:val="auto"/>
        </w:rPr>
        <w:t>OPD th</w:t>
      </w:r>
      <w:r>
        <w:rPr>
          <w:rFonts w:ascii="Arial" w:cs="Arial" w:eastAsia="Arial" w:hAnsi="Arial"/>
          <w:sz w:val="18"/>
          <w:szCs w:val="18"/>
          <w:b w:val="1"/>
          <w:bCs w:val="1"/>
          <w:color w:val="auto"/>
        </w:rPr>
        <w:t>E</w:t>
      </w:r>
      <w:r>
        <w:rPr>
          <w:rFonts w:ascii="Arial" w:cs="Arial" w:eastAsia="Arial" w:hAnsi="Arial"/>
          <w:sz w:val="18"/>
          <w:szCs w:val="18"/>
          <w:color w:val="auto"/>
        </w:rPr>
        <w:t>rapy) to start later in 2020. Verona Pharma is currently in Phase 2 development with two additional formulations of ensifentrine for the treatment of COPD: dry powder inhaler and pressurized metered-dose inhaler. Ensifentrine also has potential applications in cystic fibrosis, asthma and other respiratory diseases. For more information, please visit www.veronapharma.com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586105</wp:posOffset>
            </wp:positionV>
            <wp:extent cx="2151380" cy="857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513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All statements contained in this press release that do not relate to matters of historical fact should be considered forward-looking statements, including, but not limited to, the anticipated net proceeds from the Financing and the use of those proceeds, the sufficiency of the Financing to support initiation of the Phase 3 program and programs into 2023, the goal of ensifentrine being available to millions of COPD patients, the intention of certain Directors and an Officer to subscribe for Securities and the aggregate amount they are expected to contribute, the timing of closing of the Financing and admission of the Ordinary Shares to AIM, the progress and timing of initiation of clinical trials, the potential for ensifentrine to be a first-in-class phosphodiesterase 3 and 4 inhibitor and to be the first therapy for the treatment of respiratory diseases to combine bronchodilator and anti-inflammatory effects in one compound, and the potential of ensifentrine in the treatment of COPD, cystic fibrosis, asthma and other respiratory diseases.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and lawsuits related to patents covering ensifentrine and the potential for our patents to be found invalid or unenforceable; and our vulnerability to natural disasters, global economic factors and other unexpected events, including health epidemics or pandemics like the novel coronavirus (COVID-19). These and other important factors under the caption “Risk Factors” in our Annual Report on Form 20-F filed with the SEC on February 27,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586105</wp:posOffset>
            </wp:positionV>
            <wp:extent cx="2151380" cy="857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513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For further information, please contact:</w:t>
            </w:r>
          </w:p>
        </w:tc>
        <w:tc>
          <w:tcPr>
            <w:tcW w:w="196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5620" w:type="dxa"/>
            <w:vAlign w:val="bottom"/>
            <w:gridSpan w:val="2"/>
          </w:tcPr>
          <w:p>
            <w:pPr>
              <w:spacing w:after="0"/>
              <w:rPr>
                <w:sz w:val="20"/>
                <w:szCs w:val="20"/>
                <w:color w:val="auto"/>
              </w:rPr>
            </w:pPr>
            <w:r>
              <w:rPr>
                <w:rFonts w:ascii="Arial" w:cs="Arial" w:eastAsia="Arial" w:hAnsi="Arial"/>
                <w:sz w:val="18"/>
                <w:szCs w:val="18"/>
                <w:color w:val="auto"/>
              </w:rPr>
              <w:t>Tel: +44 (0)20 3283 4200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David Zaccardelli, Chief Executive Officer</w:t>
            </w:r>
          </w:p>
        </w:tc>
        <w:tc>
          <w:tcPr>
            <w:tcW w:w="5620" w:type="dxa"/>
            <w:vAlign w:val="bottom"/>
            <w:gridSpan w:val="2"/>
          </w:tcPr>
          <w:p>
            <w:pPr>
              <w:spacing w:after="0"/>
              <w:rPr>
                <w:sz w:val="20"/>
                <w:szCs w:val="20"/>
                <w:color w:val="auto"/>
              </w:rPr>
            </w:pPr>
            <w:r>
              <w:rPr>
                <w:rFonts w:ascii="Arial" w:cs="Arial" w:eastAsia="Arial" w:hAnsi="Arial"/>
                <w:sz w:val="18"/>
                <w:szCs w:val="18"/>
                <w:color w:val="auto"/>
              </w:rPr>
              <w:t>info@veronapharma.com</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Victoria Stewart, Director of Communications</w:t>
            </w:r>
          </w:p>
        </w:tc>
        <w:tc>
          <w:tcPr>
            <w:tcW w:w="1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N+1 Singer</w:t>
            </w:r>
          </w:p>
        </w:tc>
        <w:tc>
          <w:tcPr>
            <w:tcW w:w="5620" w:type="dxa"/>
            <w:vAlign w:val="bottom"/>
            <w:gridSpan w:val="2"/>
          </w:tcPr>
          <w:p>
            <w:pPr>
              <w:spacing w:after="0"/>
              <w:rPr>
                <w:sz w:val="20"/>
                <w:szCs w:val="20"/>
                <w:color w:val="auto"/>
              </w:rPr>
            </w:pPr>
            <w:r>
              <w:rPr>
                <w:rFonts w:ascii="Arial" w:cs="Arial" w:eastAsia="Arial" w:hAnsi="Arial"/>
                <w:sz w:val="18"/>
                <w:szCs w:val="18"/>
                <w:color w:val="auto"/>
              </w:rPr>
              <w:t>Tel: +44 (0)20 3283 4200</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(Nominated Adviser and UK Broker)</w:t>
            </w:r>
          </w:p>
        </w:tc>
        <w:tc>
          <w:tcPr>
            <w:tcW w:w="1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Aubrey Powell / George Tzimas / Iqra Amin</w:t>
            </w:r>
          </w:p>
        </w:tc>
        <w:tc>
          <w:tcPr>
            <w:tcW w:w="19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Finance)</w:t>
            </w:r>
          </w:p>
        </w:tc>
        <w:tc>
          <w:tcPr>
            <w:tcW w:w="19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Tom Salvesen (Corporate Broking)</w:t>
            </w:r>
          </w:p>
        </w:tc>
        <w:tc>
          <w:tcPr>
            <w:tcW w:w="196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Optimum Strategic Communications</w:t>
            </w:r>
          </w:p>
        </w:tc>
        <w:tc>
          <w:tcPr>
            <w:tcW w:w="5620" w:type="dxa"/>
            <w:vAlign w:val="bottom"/>
            <w:gridSpan w:val="2"/>
          </w:tcPr>
          <w:p>
            <w:pPr>
              <w:spacing w:after="0"/>
              <w:rPr>
                <w:sz w:val="20"/>
                <w:szCs w:val="20"/>
                <w:color w:val="auto"/>
              </w:rPr>
            </w:pPr>
            <w:r>
              <w:rPr>
                <w:rFonts w:ascii="Arial" w:cs="Arial" w:eastAsia="Arial" w:hAnsi="Arial"/>
                <w:sz w:val="18"/>
                <w:szCs w:val="18"/>
                <w:color w:val="auto"/>
              </w:rPr>
              <w:t>Tel: +44 (0)203 950 9144</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(European Media and Investor Enquiries)</w:t>
            </w:r>
          </w:p>
        </w:tc>
        <w:tc>
          <w:tcPr>
            <w:tcW w:w="5620" w:type="dxa"/>
            <w:vAlign w:val="bottom"/>
            <w:gridSpan w:val="2"/>
          </w:tcPr>
          <w:p>
            <w:pPr>
              <w:spacing w:after="0"/>
              <w:rPr>
                <w:sz w:val="20"/>
                <w:szCs w:val="20"/>
                <w:color w:val="auto"/>
              </w:rPr>
            </w:pPr>
            <w:r>
              <w:rPr>
                <w:rFonts w:ascii="Arial" w:cs="Arial" w:eastAsia="Arial" w:hAnsi="Arial"/>
                <w:sz w:val="18"/>
                <w:szCs w:val="18"/>
                <w:color w:val="auto"/>
              </w:rPr>
              <w:t>verona@optimumcomms.com</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Mary Clark / Eva Haas / Shabnam Bashir</w:t>
            </w:r>
          </w:p>
        </w:tc>
        <w:tc>
          <w:tcPr>
            <w:tcW w:w="196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Argot Partners</w:t>
            </w:r>
          </w:p>
        </w:tc>
        <w:tc>
          <w:tcPr>
            <w:tcW w:w="5620" w:type="dxa"/>
            <w:vAlign w:val="bottom"/>
            <w:gridSpan w:val="2"/>
          </w:tcPr>
          <w:p>
            <w:pPr>
              <w:spacing w:after="0"/>
              <w:rPr>
                <w:sz w:val="20"/>
                <w:szCs w:val="20"/>
                <w:color w:val="auto"/>
              </w:rPr>
            </w:pPr>
            <w:r>
              <w:rPr>
                <w:rFonts w:ascii="Arial" w:cs="Arial" w:eastAsia="Arial" w:hAnsi="Arial"/>
                <w:sz w:val="18"/>
                <w:szCs w:val="18"/>
                <w:color w:val="auto"/>
              </w:rPr>
              <w:t>Tel: +1 212-600-1902</w:t>
            </w: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(US Investor Enquiries)</w:t>
            </w:r>
          </w:p>
        </w:tc>
        <w:tc>
          <w:tcPr>
            <w:tcW w:w="5620" w:type="dxa"/>
            <w:vAlign w:val="bottom"/>
            <w:gridSpan w:val="2"/>
          </w:tcPr>
          <w:p>
            <w:pPr>
              <w:spacing w:after="0"/>
              <w:rPr>
                <w:sz w:val="20"/>
                <w:szCs w:val="20"/>
                <w:color w:val="auto"/>
              </w:rPr>
            </w:pPr>
            <w:r>
              <w:rPr>
                <w:rFonts w:ascii="Arial" w:cs="Arial" w:eastAsia="Arial" w:hAnsi="Arial"/>
                <w:sz w:val="18"/>
                <w:szCs w:val="18"/>
                <w:color w:val="auto"/>
              </w:rPr>
              <w:t>verona@argotpartners.com</w:t>
            </w:r>
          </w:p>
        </w:tc>
      </w:tr>
      <w:tr>
        <w:trPr>
          <w:trHeight w:val="236"/>
        </w:trPr>
        <w:tc>
          <w:tcPr>
            <w:tcW w:w="5620" w:type="dxa"/>
            <w:vAlign w:val="bottom"/>
          </w:tcPr>
          <w:p>
            <w:pPr>
              <w:spacing w:after="0"/>
              <w:rPr>
                <w:sz w:val="20"/>
                <w:szCs w:val="20"/>
                <w:color w:val="auto"/>
              </w:rPr>
            </w:pPr>
            <w:r>
              <w:rPr>
                <w:rFonts w:ascii="Arial" w:cs="Arial" w:eastAsia="Arial" w:hAnsi="Arial"/>
                <w:sz w:val="18"/>
                <w:szCs w:val="18"/>
                <w:color w:val="auto"/>
              </w:rPr>
              <w:t>Kimberly Minarovich / Michael Barron</w:t>
            </w:r>
          </w:p>
        </w:tc>
        <w:tc>
          <w:tcPr>
            <w:tcW w:w="19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r>
      <w:tr>
        <w:trPr>
          <w:trHeight w:val="648"/>
        </w:trPr>
        <w:tc>
          <w:tcPr>
            <w:tcW w:w="5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147955</wp:posOffset>
            </wp:positionV>
            <wp:extent cx="2374265" cy="977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426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PDMR Dealings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LONDON, UK, and RALEIGH, NC, July 17, 2020 </w:t>
      </w:r>
      <w:r>
        <w:rPr>
          <w:rFonts w:ascii="Arial" w:cs="Arial" w:eastAsia="Arial" w:hAnsi="Arial"/>
          <w:sz w:val="18"/>
          <w:szCs w:val="18"/>
          <w:color w:val="auto"/>
        </w:rPr>
        <w:t>– Verona Pharma plc (AIM: VRP) (Nasdaq: VRNA) (“Verona Pharma”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biopharmaceutical company focused on respiratory diseases, provides further details regarding the transactions by persons discharging managerial responsibilities (“PDMRs”) in connection with the $200 million Financing announced earlier today.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Capitalised terms in this announcement have the same meanings to those defined in the Financing announcement which was released at 7.00 a.m. on July 17, 2020,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PDMR 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notifies the following transactions by PDMRs in its Ordinary Shares or ADSs through participation in the Financing.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No.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Ordinary</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Ordinary 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Interest in</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Shares to</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ADSs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or ADSs held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Company</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be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be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following</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following</w:t>
            </w: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PDMR Name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consideration</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Closing</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Closing</w:t>
            </w:r>
          </w:p>
        </w:tc>
      </w:tr>
      <w:tr>
        <w:trPr>
          <w:trHeight w:val="210"/>
        </w:trPr>
        <w:tc>
          <w:tcPr>
            <w:tcW w:w="2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617,603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(ordinary</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Ebsworth</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222,216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99,659.71</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shares)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77,829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Zaccardelli</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249,997.50</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(ADSs)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33,333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Anders Ullman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149,998.50</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(ADSs)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6,666</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Edwards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29,997</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(ADSs)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33,360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Hahn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100,003.50</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(ADSs)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notes that participation of Mr Vikas Sinha as disclosed in the Financing announcement is not required to be notified as a PDMR dealing as the subscription was not made by Mr Sinha, nor any persons closely associated with him (in accordance with the definitions under MAR) but was made by the trustees of certain family members of Mr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For further information, please contact:</w:t>
            </w:r>
          </w:p>
        </w:tc>
        <w:tc>
          <w:tcPr>
            <w:tcW w:w="550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5500" w:type="dxa"/>
            <w:vAlign w:val="bottom"/>
          </w:tcPr>
          <w:p>
            <w:pPr>
              <w:ind w:left="1020"/>
              <w:spacing w:after="0"/>
              <w:rPr>
                <w:sz w:val="20"/>
                <w:szCs w:val="20"/>
                <w:color w:val="auto"/>
              </w:rPr>
            </w:pPr>
            <w:r>
              <w:rPr>
                <w:rFonts w:ascii="Arial" w:cs="Arial" w:eastAsia="Arial" w:hAnsi="Arial"/>
                <w:sz w:val="18"/>
                <w:szCs w:val="18"/>
                <w:b w:val="1"/>
                <w:bCs w:val="1"/>
                <w:color w:val="auto"/>
              </w:rPr>
              <w:t>Tel: +44 (0)20 3283 4200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David Zaccardelli, Chief Executive Officer</w:t>
            </w:r>
          </w:p>
        </w:tc>
        <w:tc>
          <w:tcPr>
            <w:tcW w:w="5500" w:type="dxa"/>
            <w:vAlign w:val="bottom"/>
          </w:tcPr>
          <w:p>
            <w:pPr>
              <w:ind w:left="1020"/>
              <w:spacing w:after="0"/>
              <w:rPr>
                <w:sz w:val="20"/>
                <w:szCs w:val="20"/>
                <w:color w:val="auto"/>
              </w:rPr>
            </w:pPr>
            <w:r>
              <w:rPr>
                <w:rFonts w:ascii="Arial" w:cs="Arial" w:eastAsia="Arial" w:hAnsi="Arial"/>
                <w:sz w:val="18"/>
                <w:szCs w:val="18"/>
                <w:color w:val="auto"/>
              </w:rPr>
              <w:t>info@veronapharma.com</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Victoria Stewart, Director of Communications</w:t>
            </w:r>
          </w:p>
        </w:tc>
        <w:tc>
          <w:tcPr>
            <w:tcW w:w="550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N+1 Singer (Nominated Adviser and UK Broker)</w:t>
            </w:r>
          </w:p>
        </w:tc>
        <w:tc>
          <w:tcPr>
            <w:tcW w:w="5500" w:type="dxa"/>
            <w:vAlign w:val="bottom"/>
          </w:tcPr>
          <w:p>
            <w:pPr>
              <w:ind w:left="1020"/>
              <w:spacing w:after="0"/>
              <w:rPr>
                <w:sz w:val="20"/>
                <w:szCs w:val="20"/>
                <w:color w:val="auto"/>
              </w:rPr>
            </w:pPr>
            <w:r>
              <w:rPr>
                <w:rFonts w:ascii="Arial" w:cs="Arial" w:eastAsia="Arial" w:hAnsi="Arial"/>
                <w:sz w:val="18"/>
                <w:szCs w:val="18"/>
                <w:b w:val="1"/>
                <w:bCs w:val="1"/>
                <w:color w:val="auto"/>
              </w:rPr>
              <w:t>Tel: +44 (0)20 7496 3000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Aubrey Powell / George Tzimas / Iqra Amin (Corporate Finance)</w:t>
            </w:r>
          </w:p>
        </w:tc>
        <w:tc>
          <w:tcPr>
            <w:tcW w:w="550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Tom Salvesen (Corporate Broking)</w:t>
            </w:r>
          </w:p>
        </w:tc>
        <w:tc>
          <w:tcPr>
            <w:tcW w:w="5500" w:type="dxa"/>
            <w:vAlign w:val="bottom"/>
          </w:tcPr>
          <w:p>
            <w:pPr>
              <w:spacing w:after="0"/>
              <w:rPr>
                <w:sz w:val="20"/>
                <w:szCs w:val="20"/>
                <w:color w:val="auto"/>
              </w:rPr>
            </w:pPr>
          </w:p>
        </w:tc>
      </w:tr>
      <w:tr>
        <w:trPr>
          <w:trHeight w:val="675"/>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Details of the person discharging managerial responsibilities / person closely associated</w:t>
            </w:r>
          </w:p>
        </w:tc>
        <w:tc>
          <w:tcPr>
            <w:tcW w:w="3580" w:type="dxa"/>
            <w:vAlign w:val="bottom"/>
            <w:tcBorders>
              <w:top w:val="single" w:sz="8" w:color="auto"/>
              <w:right w:val="single" w:sz="8" w:color="auto"/>
            </w:tcBorders>
          </w:tcPr>
          <w:p>
            <w:pPr>
              <w:spacing w:after="0"/>
              <w:rPr>
                <w:sz w:val="21"/>
                <w:szCs w:val="2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Dr David Ebsworth</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Reason for the notification</w:t>
            </w:r>
          </w:p>
        </w:tc>
        <w:tc>
          <w:tcPr>
            <w:tcW w:w="3700" w:type="dxa"/>
            <w:vAlign w:val="bottom"/>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Position/status</w:t>
            </w:r>
          </w:p>
        </w:tc>
        <w:tc>
          <w:tcPr>
            <w:tcW w:w="3700" w:type="dxa"/>
            <w:vAlign w:val="bottom"/>
          </w:tcPr>
          <w:p>
            <w:pPr>
              <w:ind w:left="80"/>
              <w:spacing w:after="0"/>
              <w:rPr>
                <w:sz w:val="20"/>
                <w:szCs w:val="20"/>
                <w:color w:val="auto"/>
              </w:rPr>
            </w:pPr>
            <w:r>
              <w:rPr>
                <w:rFonts w:ascii="Arial" w:cs="Arial" w:eastAsia="Arial" w:hAnsi="Arial"/>
                <w:sz w:val="18"/>
                <w:szCs w:val="18"/>
                <w:color w:val="auto"/>
              </w:rPr>
              <w:t>Non-Executive Chairman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Initial notification /Amendment</w:t>
            </w:r>
          </w:p>
        </w:tc>
        <w:tc>
          <w:tcPr>
            <w:tcW w:w="3700" w:type="dxa"/>
            <w:vAlign w:val="bottom"/>
          </w:tcPr>
          <w:p>
            <w:pPr>
              <w:ind w:left="80"/>
              <w:spacing w:after="0"/>
              <w:rPr>
                <w:sz w:val="20"/>
                <w:szCs w:val="20"/>
                <w:color w:val="auto"/>
              </w:rPr>
            </w:pPr>
            <w:r>
              <w:rPr>
                <w:rFonts w:ascii="Arial" w:cs="Arial" w:eastAsia="Arial" w:hAnsi="Arial"/>
                <w:sz w:val="18"/>
                <w:szCs w:val="18"/>
                <w:color w:val="auto"/>
              </w:rPr>
              <w:t>Initial Notification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Verona Pharma plc</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Legal Entity Identifier</w:t>
            </w:r>
          </w:p>
        </w:tc>
        <w:tc>
          <w:tcPr>
            <w:tcW w:w="3700" w:type="dxa"/>
            <w:vAlign w:val="bottom"/>
          </w:tcPr>
          <w:p>
            <w:pPr>
              <w:ind w:left="80"/>
              <w:spacing w:after="0"/>
              <w:rPr>
                <w:sz w:val="20"/>
                <w:szCs w:val="20"/>
                <w:color w:val="auto"/>
              </w:rPr>
            </w:pPr>
            <w:r>
              <w:rPr>
                <w:rFonts w:ascii="Arial" w:cs="Arial" w:eastAsia="Arial" w:hAnsi="Arial"/>
                <w:sz w:val="18"/>
                <w:szCs w:val="18"/>
                <w:color w:val="auto"/>
              </w:rPr>
              <w:t>213800EVI6O6J3TIAL06</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191"/>
        </w:trPr>
        <w:tc>
          <w:tcPr>
            <w:tcW w:w="4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4</w:t>
            </w:r>
          </w:p>
        </w:tc>
        <w:tc>
          <w:tcPr>
            <w:tcW w:w="10760" w:type="dxa"/>
            <w:vAlign w:val="bottom"/>
            <w:tcBorders>
              <w:right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w w:val="92"/>
              </w:rPr>
              <w:t>Details of the transaction(s): section to be repeated for (i) each type of instrument; (ii) each type of transaction; (iii) each date; and (iv)</w:t>
            </w: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b w:val="1"/>
                <w:bCs w:val="1"/>
                <w:color w:val="auto"/>
              </w:rPr>
              <w:t>each place where transactions have been conducted</w:t>
            </w: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195"/>
        </w:trPr>
        <w:tc>
          <w:tcPr>
            <w:tcW w:w="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Description of the financial instrument, type</w:t>
            </w:r>
          </w:p>
        </w:tc>
        <w:tc>
          <w:tcPr>
            <w:tcW w:w="3700" w:type="dxa"/>
            <w:vAlign w:val="bottom"/>
          </w:tcPr>
          <w:p>
            <w:pPr>
              <w:ind w:left="80"/>
              <w:spacing w:after="0" w:line="195" w:lineRule="exact"/>
              <w:rPr>
                <w:sz w:val="20"/>
                <w:szCs w:val="20"/>
                <w:color w:val="auto"/>
              </w:rPr>
            </w:pPr>
            <w:r>
              <w:rPr>
                <w:rFonts w:ascii="Arial" w:cs="Arial" w:eastAsia="Arial" w:hAnsi="Arial"/>
                <w:sz w:val="18"/>
                <w:szCs w:val="18"/>
                <w:color w:val="auto"/>
              </w:rPr>
              <w:t>Ordinary Shares</w:t>
            </w:r>
          </w:p>
        </w:tc>
        <w:tc>
          <w:tcPr>
            <w:tcW w:w="3580" w:type="dxa"/>
            <w:vAlign w:val="bottom"/>
            <w:tcBorders>
              <w:right w:val="single" w:sz="8" w:color="auto"/>
            </w:tcBorders>
          </w:tcPr>
          <w:p>
            <w:pPr>
              <w:spacing w:after="0"/>
              <w:rPr>
                <w:sz w:val="16"/>
                <w:szCs w:val="16"/>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instrument</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432"/>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Identification code</w:t>
            </w:r>
          </w:p>
        </w:tc>
        <w:tc>
          <w:tcPr>
            <w:tcW w:w="3700" w:type="dxa"/>
            <w:vAlign w:val="bottom"/>
          </w:tcPr>
          <w:p>
            <w:pPr>
              <w:ind w:left="80"/>
              <w:spacing w:after="0"/>
              <w:rPr>
                <w:sz w:val="20"/>
                <w:szCs w:val="20"/>
                <w:color w:val="auto"/>
              </w:rPr>
            </w:pPr>
            <w:r>
              <w:rPr>
                <w:rFonts w:ascii="Arial" w:cs="Arial" w:eastAsia="Arial" w:hAnsi="Arial"/>
                <w:sz w:val="18"/>
                <w:szCs w:val="18"/>
                <w:color w:val="auto"/>
              </w:rPr>
              <w:t>ISIN Code: GB00BYW2KH80</w:t>
            </w:r>
          </w:p>
        </w:tc>
        <w:tc>
          <w:tcPr>
            <w:tcW w:w="3580" w:type="dxa"/>
            <w:vAlign w:val="bottom"/>
            <w:tcBorders>
              <w:right w:val="single" w:sz="8" w:color="auto"/>
            </w:tcBorders>
          </w:tcPr>
          <w:p>
            <w:pPr>
              <w:spacing w:after="0"/>
              <w:rPr>
                <w:sz w:val="24"/>
                <w:szCs w:val="24"/>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Nature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Purchase of Ordinary Shares</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 and volume(s)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Volume(s)</w:t>
            </w:r>
          </w:p>
        </w:tc>
      </w:tr>
      <w:tr>
        <w:trPr>
          <w:trHeight w:val="202"/>
        </w:trPr>
        <w:tc>
          <w:tcPr>
            <w:tcW w:w="480" w:type="dxa"/>
            <w:vAlign w:val="bottom"/>
            <w:tcBorders>
              <w:left w:val="single" w:sz="8" w:color="auto"/>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£0.45</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222,216 Ordinary Shares</w:t>
            </w: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Aggregated information</w:t>
            </w:r>
          </w:p>
        </w:tc>
        <w:tc>
          <w:tcPr>
            <w:tcW w:w="3700" w:type="dxa"/>
            <w:vAlign w:val="bottom"/>
          </w:tcPr>
          <w:p>
            <w:pPr>
              <w:ind w:left="80"/>
              <w:spacing w:after="0"/>
              <w:rPr>
                <w:sz w:val="20"/>
                <w:szCs w:val="20"/>
                <w:color w:val="auto"/>
              </w:rPr>
            </w:pPr>
            <w:r>
              <w:rPr>
                <w:rFonts w:ascii="Arial" w:cs="Arial" w:eastAsia="Arial" w:hAnsi="Arial"/>
                <w:sz w:val="18"/>
                <w:szCs w:val="18"/>
                <w:color w:val="auto"/>
              </w:rPr>
              <w:t>N/A (single transaction)</w:t>
            </w:r>
          </w:p>
        </w:tc>
        <w:tc>
          <w:tcPr>
            <w:tcW w:w="3580" w:type="dxa"/>
            <w:vAlign w:val="bottom"/>
            <w:tcBorders>
              <w:right w:val="single" w:sz="8" w:color="auto"/>
            </w:tcBorders>
          </w:tcPr>
          <w:p>
            <w:pPr>
              <w:spacing w:after="0"/>
              <w:rPr>
                <w:sz w:val="19"/>
                <w:szCs w:val="19"/>
                <w:color w:val="auto"/>
              </w:rPr>
            </w:pPr>
          </w:p>
        </w:tc>
      </w:tr>
      <w:tr>
        <w:trPr>
          <w:trHeight w:val="403"/>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Aggregated volume</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Price</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14 July 2020</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Place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London Stock Exchange, AIM</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668"/>
        </w:trPr>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Details of the person discharging managerial responsibilities / person closely associated</w:t>
            </w:r>
          </w:p>
        </w:tc>
        <w:tc>
          <w:tcPr>
            <w:tcW w:w="3580" w:type="dxa"/>
            <w:vAlign w:val="bottom"/>
            <w:tcBorders>
              <w:top w:val="single" w:sz="8" w:color="auto"/>
              <w:right w:val="single" w:sz="8" w:color="auto"/>
            </w:tcBorders>
          </w:tcPr>
          <w:p>
            <w:pPr>
              <w:spacing w:after="0"/>
              <w:rPr>
                <w:sz w:val="21"/>
                <w:szCs w:val="2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Dr David Zaccardelli</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Reason for the notification</w:t>
            </w:r>
          </w:p>
        </w:tc>
        <w:tc>
          <w:tcPr>
            <w:tcW w:w="3700" w:type="dxa"/>
            <w:vAlign w:val="bottom"/>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Position/status</w:t>
            </w:r>
          </w:p>
        </w:tc>
        <w:tc>
          <w:tcPr>
            <w:tcW w:w="370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Initial notification /Amendment</w:t>
            </w:r>
          </w:p>
        </w:tc>
        <w:tc>
          <w:tcPr>
            <w:tcW w:w="3700" w:type="dxa"/>
            <w:vAlign w:val="bottom"/>
          </w:tcPr>
          <w:p>
            <w:pPr>
              <w:ind w:left="80"/>
              <w:spacing w:after="0"/>
              <w:rPr>
                <w:sz w:val="20"/>
                <w:szCs w:val="20"/>
                <w:color w:val="auto"/>
              </w:rPr>
            </w:pPr>
            <w:r>
              <w:rPr>
                <w:rFonts w:ascii="Arial" w:cs="Arial" w:eastAsia="Arial" w:hAnsi="Arial"/>
                <w:sz w:val="18"/>
                <w:szCs w:val="18"/>
                <w:color w:val="auto"/>
              </w:rPr>
              <w:t>Initial Notification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Verona Pharma plc</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Legal Entity Identifier</w:t>
            </w:r>
          </w:p>
        </w:tc>
        <w:tc>
          <w:tcPr>
            <w:tcW w:w="3700" w:type="dxa"/>
            <w:vAlign w:val="bottom"/>
          </w:tcPr>
          <w:p>
            <w:pPr>
              <w:ind w:left="80"/>
              <w:spacing w:after="0"/>
              <w:rPr>
                <w:sz w:val="20"/>
                <w:szCs w:val="20"/>
                <w:color w:val="auto"/>
              </w:rPr>
            </w:pPr>
            <w:r>
              <w:rPr>
                <w:rFonts w:ascii="Arial" w:cs="Arial" w:eastAsia="Arial" w:hAnsi="Arial"/>
                <w:sz w:val="18"/>
                <w:szCs w:val="18"/>
                <w:color w:val="auto"/>
              </w:rPr>
              <w:t>213800EVI6O6J3TIAL06</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191"/>
        </w:trPr>
        <w:tc>
          <w:tcPr>
            <w:tcW w:w="4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4</w:t>
            </w:r>
          </w:p>
        </w:tc>
        <w:tc>
          <w:tcPr>
            <w:tcW w:w="10760" w:type="dxa"/>
            <w:vAlign w:val="bottom"/>
            <w:tcBorders>
              <w:right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w w:val="92"/>
              </w:rPr>
              <w:t>Details of the transaction(s): section to be repeated for (i) each type of instrument; (ii) each type of transaction; (iii) each date; and (iv)</w:t>
            </w: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b w:val="1"/>
                <w:bCs w:val="1"/>
                <w:color w:val="auto"/>
              </w:rPr>
              <w:t>each place where transactions have been conducted</w:t>
            </w: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195"/>
        </w:trPr>
        <w:tc>
          <w:tcPr>
            <w:tcW w:w="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Description of the financial instrument, type</w:t>
            </w:r>
          </w:p>
        </w:tc>
        <w:tc>
          <w:tcPr>
            <w:tcW w:w="72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American Depositary Shares (“ADSs”), each representing 8 Ordinary Shares.</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instrument</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432"/>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Identification code</w:t>
            </w:r>
          </w:p>
        </w:tc>
        <w:tc>
          <w:tcPr>
            <w:tcW w:w="3700" w:type="dxa"/>
            <w:vAlign w:val="bottom"/>
          </w:tcPr>
          <w:p>
            <w:pPr>
              <w:ind w:left="80"/>
              <w:spacing w:after="0"/>
              <w:rPr>
                <w:sz w:val="20"/>
                <w:szCs w:val="20"/>
                <w:color w:val="auto"/>
              </w:rPr>
            </w:pPr>
            <w:r>
              <w:rPr>
                <w:rFonts w:ascii="Arial" w:cs="Arial" w:eastAsia="Arial" w:hAnsi="Arial"/>
                <w:sz w:val="18"/>
                <w:szCs w:val="18"/>
                <w:color w:val="auto"/>
              </w:rPr>
              <w:t>ISIN Code: US9250501064</w:t>
            </w:r>
          </w:p>
        </w:tc>
        <w:tc>
          <w:tcPr>
            <w:tcW w:w="3580" w:type="dxa"/>
            <w:vAlign w:val="bottom"/>
            <w:tcBorders>
              <w:right w:val="single" w:sz="8" w:color="auto"/>
            </w:tcBorders>
          </w:tcPr>
          <w:p>
            <w:pPr>
              <w:spacing w:after="0"/>
              <w:rPr>
                <w:sz w:val="24"/>
                <w:szCs w:val="24"/>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Nature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Subscription to purchase ADSs</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 and volume(s)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Volume(s)</w:t>
            </w:r>
          </w:p>
        </w:tc>
      </w:tr>
      <w:tr>
        <w:trPr>
          <w:trHeight w:val="202"/>
        </w:trPr>
        <w:tc>
          <w:tcPr>
            <w:tcW w:w="480" w:type="dxa"/>
            <w:vAlign w:val="bottom"/>
            <w:tcBorders>
              <w:left w:val="single" w:sz="8" w:color="auto"/>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$4.50</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55,555 ADSs</w:t>
            </w: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Aggregated information</w:t>
            </w:r>
          </w:p>
        </w:tc>
        <w:tc>
          <w:tcPr>
            <w:tcW w:w="3700" w:type="dxa"/>
            <w:vAlign w:val="bottom"/>
          </w:tcPr>
          <w:p>
            <w:pPr>
              <w:ind w:left="80"/>
              <w:spacing w:after="0"/>
              <w:rPr>
                <w:sz w:val="20"/>
                <w:szCs w:val="20"/>
                <w:color w:val="auto"/>
              </w:rPr>
            </w:pPr>
            <w:r>
              <w:rPr>
                <w:rFonts w:ascii="Arial" w:cs="Arial" w:eastAsia="Arial" w:hAnsi="Arial"/>
                <w:sz w:val="18"/>
                <w:szCs w:val="18"/>
                <w:color w:val="auto"/>
              </w:rPr>
              <w:t>N/A (single transaction)</w:t>
            </w:r>
          </w:p>
        </w:tc>
        <w:tc>
          <w:tcPr>
            <w:tcW w:w="3580" w:type="dxa"/>
            <w:vAlign w:val="bottom"/>
            <w:tcBorders>
              <w:right w:val="single" w:sz="8" w:color="auto"/>
            </w:tcBorders>
          </w:tcPr>
          <w:p>
            <w:pPr>
              <w:spacing w:after="0"/>
              <w:rPr>
                <w:sz w:val="19"/>
                <w:szCs w:val="19"/>
                <w:color w:val="auto"/>
              </w:rPr>
            </w:pPr>
          </w:p>
        </w:tc>
      </w:tr>
      <w:tr>
        <w:trPr>
          <w:trHeight w:val="403"/>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Aggregated volume</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Price</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14 July 2020</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Place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NASDAQ</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Details of the person discharging managerial responsibilities / person closely associated</w:t>
            </w:r>
          </w:p>
        </w:tc>
        <w:tc>
          <w:tcPr>
            <w:tcW w:w="3580" w:type="dxa"/>
            <w:vAlign w:val="bottom"/>
            <w:tcBorders>
              <w:top w:val="single" w:sz="8" w:color="auto"/>
              <w:right w:val="single" w:sz="8" w:color="auto"/>
            </w:tcBorders>
          </w:tcPr>
          <w:p>
            <w:pPr>
              <w:spacing w:after="0"/>
              <w:rPr>
                <w:sz w:val="21"/>
                <w:szCs w:val="2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Dr Anders Ullman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Reason for the notification</w:t>
            </w:r>
          </w:p>
        </w:tc>
        <w:tc>
          <w:tcPr>
            <w:tcW w:w="3700" w:type="dxa"/>
            <w:vAlign w:val="bottom"/>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Position/status</w:t>
            </w:r>
          </w:p>
        </w:tc>
        <w:tc>
          <w:tcPr>
            <w:tcW w:w="3700" w:type="dxa"/>
            <w:vAlign w:val="bottom"/>
          </w:tcPr>
          <w:p>
            <w:pPr>
              <w:ind w:left="80"/>
              <w:spacing w:after="0"/>
              <w:rPr>
                <w:sz w:val="20"/>
                <w:szCs w:val="20"/>
                <w:color w:val="auto"/>
              </w:rPr>
            </w:pPr>
            <w:r>
              <w:rPr>
                <w:rFonts w:ascii="Arial" w:cs="Arial" w:eastAsia="Arial" w:hAnsi="Arial"/>
                <w:sz w:val="18"/>
                <w:szCs w:val="18"/>
                <w:color w:val="auto"/>
              </w:rPr>
              <w:t>Non-Executive Director</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Initial notification /Amendment</w:t>
            </w:r>
          </w:p>
        </w:tc>
        <w:tc>
          <w:tcPr>
            <w:tcW w:w="3700" w:type="dxa"/>
            <w:vAlign w:val="bottom"/>
          </w:tcPr>
          <w:p>
            <w:pPr>
              <w:ind w:left="80"/>
              <w:spacing w:after="0"/>
              <w:rPr>
                <w:sz w:val="20"/>
                <w:szCs w:val="20"/>
                <w:color w:val="auto"/>
              </w:rPr>
            </w:pPr>
            <w:r>
              <w:rPr>
                <w:rFonts w:ascii="Arial" w:cs="Arial" w:eastAsia="Arial" w:hAnsi="Arial"/>
                <w:sz w:val="18"/>
                <w:szCs w:val="18"/>
                <w:color w:val="auto"/>
              </w:rPr>
              <w:t>Initial Notification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Verona Pharma plc</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Legal Entity Identifier</w:t>
            </w:r>
          </w:p>
        </w:tc>
        <w:tc>
          <w:tcPr>
            <w:tcW w:w="3700" w:type="dxa"/>
            <w:vAlign w:val="bottom"/>
          </w:tcPr>
          <w:p>
            <w:pPr>
              <w:ind w:left="80"/>
              <w:spacing w:after="0"/>
              <w:rPr>
                <w:sz w:val="20"/>
                <w:szCs w:val="20"/>
                <w:color w:val="auto"/>
              </w:rPr>
            </w:pPr>
            <w:r>
              <w:rPr>
                <w:rFonts w:ascii="Arial" w:cs="Arial" w:eastAsia="Arial" w:hAnsi="Arial"/>
                <w:sz w:val="18"/>
                <w:szCs w:val="18"/>
                <w:color w:val="auto"/>
              </w:rPr>
              <w:t>213800EVI6O6J3TIAL06</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191"/>
        </w:trPr>
        <w:tc>
          <w:tcPr>
            <w:tcW w:w="4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4</w:t>
            </w:r>
          </w:p>
        </w:tc>
        <w:tc>
          <w:tcPr>
            <w:tcW w:w="10760" w:type="dxa"/>
            <w:vAlign w:val="bottom"/>
            <w:tcBorders>
              <w:right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w w:val="92"/>
              </w:rPr>
              <w:t>Details of the transaction(s): section to be repeated for (i) each type of instrument; (ii) each type of transaction; (iii) each date; and (iv)</w:t>
            </w: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b w:val="1"/>
                <w:bCs w:val="1"/>
                <w:color w:val="auto"/>
              </w:rPr>
              <w:t>each place where transactions have been conducted</w:t>
            </w: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195"/>
        </w:trPr>
        <w:tc>
          <w:tcPr>
            <w:tcW w:w="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Description of the financial instrument, type</w:t>
            </w:r>
          </w:p>
        </w:tc>
        <w:tc>
          <w:tcPr>
            <w:tcW w:w="72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American Depositary Shares (“ADSs”), each representing 8 Ordinary Shares.</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instrument</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432"/>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Identification code</w:t>
            </w:r>
          </w:p>
        </w:tc>
        <w:tc>
          <w:tcPr>
            <w:tcW w:w="3700" w:type="dxa"/>
            <w:vAlign w:val="bottom"/>
          </w:tcPr>
          <w:p>
            <w:pPr>
              <w:ind w:left="80"/>
              <w:spacing w:after="0"/>
              <w:rPr>
                <w:sz w:val="20"/>
                <w:szCs w:val="20"/>
                <w:color w:val="auto"/>
              </w:rPr>
            </w:pPr>
            <w:r>
              <w:rPr>
                <w:rFonts w:ascii="Arial" w:cs="Arial" w:eastAsia="Arial" w:hAnsi="Arial"/>
                <w:sz w:val="18"/>
                <w:szCs w:val="18"/>
                <w:color w:val="auto"/>
              </w:rPr>
              <w:t>ISIN Code: US9250501064</w:t>
            </w:r>
          </w:p>
        </w:tc>
        <w:tc>
          <w:tcPr>
            <w:tcW w:w="3580" w:type="dxa"/>
            <w:vAlign w:val="bottom"/>
            <w:tcBorders>
              <w:right w:val="single" w:sz="8" w:color="auto"/>
            </w:tcBorders>
          </w:tcPr>
          <w:p>
            <w:pPr>
              <w:spacing w:after="0"/>
              <w:rPr>
                <w:sz w:val="24"/>
                <w:szCs w:val="24"/>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Nature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Subscription to purchase ADSs</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 and volume(s)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Volume(s)</w:t>
            </w:r>
          </w:p>
        </w:tc>
      </w:tr>
      <w:tr>
        <w:trPr>
          <w:trHeight w:val="202"/>
        </w:trPr>
        <w:tc>
          <w:tcPr>
            <w:tcW w:w="480" w:type="dxa"/>
            <w:vAlign w:val="bottom"/>
            <w:tcBorders>
              <w:left w:val="single" w:sz="8" w:color="auto"/>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$4.50</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33,333 ADSs</w:t>
            </w: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Aggregated information</w:t>
            </w:r>
          </w:p>
        </w:tc>
        <w:tc>
          <w:tcPr>
            <w:tcW w:w="3700" w:type="dxa"/>
            <w:vAlign w:val="bottom"/>
          </w:tcPr>
          <w:p>
            <w:pPr>
              <w:ind w:left="80"/>
              <w:spacing w:after="0"/>
              <w:rPr>
                <w:sz w:val="20"/>
                <w:szCs w:val="20"/>
                <w:color w:val="auto"/>
              </w:rPr>
            </w:pPr>
            <w:r>
              <w:rPr>
                <w:rFonts w:ascii="Arial" w:cs="Arial" w:eastAsia="Arial" w:hAnsi="Arial"/>
                <w:sz w:val="18"/>
                <w:szCs w:val="18"/>
                <w:color w:val="auto"/>
              </w:rPr>
              <w:t>N/A (single transaction)</w:t>
            </w:r>
          </w:p>
        </w:tc>
        <w:tc>
          <w:tcPr>
            <w:tcW w:w="3580" w:type="dxa"/>
            <w:vAlign w:val="bottom"/>
            <w:tcBorders>
              <w:right w:val="single" w:sz="8" w:color="auto"/>
            </w:tcBorders>
          </w:tcPr>
          <w:p>
            <w:pPr>
              <w:spacing w:after="0"/>
              <w:rPr>
                <w:sz w:val="19"/>
                <w:szCs w:val="19"/>
                <w:color w:val="auto"/>
              </w:rPr>
            </w:pPr>
          </w:p>
        </w:tc>
      </w:tr>
      <w:tr>
        <w:trPr>
          <w:trHeight w:val="403"/>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Aggregated volume</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Price</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14 July 2020</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Place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NASDAQ</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Details of the person discharging managerial responsibilities / person closely associated</w:t>
            </w:r>
          </w:p>
        </w:tc>
        <w:tc>
          <w:tcPr>
            <w:tcW w:w="3580" w:type="dxa"/>
            <w:vAlign w:val="bottom"/>
            <w:tcBorders>
              <w:top w:val="single" w:sz="8" w:color="auto"/>
              <w:right w:val="single" w:sz="8" w:color="auto"/>
            </w:tcBorders>
          </w:tcPr>
          <w:p>
            <w:pPr>
              <w:spacing w:after="0"/>
              <w:rPr>
                <w:sz w:val="21"/>
                <w:szCs w:val="2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Dr Martin Edwards</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Reason for the notification</w:t>
            </w:r>
          </w:p>
        </w:tc>
        <w:tc>
          <w:tcPr>
            <w:tcW w:w="3700" w:type="dxa"/>
            <w:vAlign w:val="bottom"/>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Position/status</w:t>
            </w:r>
          </w:p>
        </w:tc>
        <w:tc>
          <w:tcPr>
            <w:tcW w:w="3700" w:type="dxa"/>
            <w:vAlign w:val="bottom"/>
          </w:tcPr>
          <w:p>
            <w:pPr>
              <w:ind w:left="80"/>
              <w:spacing w:after="0"/>
              <w:rPr>
                <w:sz w:val="20"/>
                <w:szCs w:val="20"/>
                <w:color w:val="auto"/>
              </w:rPr>
            </w:pPr>
            <w:r>
              <w:rPr>
                <w:rFonts w:ascii="Arial" w:cs="Arial" w:eastAsia="Arial" w:hAnsi="Arial"/>
                <w:sz w:val="18"/>
                <w:szCs w:val="18"/>
                <w:color w:val="auto"/>
              </w:rPr>
              <w:t>Non-Executive Director</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Initial notification /Amendment</w:t>
            </w:r>
          </w:p>
        </w:tc>
        <w:tc>
          <w:tcPr>
            <w:tcW w:w="3700" w:type="dxa"/>
            <w:vAlign w:val="bottom"/>
          </w:tcPr>
          <w:p>
            <w:pPr>
              <w:ind w:left="80"/>
              <w:spacing w:after="0"/>
              <w:rPr>
                <w:sz w:val="20"/>
                <w:szCs w:val="20"/>
                <w:color w:val="auto"/>
              </w:rPr>
            </w:pPr>
            <w:r>
              <w:rPr>
                <w:rFonts w:ascii="Arial" w:cs="Arial" w:eastAsia="Arial" w:hAnsi="Arial"/>
                <w:sz w:val="18"/>
                <w:szCs w:val="18"/>
                <w:color w:val="auto"/>
              </w:rPr>
              <w:t>Initial Notification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Verona Pharma plc</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Legal Entity Identifier</w:t>
            </w:r>
          </w:p>
        </w:tc>
        <w:tc>
          <w:tcPr>
            <w:tcW w:w="3700" w:type="dxa"/>
            <w:vAlign w:val="bottom"/>
          </w:tcPr>
          <w:p>
            <w:pPr>
              <w:ind w:left="80"/>
              <w:spacing w:after="0"/>
              <w:rPr>
                <w:sz w:val="20"/>
                <w:szCs w:val="20"/>
                <w:color w:val="auto"/>
              </w:rPr>
            </w:pPr>
            <w:r>
              <w:rPr>
                <w:rFonts w:ascii="Arial" w:cs="Arial" w:eastAsia="Arial" w:hAnsi="Arial"/>
                <w:sz w:val="18"/>
                <w:szCs w:val="18"/>
                <w:color w:val="auto"/>
              </w:rPr>
              <w:t>213800EVI6O6J3TIAL06</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191"/>
        </w:trPr>
        <w:tc>
          <w:tcPr>
            <w:tcW w:w="4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4</w:t>
            </w:r>
          </w:p>
        </w:tc>
        <w:tc>
          <w:tcPr>
            <w:tcW w:w="10760" w:type="dxa"/>
            <w:vAlign w:val="bottom"/>
            <w:tcBorders>
              <w:right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w w:val="92"/>
              </w:rPr>
              <w:t>Details of the transaction(s): section to be repeated for (i) each type of instrument; (ii) each type of transaction; (iii) each date; and (iv)</w:t>
            </w: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b w:val="1"/>
                <w:bCs w:val="1"/>
                <w:color w:val="auto"/>
              </w:rPr>
              <w:t>each place where transactions have been conducted</w:t>
            </w: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195"/>
        </w:trPr>
        <w:tc>
          <w:tcPr>
            <w:tcW w:w="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Description of the financial instrument, type</w:t>
            </w:r>
          </w:p>
        </w:tc>
        <w:tc>
          <w:tcPr>
            <w:tcW w:w="72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American Depositary Shares (“ADSs”), each representing 8 Ordinary Shares.</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instrument</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432"/>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Identification code</w:t>
            </w:r>
          </w:p>
        </w:tc>
        <w:tc>
          <w:tcPr>
            <w:tcW w:w="3700" w:type="dxa"/>
            <w:vAlign w:val="bottom"/>
          </w:tcPr>
          <w:p>
            <w:pPr>
              <w:ind w:left="80"/>
              <w:spacing w:after="0"/>
              <w:rPr>
                <w:sz w:val="20"/>
                <w:szCs w:val="20"/>
                <w:color w:val="auto"/>
              </w:rPr>
            </w:pPr>
            <w:r>
              <w:rPr>
                <w:rFonts w:ascii="Arial" w:cs="Arial" w:eastAsia="Arial" w:hAnsi="Arial"/>
                <w:sz w:val="18"/>
                <w:szCs w:val="18"/>
                <w:color w:val="auto"/>
              </w:rPr>
              <w:t>ISIN Code: US9250501064</w:t>
            </w:r>
          </w:p>
        </w:tc>
        <w:tc>
          <w:tcPr>
            <w:tcW w:w="3580" w:type="dxa"/>
            <w:vAlign w:val="bottom"/>
            <w:tcBorders>
              <w:right w:val="single" w:sz="8" w:color="auto"/>
            </w:tcBorders>
          </w:tcPr>
          <w:p>
            <w:pPr>
              <w:spacing w:after="0"/>
              <w:rPr>
                <w:sz w:val="24"/>
                <w:szCs w:val="24"/>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Nature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Subscription to purchase ADSs</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 and volume(s)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Volume(s)</w:t>
            </w:r>
          </w:p>
        </w:tc>
      </w:tr>
      <w:tr>
        <w:trPr>
          <w:trHeight w:val="202"/>
        </w:trPr>
        <w:tc>
          <w:tcPr>
            <w:tcW w:w="480" w:type="dxa"/>
            <w:vAlign w:val="bottom"/>
            <w:tcBorders>
              <w:left w:val="single" w:sz="8" w:color="auto"/>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$4.50</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6,666 ADSs</w:t>
            </w: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Aggregated information</w:t>
            </w:r>
          </w:p>
        </w:tc>
        <w:tc>
          <w:tcPr>
            <w:tcW w:w="3700" w:type="dxa"/>
            <w:vAlign w:val="bottom"/>
          </w:tcPr>
          <w:p>
            <w:pPr>
              <w:ind w:left="80"/>
              <w:spacing w:after="0"/>
              <w:rPr>
                <w:sz w:val="20"/>
                <w:szCs w:val="20"/>
                <w:color w:val="auto"/>
              </w:rPr>
            </w:pPr>
            <w:r>
              <w:rPr>
                <w:rFonts w:ascii="Arial" w:cs="Arial" w:eastAsia="Arial" w:hAnsi="Arial"/>
                <w:sz w:val="18"/>
                <w:szCs w:val="18"/>
                <w:color w:val="auto"/>
              </w:rPr>
              <w:t>N/A (single transaction)</w:t>
            </w:r>
          </w:p>
        </w:tc>
        <w:tc>
          <w:tcPr>
            <w:tcW w:w="3580" w:type="dxa"/>
            <w:vAlign w:val="bottom"/>
            <w:tcBorders>
              <w:right w:val="single" w:sz="8" w:color="auto"/>
            </w:tcBorders>
          </w:tcPr>
          <w:p>
            <w:pPr>
              <w:spacing w:after="0"/>
              <w:rPr>
                <w:sz w:val="19"/>
                <w:szCs w:val="19"/>
                <w:color w:val="auto"/>
              </w:rPr>
            </w:pPr>
          </w:p>
        </w:tc>
      </w:tr>
      <w:tr>
        <w:trPr>
          <w:trHeight w:val="403"/>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Aggregated volume</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Price</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14 July 2020</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Place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NASDAQ</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Details of the person discharging managerial responsibilities / person closely associated</w:t>
            </w:r>
          </w:p>
        </w:tc>
        <w:tc>
          <w:tcPr>
            <w:tcW w:w="3580" w:type="dxa"/>
            <w:vAlign w:val="bottom"/>
            <w:tcBorders>
              <w:top w:val="single" w:sz="8" w:color="auto"/>
              <w:right w:val="single" w:sz="8" w:color="auto"/>
            </w:tcBorders>
          </w:tcPr>
          <w:p>
            <w:pPr>
              <w:spacing w:after="0"/>
              <w:rPr>
                <w:sz w:val="21"/>
                <w:szCs w:val="2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Mark Hahn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Reason for the notification</w:t>
            </w:r>
          </w:p>
        </w:tc>
        <w:tc>
          <w:tcPr>
            <w:tcW w:w="3700" w:type="dxa"/>
            <w:vAlign w:val="bottom"/>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Position/status</w:t>
            </w:r>
          </w:p>
        </w:tc>
        <w:tc>
          <w:tcPr>
            <w:tcW w:w="370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Initial notification /Amendment</w:t>
            </w:r>
          </w:p>
        </w:tc>
        <w:tc>
          <w:tcPr>
            <w:tcW w:w="3700" w:type="dxa"/>
            <w:vAlign w:val="bottom"/>
          </w:tcPr>
          <w:p>
            <w:pPr>
              <w:ind w:left="80"/>
              <w:spacing w:after="0"/>
              <w:rPr>
                <w:sz w:val="20"/>
                <w:szCs w:val="20"/>
                <w:color w:val="auto"/>
              </w:rPr>
            </w:pPr>
            <w:r>
              <w:rPr>
                <w:rFonts w:ascii="Arial" w:cs="Arial" w:eastAsia="Arial" w:hAnsi="Arial"/>
                <w:sz w:val="18"/>
                <w:szCs w:val="18"/>
                <w:color w:val="auto"/>
              </w:rPr>
              <w:t>Initial Notification</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0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700" w:type="dxa"/>
            <w:vAlign w:val="bottom"/>
          </w:tcPr>
          <w:p>
            <w:pPr>
              <w:ind w:left="80"/>
              <w:spacing w:after="0"/>
              <w:rPr>
                <w:sz w:val="20"/>
                <w:szCs w:val="20"/>
                <w:color w:val="auto"/>
              </w:rPr>
            </w:pPr>
            <w:r>
              <w:rPr>
                <w:rFonts w:ascii="Arial" w:cs="Arial" w:eastAsia="Arial" w:hAnsi="Arial"/>
                <w:sz w:val="18"/>
                <w:szCs w:val="18"/>
                <w:color w:val="auto"/>
              </w:rPr>
              <w:t>Verona Pharma plc</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Legal Entity Identifier</w:t>
            </w:r>
          </w:p>
        </w:tc>
        <w:tc>
          <w:tcPr>
            <w:tcW w:w="3700" w:type="dxa"/>
            <w:vAlign w:val="bottom"/>
          </w:tcPr>
          <w:p>
            <w:pPr>
              <w:ind w:left="80"/>
              <w:spacing w:after="0"/>
              <w:rPr>
                <w:sz w:val="20"/>
                <w:szCs w:val="20"/>
                <w:color w:val="auto"/>
              </w:rPr>
            </w:pPr>
            <w:r>
              <w:rPr>
                <w:rFonts w:ascii="Arial" w:cs="Arial" w:eastAsia="Arial" w:hAnsi="Arial"/>
                <w:sz w:val="18"/>
                <w:szCs w:val="18"/>
                <w:color w:val="auto"/>
              </w:rPr>
              <w:t>213800EVI6O6J3TIAL06</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191"/>
        </w:trPr>
        <w:tc>
          <w:tcPr>
            <w:tcW w:w="4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4</w:t>
            </w:r>
          </w:p>
        </w:tc>
        <w:tc>
          <w:tcPr>
            <w:tcW w:w="10760" w:type="dxa"/>
            <w:vAlign w:val="bottom"/>
            <w:tcBorders>
              <w:right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w w:val="92"/>
              </w:rPr>
              <w:t>Details of the transaction(s): section to be repeated for (i) each type of instrument; (ii) each type of transaction; (iii) each date; and (iv)</w:t>
            </w: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b w:val="1"/>
                <w:bCs w:val="1"/>
                <w:color w:val="auto"/>
              </w:rPr>
              <w:t>each place where transactions have been conducted</w:t>
            </w: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195"/>
        </w:trPr>
        <w:tc>
          <w:tcPr>
            <w:tcW w:w="4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w:t>
            </w:r>
          </w:p>
        </w:tc>
        <w:tc>
          <w:tcPr>
            <w:tcW w:w="3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Description of the financial instrument, type</w:t>
            </w:r>
          </w:p>
        </w:tc>
        <w:tc>
          <w:tcPr>
            <w:tcW w:w="72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American Depositary Shares (“ADSs”), representing 8 Ordinary Shares.</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instrument</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432"/>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Identification code</w:t>
            </w:r>
          </w:p>
        </w:tc>
        <w:tc>
          <w:tcPr>
            <w:tcW w:w="3700" w:type="dxa"/>
            <w:vAlign w:val="bottom"/>
          </w:tcPr>
          <w:p>
            <w:pPr>
              <w:ind w:left="80"/>
              <w:spacing w:after="0"/>
              <w:rPr>
                <w:sz w:val="20"/>
                <w:szCs w:val="20"/>
                <w:color w:val="auto"/>
              </w:rPr>
            </w:pPr>
            <w:r>
              <w:rPr>
                <w:rFonts w:ascii="Arial" w:cs="Arial" w:eastAsia="Arial" w:hAnsi="Arial"/>
                <w:sz w:val="18"/>
                <w:szCs w:val="18"/>
                <w:color w:val="auto"/>
              </w:rPr>
              <w:t>ISIN Code: US9250501064</w:t>
            </w:r>
          </w:p>
        </w:tc>
        <w:tc>
          <w:tcPr>
            <w:tcW w:w="3580" w:type="dxa"/>
            <w:vAlign w:val="bottom"/>
            <w:tcBorders>
              <w:right w:val="single" w:sz="8" w:color="auto"/>
            </w:tcBorders>
          </w:tcPr>
          <w:p>
            <w:pPr>
              <w:spacing w:after="0"/>
              <w:rPr>
                <w:sz w:val="24"/>
                <w:szCs w:val="24"/>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Nature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Subscription to purchase ADSs</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 and volume(s)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Volume(s)</w:t>
            </w:r>
          </w:p>
        </w:tc>
      </w:tr>
      <w:tr>
        <w:trPr>
          <w:trHeight w:val="202"/>
        </w:trPr>
        <w:tc>
          <w:tcPr>
            <w:tcW w:w="480" w:type="dxa"/>
            <w:vAlign w:val="bottom"/>
            <w:tcBorders>
              <w:left w:val="single" w:sz="8" w:color="auto"/>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spacing w:after="0"/>
              <w:rPr>
                <w:sz w:val="19"/>
                <w:szCs w:val="19"/>
                <w:color w:val="auto"/>
              </w:rPr>
            </w:pPr>
          </w:p>
        </w:tc>
        <w:tc>
          <w:tcPr>
            <w:tcW w:w="34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$4.50</w:t>
            </w:r>
          </w:p>
        </w:tc>
        <w:tc>
          <w:tcPr>
            <w:tcW w:w="3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22,223</w:t>
            </w: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Aggregated information</w:t>
            </w:r>
          </w:p>
        </w:tc>
        <w:tc>
          <w:tcPr>
            <w:tcW w:w="3700" w:type="dxa"/>
            <w:vAlign w:val="bottom"/>
          </w:tcPr>
          <w:p>
            <w:pPr>
              <w:ind w:left="80"/>
              <w:spacing w:after="0"/>
              <w:rPr>
                <w:sz w:val="20"/>
                <w:szCs w:val="20"/>
                <w:color w:val="auto"/>
              </w:rPr>
            </w:pPr>
            <w:r>
              <w:rPr>
                <w:rFonts w:ascii="Arial" w:cs="Arial" w:eastAsia="Arial" w:hAnsi="Arial"/>
                <w:sz w:val="18"/>
                <w:szCs w:val="18"/>
                <w:color w:val="auto"/>
              </w:rPr>
              <w:t>N/A (single transaction)</w:t>
            </w:r>
          </w:p>
        </w:tc>
        <w:tc>
          <w:tcPr>
            <w:tcW w:w="3580" w:type="dxa"/>
            <w:vAlign w:val="bottom"/>
            <w:tcBorders>
              <w:right w:val="single" w:sz="8" w:color="auto"/>
            </w:tcBorders>
          </w:tcPr>
          <w:p>
            <w:pPr>
              <w:spacing w:after="0"/>
              <w:rPr>
                <w:sz w:val="19"/>
                <w:szCs w:val="19"/>
                <w:color w:val="auto"/>
              </w:rPr>
            </w:pPr>
          </w:p>
        </w:tc>
      </w:tr>
      <w:tr>
        <w:trPr>
          <w:trHeight w:val="403"/>
        </w:trPr>
        <w:tc>
          <w:tcPr>
            <w:tcW w:w="4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Aggregated volume</w:t>
            </w:r>
          </w:p>
        </w:tc>
        <w:tc>
          <w:tcPr>
            <w:tcW w:w="370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Price</w:t>
            </w:r>
          </w:p>
        </w:tc>
        <w:tc>
          <w:tcPr>
            <w:tcW w:w="37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14 July 2020</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224"/>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w:t>
            </w: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Place of the transaction</w:t>
            </w:r>
          </w:p>
        </w:tc>
        <w:tc>
          <w:tcPr>
            <w:tcW w:w="3700" w:type="dxa"/>
            <w:vAlign w:val="bottom"/>
          </w:tcPr>
          <w:p>
            <w:pPr>
              <w:ind w:left="80"/>
              <w:spacing w:after="0"/>
              <w:rPr>
                <w:sz w:val="20"/>
                <w:szCs w:val="20"/>
                <w:color w:val="auto"/>
              </w:rPr>
            </w:pPr>
            <w:r>
              <w:rPr>
                <w:rFonts w:ascii="Arial" w:cs="Arial" w:eastAsia="Arial" w:hAnsi="Arial"/>
                <w:sz w:val="18"/>
                <w:szCs w:val="18"/>
                <w:color w:val="auto"/>
              </w:rPr>
              <w:t>NASDAQ</w:t>
            </w:r>
          </w:p>
        </w:tc>
        <w:tc>
          <w:tcPr>
            <w:tcW w:w="3580" w:type="dxa"/>
            <w:vAlign w:val="bottom"/>
            <w:tcBorders>
              <w:right w:val="single" w:sz="8" w:color="auto"/>
            </w:tcBorders>
          </w:tcPr>
          <w:p>
            <w:pPr>
              <w:spacing w:after="0"/>
              <w:rPr>
                <w:sz w:val="19"/>
                <w:szCs w:val="19"/>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2020-07-20T05:07:18Z</dcterms:created>
  <dcterms:modified xsi:type="dcterms:W3CDTF">2020-07-20T05:07:18Z</dcterms:modified>
</cp:coreProperties>
</file>